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2000" w:right="980" w:hanging="1079"/>
        <w:spacing w:after="0" w:line="266" w:lineRule="auto"/>
        <w:tabs>
          <w:tab w:leader="none" w:pos="2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58" w:lineRule="exact"/>
        <w:rPr>
          <w:sz w:val="24"/>
          <w:szCs w:val="24"/>
          <w:color w:val="auto"/>
        </w:rPr>
      </w:pPr>
    </w:p>
    <w:p>
      <w:pPr>
        <w:ind w:left="2000" w:right="980" w:hanging="1081"/>
        <w:spacing w:after="0" w:line="282" w:lineRule="auto"/>
        <w:tabs>
          <w:tab w:leader="none" w:pos="20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Finance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8"/>
              </w:rPr>
              <w:t>Maryland</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(State of incorporation)</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3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205 N. Michigan Ave., Suite 4200</w:t>
            </w:r>
          </w:p>
        </w:tc>
        <w:tc>
          <w:tcPr>
            <w:tcW w:w="3720" w:type="dxa"/>
            <w:vAlign w:val="bottom"/>
          </w:tcPr>
          <w:p>
            <w:pPr>
              <w:spacing w:after="0"/>
              <w:rPr>
                <w:sz w:val="24"/>
                <w:szCs w:val="24"/>
                <w:color w:val="auto"/>
              </w:rPr>
            </w:pPr>
          </w:p>
        </w:tc>
      </w:t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Chicago, IL</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9920"/>
          </w:cols>
          <w:pgMar w:left="980" w:top="665" w:right="999" w:bottom="1440" w:gutter="0" w:footer="0" w:header="0"/>
        </w:sectPr>
      </w:pP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RWAY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520"/>
        <w:spacing w:after="0" w:line="386" w:lineRule="auto"/>
        <w:rPr>
          <w:sz w:val="20"/>
          <w:szCs w:val="20"/>
          <w:color w:val="auto"/>
        </w:rPr>
      </w:pPr>
      <w:r>
        <w:rPr>
          <w:rFonts w:ascii="Arial" w:cs="Arial" w:eastAsia="Arial" w:hAnsi="Arial"/>
          <w:sz w:val="15"/>
          <w:szCs w:val="15"/>
          <w:b w:val="1"/>
          <w:bCs w:val="1"/>
          <w:color w:val="auto"/>
        </w:rPr>
        <w:t xml:space="preserve">Name of each exchange on which registered </w:t>
      </w:r>
      <w:r>
        <w:rPr>
          <w:rFonts w:ascii="Arial" w:cs="Arial" w:eastAsia="Arial" w:hAnsi="Arial"/>
          <w:sz w:val="15"/>
          <w:szCs w:val="15"/>
          <w:color w:val="auto"/>
        </w:rPr>
        <w:t>NASDAQ Global Select Market LLC</w:t>
      </w:r>
    </w:p>
    <w:p>
      <w:pPr>
        <w:spacing w:after="0" w:line="30" w:lineRule="exact"/>
        <w:rPr>
          <w:sz w:val="24"/>
          <w:szCs w:val="24"/>
          <w:color w:val="auto"/>
        </w:rPr>
      </w:pPr>
    </w:p>
    <w:p>
      <w:pPr>
        <w:sectPr>
          <w:pgSz w:w="11900" w:h="16838" w:orient="portrait"/>
          <w:cols w:equalWidth="0" w:num="3">
            <w:col w:w="3040" w:space="260"/>
            <w:col w:w="2040" w:space="720"/>
            <w:col w:w="3860"/>
          </w:cols>
          <w:pgMar w:left="980" w:top="665" w:right="99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9920"/>
          </w:cols>
          <w:pgMar w:left="980" w:top="665" w:right="999" w:bottom="1440" w:gutter="0" w:footer="0" w:header="0"/>
          <w:type w:val="continuous"/>
        </w:sectPr>
      </w:pPr>
    </w:p>
    <w:p>
      <w:pPr>
        <w:spacing w:after="0" w:line="213" w:lineRule="exact"/>
        <w:rPr>
          <w:sz w:val="24"/>
          <w:szCs w:val="24"/>
          <w:color w:val="auto"/>
        </w:rPr>
      </w:pPr>
    </w:p>
    <w:p>
      <w:pPr>
        <w:ind w:right="340" w:firstLine="324"/>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340" w:right="4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issuer had 41,380,614 shares of common stock, $0.01 par value per share, outstanding as of November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652145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INDEX</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continue"/>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4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Statements of Assets and Liabilities as of September 30, 2021 (unaudited) and December 31, 2020</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0" w:type="dxa"/>
            <w:vAlign w:val="bottom"/>
            <w:gridSpan w:val="22"/>
            <w:shd w:val="clear" w:color="auto" w:fill="CCEEFF"/>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Statements of Operations for the three and nine months ended September 30,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5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Statements of Changes in Net Assets for the three and nine months ended September 30, 2021 and 2020</w:t>
              </w:r>
            </w:hyperlink>
          </w:p>
        </w:tc>
        <w:tc>
          <w:tcPr>
            <w:tcW w:w="900" w:type="dxa"/>
            <w:vAlign w:val="bottom"/>
            <w:tcBorders>
              <w:bottom w:val="single" w:sz="8" w:color="CCEEFF"/>
            </w:tcBorders>
            <w:gridSpan w:val="4"/>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0" w:type="dxa"/>
            <w:vAlign w:val="bottom"/>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0" w:type="dxa"/>
            <w:vAlign w:val="bottom"/>
            <w:gridSpan w:val="22"/>
            <w:shd w:val="clear" w:color="auto" w:fill="CCEEFF"/>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Statements of Cash Flows for the three and nine months ended September 30,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Schedule of Investments as of September 30, 2021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Schedule of Investments as of December 31, 2020</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Notes to Financial Statements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2.</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3.</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4.</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w:t>
              </w:r>
            </w:hyperlink>
          </w:p>
        </w:tc>
        <w:tc>
          <w:tcPr>
            <w:tcW w:w="840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1.</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gridSpan w:val="6"/>
            <w:shd w:val="clear" w:color="auto" w:fill="CCEEFF"/>
          </w:tcPr>
          <w:p>
            <w:pPr>
              <w:jc w:val="right"/>
              <w:ind w:righ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1A.</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Risk Factors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2.</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3.</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Securities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4.</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5.</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80"/>
              <w:spacing w:after="0" w:line="17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6.</w:t>
              </w:r>
            </w:hyperlink>
          </w:p>
        </w:tc>
        <w:tc>
          <w:tcPr>
            <w:tcW w:w="8400" w:type="dxa"/>
            <w:vAlign w:val="bottom"/>
            <w:gridSpan w:val="2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Exhibits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28"/>
            <w:shd w:val="clear" w:color="auto" w:fill="CCEEFF"/>
          </w:tcPr>
          <w:p>
            <w:pPr>
              <w:spacing w:after="0" w:line="17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SIGNATURES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Non-control/non-affiliate investments at fair value (cost of $549,308,847 and $532,676,057,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562,496,579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541,978,736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w w:val="92"/>
              </w:rPr>
              <w:t>Control/affiliate investments at fair value (cost of $34,978,846 and $13,911,494,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23,855,798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9,845,854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Investment in U.S. Treasury Bills at fair value (cost of $60,000,558 and $70,001,472,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60,000,660</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Total investments at fair value (cost of $644,288,251 and $616,589,023,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646,353,037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621,826,650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Subscriptions receivable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1,139,528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161,918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and deferred expenses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190,342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651,252,977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639,891,397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Credit facilities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tcPr>
          <w:p>
            <w:pPr>
              <w:ind w:left="80"/>
              <w:spacing w:after="0" w:line="201" w:lineRule="exact"/>
              <w:rPr>
                <w:sz w:val="20"/>
                <w:szCs w:val="20"/>
                <w:color w:val="auto"/>
              </w:rPr>
            </w:pPr>
            <w:r>
              <w:rPr>
                <w:rFonts w:ascii="Arial" w:cs="Arial" w:eastAsia="Arial" w:hAnsi="Arial"/>
                <w:sz w:val="18"/>
                <w:szCs w:val="18"/>
                <w:color w:val="auto"/>
                <w:w w:val="99"/>
              </w:rPr>
              <w:t>Deferred credit facility fees (net of accumulated amortization of $733,251 and $383,873,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(1,252,978)</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 less unamortized deferred financing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78,747,022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Reverse repurchase agreement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59,699,461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5,971,134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Due to affiliate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227,038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1,595,480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147,051,992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173,647,712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tcPr>
          <w:p>
            <w:pPr>
              <w:ind w:left="80"/>
              <w:spacing w:after="0" w:line="201" w:lineRule="exact"/>
              <w:rPr>
                <w:sz w:val="20"/>
                <w:szCs w:val="20"/>
                <w:color w:val="auto"/>
              </w:rPr>
            </w:pPr>
            <w:r>
              <w:rPr>
                <w:rFonts w:ascii="Arial" w:cs="Arial" w:eastAsia="Arial" w:hAnsi="Arial"/>
                <w:sz w:val="18"/>
                <w:szCs w:val="18"/>
                <w:color w:val="auto"/>
                <w:w w:val="93"/>
              </w:rPr>
              <w:t>Common stock, $0.01 par value; 100,000,000 shares authorized; 34,530,614 and 31,414,051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345,306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513,082,399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466,872,304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Distributable (losses) earnings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(9,226,720)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504,200,985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466,243,685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ind w:left="4000"/>
              <w:spacing w:after="0"/>
              <w:rPr>
                <w:sz w:val="20"/>
                <w:szCs w:val="20"/>
                <w:color w:val="auto"/>
              </w:rPr>
            </w:pPr>
            <w:r>
              <w:rPr>
                <w:rFonts w:ascii="Arial" w:cs="Arial" w:eastAsia="Arial" w:hAnsi="Arial"/>
                <w:sz w:val="18"/>
                <w:szCs w:val="18"/>
                <w:color w:val="auto"/>
              </w:rPr>
              <w:t>See notes to financial statements.</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60"/>
          </w:cols>
          <w:pgMar w:left="980" w:top="517" w:right="1059" w:bottom="144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From non-control/non-affiliate: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17,612,993</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12,184,940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49,863,060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36,757,088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434,464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1,568,799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2,424,022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2,336,646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101,266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117,882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342,236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343,755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343,755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1,031,265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200"/>
              <w:spacing w:after="0"/>
              <w:rPr>
                <w:sz w:val="20"/>
                <w:szCs w:val="20"/>
                <w:color w:val="auto"/>
              </w:rPr>
            </w:pPr>
            <w:r>
              <w:rPr>
                <w:rFonts w:ascii="Arial" w:cs="Arial" w:eastAsia="Arial" w:hAnsi="Arial"/>
                <w:sz w:val="17"/>
                <w:szCs w:val="17"/>
                <w:color w:val="auto"/>
              </w:rPr>
              <w:t>Other income from non-investment sources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From control/affiliate: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113,554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113,554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in-kind interest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investment income</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18,610,066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14,215,723</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53,778,440</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40,837,634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Management fees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2,301,656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1,721,913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6,647,207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Incentive fees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2,686,475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1,650,930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6,498,482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4,871,906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812,852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407,701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2,302,582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Professional fees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505,545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198,217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1,151,610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919,390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Overhead allocation expense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249,141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161,553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655,260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Administration fee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179,500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132,715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420,360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378,395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Facility fees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738,087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132,083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1,447,288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Directors’ fees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67,750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60,250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201,750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188,250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327,936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227,781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890,530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807,240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7,868,942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4,693,143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20,215,110</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13,797,626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investment income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10,741,124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9,522,580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33,563,330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27,040,008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rPr>
              <w:t>Realized gain (loss) on non-control/non-affiliate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investments, including U.S. Treasury Bills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718,310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1,142,706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(4,076,766)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(5,370,702)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tcPr>
          <w:p>
            <w:pPr>
              <w:ind w:left="100"/>
              <w:spacing w:after="0" w:line="185" w:lineRule="exact"/>
              <w:rPr>
                <w:sz w:val="20"/>
                <w:szCs w:val="20"/>
                <w:color w:val="auto"/>
              </w:rPr>
            </w:pPr>
            <w:r>
              <w:rPr>
                <w:rFonts w:ascii="Arial" w:cs="Arial" w:eastAsia="Arial" w:hAnsi="Arial"/>
                <w:sz w:val="17"/>
                <w:szCs w:val="17"/>
                <w:color w:val="auto"/>
              </w:rPr>
              <w:t>Net change in unrealized appreciation (depreciation) on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non-control/non-affiliate investments, including U.S.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Treasury Bills</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(6,857,594)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243,742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(10,979,143)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4,561,255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shd w:val="clear" w:color="auto" w:fill="CCEEFF"/>
          </w:tcPr>
          <w:p>
            <w:pPr>
              <w:ind w:left="100"/>
              <w:spacing w:after="0" w:line="187" w:lineRule="exact"/>
              <w:rPr>
                <w:sz w:val="20"/>
                <w:szCs w:val="20"/>
                <w:color w:val="auto"/>
              </w:rPr>
            </w:pPr>
            <w:r>
              <w:rPr>
                <w:rFonts w:ascii="Arial" w:cs="Arial" w:eastAsia="Arial" w:hAnsi="Arial"/>
                <w:sz w:val="17"/>
                <w:szCs w:val="17"/>
                <w:color w:val="auto"/>
                <w:w w:val="98"/>
              </w:rPr>
              <w:t>Net change in unrealized appreciation on control/affiliate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5,629,212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7,806,302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w w:val="97"/>
              </w:rPr>
              <w:t>Net realized and unrealized gain (loss) on investments</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(510,072)</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1,386,448</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(7,249,607)</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(809,447)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10,231,052</w:t>
            </w:r>
          </w:p>
        </w:tc>
        <w:tc>
          <w:tcPr>
            <w:tcW w:w="80" w:type="dxa"/>
            <w:vAlign w:val="bottom"/>
          </w:tcPr>
          <w:p>
            <w:pPr>
              <w:spacing w:after="0"/>
              <w:rPr>
                <w:sz w:val="21"/>
                <w:szCs w:val="21"/>
                <w:color w:val="auto"/>
              </w:rPr>
            </w:pPr>
          </w:p>
        </w:tc>
        <w:tc>
          <w:tcPr>
            <w:tcW w:w="3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10,909,028</w:t>
            </w:r>
          </w:p>
        </w:tc>
        <w:tc>
          <w:tcPr>
            <w:tcW w:w="1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26,313,723</w:t>
            </w:r>
          </w:p>
        </w:tc>
        <w:tc>
          <w:tcPr>
            <w:tcW w:w="14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26,230,561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300" w:type="dxa"/>
            <w:vAlign w:val="bottom"/>
          </w:tcPr>
          <w:p>
            <w:pPr>
              <w:spacing w:after="0" w:line="185" w:lineRule="exact"/>
              <w:rPr>
                <w:sz w:val="20"/>
                <w:szCs w:val="20"/>
                <w:color w:val="auto"/>
              </w:rPr>
            </w:pPr>
            <w:r>
              <w:rPr>
                <w:rFonts w:ascii="Arial" w:cs="Arial" w:eastAsia="Arial" w:hAnsi="Arial"/>
                <w:sz w:val="17"/>
                <w:szCs w:val="17"/>
                <w:color w:val="auto"/>
              </w:rPr>
              <w:t>Net increase in net assets resulting from operations per</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7"/>
                <w:szCs w:val="17"/>
                <w:color w:val="auto"/>
              </w:rPr>
              <w:t>common share</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0.31</w:t>
            </w:r>
          </w:p>
        </w:tc>
        <w:tc>
          <w:tcPr>
            <w:tcW w:w="8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0.40</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0.81</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 per common share</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Weighted-average shares outstanding</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33,160,481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27,271,559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32,360,107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26,603,966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10,741,124</w:t>
            </w:r>
          </w:p>
        </w:tc>
        <w:tc>
          <w:tcPr>
            <w:tcW w:w="8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9,522,580</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33,563,330</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27,040,008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 non-control/non-affiliate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including U.S. Treasury Bills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718,310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1,142,706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(4,076,766)</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w w:val="96"/>
              </w:rPr>
              <w:t>Net change in unrealized appreciation (depreciation) 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non-control/non-affiliate investments, including U.S.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Treasury Bills</w:t>
            </w:r>
          </w:p>
        </w:tc>
        <w:tc>
          <w:tcPr>
            <w:tcW w:w="2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(6,857,594)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243,742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(10,979,143)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4,561,255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change in unrealized appreciation on control/affiliate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5,629,212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7,806,302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6"/>
              </w:rPr>
              <w:t>Net increase in net assets resulting from operations</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10,231,052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10,909,028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26,313,723</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26,230,561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(11,114,754)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(9,697,099)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(34,597,684)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(11,114,754)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(9,697,099)</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(34,597,684)</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(29,264,163)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18,976,917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19,283,828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Issuance of shares of common stock under dividend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reinvestment plan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8,401,215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7,934,712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26,994,806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23,858,677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(37,373)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line="177" w:lineRule="exact"/>
              <w:rPr>
                <w:sz w:val="20"/>
                <w:szCs w:val="20"/>
                <w:color w:val="auto"/>
              </w:rPr>
            </w:pPr>
            <w:r>
              <w:rPr>
                <w:rFonts w:ascii="Arial" w:cs="Arial" w:eastAsia="Arial" w:hAnsi="Arial"/>
                <w:sz w:val="18"/>
                <w:szCs w:val="18"/>
                <w:b w:val="1"/>
                <w:bCs w:val="1"/>
                <w:color w:val="auto"/>
                <w:w w:val="92"/>
              </w:rPr>
              <w:t>Net increase in net assets resulting from capital share</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transactions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27,345,590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7,936,217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46,241,261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24,122,585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increase in net assets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26,461,888</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9,148,146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37,957,300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21,088,983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 at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477,739,097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388,254,058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466,243,685</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376,313,221</w:t>
            </w:r>
          </w:p>
        </w:tc>
        <w:tc>
          <w:tcPr>
            <w:tcW w:w="0" w:type="dxa"/>
            <w:vAlign w:val="bottom"/>
          </w:tcPr>
          <w:p>
            <w:pPr>
              <w:spacing w:after="0"/>
              <w:rPr>
                <w:sz w:val="1"/>
                <w:szCs w:val="1"/>
                <w:color w:val="auto"/>
              </w:rPr>
            </w:pPr>
          </w:p>
        </w:tc>
      </w:tr>
      <w:tr>
        <w:trPr>
          <w:trHeight w:val="249"/>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Net assets at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504,200,985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397,402,204</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504,200,985</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397,402,204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1,840,160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3,116,563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32,690,454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26,936,387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31,414,051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25,811,214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34,530,614</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27,487,026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34,530,614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27,487,026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0"/>
              </w:rPr>
              <w:t>Nine Months Ended</w:t>
            </w:r>
          </w:p>
        </w:tc>
        <w:tc>
          <w:tcPr>
            <w:tcW w:w="1200" w:type="dxa"/>
            <w:vAlign w:val="bottom"/>
            <w:gridSpan w:val="3"/>
          </w:tcPr>
          <w:p>
            <w:pPr>
              <w:ind w:left="60"/>
              <w:spacing w:after="0"/>
              <w:rPr>
                <w:sz w:val="20"/>
                <w:szCs w:val="20"/>
                <w:color w:val="auto"/>
              </w:rPr>
            </w:pPr>
            <w:r>
              <w:rPr>
                <w:rFonts w:ascii="Arial" w:cs="Arial" w:eastAsia="Arial" w:hAnsi="Arial"/>
                <w:sz w:val="13"/>
                <w:szCs w:val="13"/>
                <w:b w:val="1"/>
                <w:bCs w:val="1"/>
                <w:color w:val="auto"/>
                <w:w w:val="92"/>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8"/>
              </w:rPr>
              <w:t>September 30, 2021</w:t>
            </w:r>
          </w:p>
        </w:tc>
        <w:tc>
          <w:tcPr>
            <w:tcW w:w="1200" w:type="dxa"/>
            <w:vAlign w:val="bottom"/>
            <w:gridSpan w:val="3"/>
          </w:tcPr>
          <w:p>
            <w:pPr>
              <w:ind w:left="60"/>
              <w:spacing w:after="0"/>
              <w:rPr>
                <w:sz w:val="20"/>
                <w:szCs w:val="20"/>
                <w:color w:val="auto"/>
              </w:rPr>
            </w:pPr>
            <w:r>
              <w:rPr>
                <w:rFonts w:ascii="Arial" w:cs="Arial" w:eastAsia="Arial" w:hAnsi="Arial"/>
                <w:sz w:val="13"/>
                <w:szCs w:val="13"/>
                <w:b w:val="1"/>
                <w:bCs w:val="1"/>
                <w:color w:val="auto"/>
                <w:w w:val="92"/>
              </w:rPr>
              <w:t>September 30,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Net increase in net assets resulting from operations</w:t>
            </w:r>
          </w:p>
        </w:tc>
        <w:tc>
          <w:tcPr>
            <w:tcW w:w="340" w:type="dxa"/>
            <w:vAlign w:val="bottom"/>
            <w:gridSpan w:val="2"/>
          </w:tcPr>
          <w:p>
            <w:pPr>
              <w:jc w:val="right"/>
              <w:ind w:right="1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26,313,723</w:t>
            </w:r>
          </w:p>
        </w:tc>
        <w:tc>
          <w:tcPr>
            <w:tcW w:w="2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26,230,561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Adjustments to reconcile net increase in net assets resulting from operations to net cash provided by (used</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 operating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(237,031,073)</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w w:val="98"/>
              </w:rPr>
              <w:t>(141,707,494)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U.S. Treasury Bills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(115,000,509)</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(179,998,299)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Payment in-kind interest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(2,427,808)</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(2,336,646)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or repayments of investments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203,205,733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82,934,161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Sales or maturities of U.S. Treasury Bills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124,999,118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194,985,264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U.S. Treasury Bills sold short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25,999,624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Realized loss on investments, including U.S. Treasury Bills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4,076,766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5,370,703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unrealized appreciation (depreciation) on investments, including U.S. Treasury Bills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3,172,841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Amortization of fixed income premiums or accretion of discounts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(5,539,659)</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(6,808,065)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credit facility fees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349,378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interest receivable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650,685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Other accounts receivable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197,082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and deferred expenses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(53,246)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Accrued incentive fees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964,069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Due to affiliate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83,523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Interest payable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343,843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651,336</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4,955,802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Deferred offering costs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(439,929)</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credit facility fees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(19,126)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Borrowings under credit facilities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100,000,000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credit facilities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(119,000,000)</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(110,500,000)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Proceeds from reverse repurchase agreements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104,474,375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179,099,477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reverse repurchase agreements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(114,424,914)</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(195,117,913)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Dividends paid to stockholders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(7,602,878)</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(5,405,487)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Offering costs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(37,373)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cash received from common stock issued</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18,144,300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(18,905,545)</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(44,685,014)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(13,949,743)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(44,421,756)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14,886,246</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45,799,672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936,503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Taxes paid</w:t>
            </w:r>
          </w:p>
        </w:tc>
        <w:tc>
          <w:tcPr>
            <w:tcW w:w="340" w:type="dxa"/>
            <w:vAlign w:val="bottom"/>
            <w:gridSpan w:val="2"/>
          </w:tcPr>
          <w:p>
            <w:pPr>
              <w:jc w:val="right"/>
              <w:ind w:right="13"/>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1,958,739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Non-cash portfolio purchases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2,562,120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23,959,450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dividend reinvestments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26,994,806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23,858,676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Subscriptions receivable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1,139,528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auto"/>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Control/affiliate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(15)</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4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2"/>
              </w:rPr>
              <w:t>Senior Secured Term Loans</w:t>
            </w:r>
            <w:r>
              <w:rPr>
                <w:rFonts w:ascii="Arial" w:cs="Arial" w:eastAsia="Arial" w:hAnsi="Arial"/>
                <w:sz w:val="10"/>
                <w:szCs w:val="10"/>
                <w:b w:val="1"/>
                <w:bCs w:val="1"/>
                <w:color w:val="auto"/>
                <w:w w:val="92"/>
              </w:rPr>
              <w:t>(7),(8)</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LIBOR+12.00%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10/15/2021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6,502,036</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7,339,422</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10/15/2021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8/3/2017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2,446,475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LIBOR+12.00%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10/15/2021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611,001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10/15/2021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9/5/2018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610,148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V: LIBOR+12.00%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10/15/2021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1,215,056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10/31/2021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12/18/2019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929,143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929,143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1,062,907</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18,598,265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19,172,352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9,862,794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6"/>
          </w:tcPr>
          <w:p>
            <w:pPr>
              <w:spacing w:after="0" w:line="126" w:lineRule="exact"/>
              <w:rPr>
                <w:sz w:val="20"/>
                <w:szCs w:val="20"/>
                <w:color w:val="auto"/>
              </w:rPr>
            </w:pPr>
            <w:r>
              <w:rPr>
                <w:rFonts w:ascii="Arial" w:cs="Arial" w:eastAsia="Arial" w:hAnsi="Arial"/>
                <w:sz w:val="14"/>
                <w:szCs w:val="14"/>
                <w:b w:val="1"/>
                <w:bCs w:val="1"/>
                <w:color w:val="auto"/>
              </w:rPr>
              <w:t>Total Senior Secured Term</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8"/>
          </w:tcPr>
          <w:p>
            <w:pPr>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30,932,679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23,147,803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Series A-1 Preferred Stock</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12/14/2020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707,995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Series 1 Preferred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2,675,585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2,800,000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707,995</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0.14</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12/14/2020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12/14/2020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12/14/2020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Total Control/affiliate</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34,978,846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23,855,798</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4.73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CCEEFF"/>
            </w:tcBorders>
            <w:gridSpan w:val="6"/>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w:t>
            </w:r>
          </w:p>
        </w:tc>
        <w:tc>
          <w:tcPr>
            <w:tcW w:w="1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3"/>
              </w:rPr>
              <w:t>investments</w:t>
            </w:r>
          </w:p>
        </w:tc>
        <w:tc>
          <w:tcPr>
            <w:tcW w:w="8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9"/>
              </w:rPr>
              <w:t>Senior Secured Term Loans</w:t>
            </w:r>
            <w:r>
              <w:rPr>
                <w:rFonts w:ascii="Arial" w:cs="Arial" w:eastAsia="Arial" w:hAnsi="Arial"/>
                <w:sz w:val="10"/>
                <w:szCs w:val="10"/>
                <w:b w:val="1"/>
                <w:bCs w:val="1"/>
                <w:color w:val="auto"/>
                <w:w w:val="99"/>
              </w:rPr>
              <w:t>(8)</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9.50%</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3/30/2025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14,892,101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14,892,101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 9.50%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floor, 3.00% ETP, due 3/30/2025</w:t>
            </w:r>
          </w:p>
        </w:tc>
        <w:tc>
          <w:tcPr>
            <w:tcW w:w="720" w:type="dxa"/>
            <w:vAlign w:val="bottom"/>
          </w:tcPr>
          <w:p>
            <w:pPr>
              <w:jc w:val="right"/>
              <w:spacing w:after="0"/>
              <w:rPr>
                <w:sz w:val="20"/>
                <w:szCs w:val="20"/>
                <w:color w:val="auto"/>
              </w:rPr>
            </w:pPr>
            <w:r>
              <w:rPr>
                <w:rFonts w:ascii="Arial" w:cs="Arial" w:eastAsia="Arial" w:hAnsi="Arial"/>
                <w:sz w:val="14"/>
                <w:szCs w:val="14"/>
                <w:color w:val="auto"/>
              </w:rPr>
              <w:t>9/28/2021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4,867,350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4,867,350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0.97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LIBOR+5.00%, 5.50%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 and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3.75% PIK, 2.00%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3/31/2025 </w:t>
            </w:r>
            <w:r>
              <w:rPr>
                <w:rFonts w:ascii="Arial" w:cs="Arial" w:eastAsia="Arial" w:hAnsi="Arial"/>
                <w:sz w:val="10"/>
                <w:szCs w:val="10"/>
                <w:color w:val="auto"/>
              </w:rPr>
              <w:t>(4)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20,352,540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20,081,420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20,081,420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Retail</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LIBOR+7.75%, 8.25%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$ 35,000,000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35,722,168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35,342,860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7.01 %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LIBOR+7.75%, 8.25%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12/17/2020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29,914,572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30,293,880</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7.50% 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17,583,331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15,693,139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Human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Resource &amp;</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2.00% ETP, due 8/17/2025 </w:t>
            </w:r>
            <w:r>
              <w:rPr>
                <w:rFonts w:ascii="Arial" w:cs="Arial" w:eastAsia="Arial" w:hAnsi="Arial"/>
                <w:sz w:val="10"/>
                <w:szCs w:val="10"/>
                <w:color w:val="auto"/>
              </w:rPr>
              <w:t>(3)(13)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34,799,368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34,799,368</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6.90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Specialized</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Tranche I: LIBOR+8.35%, 10.25%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Consumer</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31,706,682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31,347,394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6.22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 II: LIBOR+8.35% , 2.00%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PIK on overadvance, 10.25% floor,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 xml:space="preserve">due 5/15/2023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9,547,728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9,547,728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9,501,473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1.88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CrossRoads Extremity Systems,</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LIBOR+8.15%, 1.50%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8.65% floor, 3.50%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7/1/2025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7,524,400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7,315,855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7,315,855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1.45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10.00%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1.75% ETP, due 6/1/2025</w:t>
            </w:r>
          </w:p>
        </w:tc>
        <w:tc>
          <w:tcPr>
            <w:tcW w:w="720" w:type="dxa"/>
            <w:vAlign w:val="bottom"/>
          </w:tcPr>
          <w:p>
            <w:pPr>
              <w:jc w:val="right"/>
              <w:spacing w:after="0"/>
              <w:rPr>
                <w:sz w:val="20"/>
                <w:szCs w:val="20"/>
                <w:color w:val="auto"/>
              </w:rPr>
            </w:pPr>
            <w:r>
              <w:rPr>
                <w:rFonts w:ascii="Arial" w:cs="Arial" w:eastAsia="Arial" w:hAnsi="Arial"/>
                <w:sz w:val="14"/>
                <w:szCs w:val="14"/>
                <w:color w:val="auto"/>
              </w:rPr>
              <w:t>6/1/2021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9,922,994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9,922,994</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LIBOR+10.50%, 11.00%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3.00% ETP, due 12/15/2024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19,980,318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19,980,318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3.96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LIBOR+11.00%, 12.0%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 and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2.39% ETP, due 5/13/2024</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13,641,254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13,580,610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13,482,031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LIBOR+9.25%, 9.75%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10/19/2020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45,184,586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45,184,586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8.96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LIBOR+9.25%, 9.75%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9,900,956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9,900,956</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29,437,067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29,437,067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5.84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9"/>
              </w:rPr>
              <w:t>Tranche I: LIBOR+8.00%, 10.50%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 and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2.50% ETP, due 7/15/2023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20,123,795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20,123,795</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3.99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LIBOR+8.00%,</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10.50% floor, 2.50%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9,937,687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9,937,688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Marley Spoon AG</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 Retail</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LIBOR+8.50%, 1.25%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40" w:type="dxa"/>
            <w:vAlign w:val="bottom"/>
            <w:gridSpan w:val="3"/>
          </w:tcPr>
          <w:p>
            <w:pPr>
              <w:ind w:left="100"/>
              <w:spacing w:after="0" w:line="157" w:lineRule="exact"/>
              <w:rPr>
                <w:sz w:val="20"/>
                <w:szCs w:val="20"/>
                <w:color w:val="auto"/>
              </w:rPr>
            </w:pPr>
            <w:r>
              <w:rPr>
                <w:rFonts w:ascii="Arial" w:cs="Arial" w:eastAsia="Arial" w:hAnsi="Arial"/>
                <w:sz w:val="14"/>
                <w:szCs w:val="14"/>
                <w:color w:val="auto"/>
              </w:rPr>
              <w:t xml:space="preserve">9.00% floor, due 6/15/2025 </w:t>
            </w:r>
            <w:r>
              <w:rPr>
                <w:rFonts w:ascii="Arial" w:cs="Arial" w:eastAsia="Arial" w:hAnsi="Arial"/>
                <w:sz w:val="10"/>
                <w:szCs w:val="10"/>
                <w:color w:val="auto"/>
              </w:rPr>
              <w:t>(3),(4),</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6/30/2021</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17,596,962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17,188,116</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auto"/>
              </w:rPr>
              <w:t>17,186,271</w:t>
            </w:r>
          </w:p>
        </w:tc>
        <w:tc>
          <w:tcPr>
            <w:tcW w:w="120" w:type="dxa"/>
            <w:vAlign w:val="bottom"/>
          </w:tcPr>
          <w:p>
            <w:pPr>
              <w:spacing w:after="0"/>
              <w:rPr>
                <w:sz w:val="13"/>
                <w:szCs w:val="13"/>
                <w:color w:val="auto"/>
              </w:rPr>
            </w:pPr>
          </w:p>
        </w:tc>
        <w:tc>
          <w:tcPr>
            <w:tcW w:w="500" w:type="dxa"/>
            <w:vAlign w:val="bottom"/>
            <w:vMerge w:val="restart"/>
          </w:tcPr>
          <w:p>
            <w:pPr>
              <w:ind w:left="200"/>
              <w:spacing w:after="0"/>
              <w:rPr>
                <w:sz w:val="20"/>
                <w:szCs w:val="20"/>
                <w:color w:val="auto"/>
              </w:rPr>
            </w:pPr>
            <w:r>
              <w:rPr>
                <w:rFonts w:ascii="Arial" w:cs="Arial" w:eastAsia="Arial" w:hAnsi="Arial"/>
                <w:sz w:val="14"/>
                <w:szCs w:val="14"/>
                <w:color w:val="auto"/>
              </w:rPr>
              <w:t>3.41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140" w:type="dxa"/>
            <w:vAlign w:val="bottom"/>
            <w:gridSpan w:val="2"/>
          </w:tcPr>
          <w:p>
            <w:pPr>
              <w:ind w:left="100"/>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.25% PIK, 10.00%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8/15/2022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3,955,983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4,417,880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4,352,322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0.86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LIBOR+8.48%, 8.98%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3.95% ETP, due 7/1/2026</w:t>
            </w: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12,639,270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12,663,627</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4.00%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9,916,022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9,916,022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Tranche I: LIBOR+9.25%, 11.60%</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3.00% ETP, due 7/15/2023</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$ 19,250,000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19,221,765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19,221,765</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746,480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746,480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989,945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9/29/2021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1,009,972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1,009,972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Human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9.00%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Resource &amp;</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2.75% ETP, due 9/1/2025</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37,315,385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36,753,749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36,753,749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Application</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3/24/2020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1,123,365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1,123,365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1,123,365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4,399,733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4,399,733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2,865,091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 Care</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LIBOR+9.05%, 9.55%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12/29/2020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24,578,441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24,578,441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LIBOR+9.05%, 9.55%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14,946,596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14,946,596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5"/>
              </w:rPr>
              <w:t>512,429,922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508,457,921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100.84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369,620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Technology</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(16)(19)</w:t>
            </w: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544,178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14,287,836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15,889,998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14,537,836</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16,259,618</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Internet Retail</w:t>
            </w:r>
          </w:p>
        </w:tc>
        <w:tc>
          <w:tcPr>
            <w:tcW w:w="100" w:type="dxa"/>
            <w:vAlign w:val="bottom"/>
          </w:tcPr>
          <w:p>
            <w:pPr>
              <w:spacing w:after="0"/>
              <w:rPr>
                <w:sz w:val="12"/>
                <w:szCs w:val="12"/>
                <w:color w:val="auto"/>
              </w:rPr>
            </w:pPr>
          </w:p>
        </w:tc>
        <w:tc>
          <w:tcPr>
            <w:tcW w:w="2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Class P Units</w:t>
            </w:r>
            <w:r>
              <w:rPr>
                <w:rFonts w:ascii="Arial" w:cs="Arial" w:eastAsia="Arial" w:hAnsi="Arial"/>
                <w:sz w:val="10"/>
                <w:szCs w:val="10"/>
                <w:color w:val="auto"/>
              </w:rPr>
              <w:t>(18)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9/22/2021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526,845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984,036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5,812,694</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r>
              <w:rPr>
                <w:rFonts w:ascii="Arial" w:cs="Arial" w:eastAsia="Arial" w:hAnsi="Arial"/>
                <w:sz w:val="10"/>
                <w:szCs w:val="10"/>
                <w:color w:val="auto"/>
              </w:rPr>
              <w:t>(16)(19)</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3/12/2021</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1,206,959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8,834,940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Quantum Corporation</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Common Stock</w:t>
            </w:r>
            <w:r>
              <w:rPr>
                <w:rFonts w:ascii="Arial" w:cs="Arial" w:eastAsia="Arial" w:hAnsi="Arial"/>
                <w:sz w:val="10"/>
                <w:szCs w:val="10"/>
                <w:color w:val="auto"/>
              </w:rPr>
              <w:t>(16)(19)</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8/13/2021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459,720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2,606,612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2,381,350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12/31/2020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4,812,524</w:t>
            </w:r>
          </w:p>
        </w:tc>
        <w:tc>
          <w:tcPr>
            <w:tcW w:w="1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17,028,984</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9/1/2027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1,381,506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1"/>
              </w:rPr>
              <w:t>0.27 %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$6.58/share,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3/30/2031</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106,383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154,801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434,043</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2,387,705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3,049,362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224,174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583,301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157,000</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$3.29/share,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3/31/2031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1/8/2022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687,000</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12/20/2018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1,538,462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3,630,000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795,968</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10/31/2019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198,992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578,558</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$171.3182/share,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8/17/2031</w:t>
            </w:r>
            <w:r>
              <w:rPr>
                <w:rFonts w:ascii="Arial" w:cs="Arial" w:eastAsia="Arial" w:hAnsi="Arial"/>
                <w:sz w:val="10"/>
                <w:szCs w:val="10"/>
                <w:color w:val="auto"/>
              </w:rPr>
              <w:t>(3)(13)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1/7/2030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191,601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1,581,006</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CrossRoads Extremity Systems,</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$3.79/share,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69,261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95,044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(3),(11)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333,621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545,696</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328,071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833,333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546,784</w:t>
            </w:r>
          </w:p>
        </w:tc>
        <w:tc>
          <w:tcPr>
            <w:tcW w:w="100" w:type="dxa"/>
            <w:vAlign w:val="bottom"/>
          </w:tcPr>
          <w:p>
            <w:pPr>
              <w:spacing w:after="0"/>
              <w:rPr>
                <w:sz w:val="15"/>
                <w:szCs w:val="15"/>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$1.5963/share, expires 5/3/2029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0.12 %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E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$1.5963/share, expires 6/21/2031</w:t>
            </w:r>
          </w:p>
        </w:tc>
        <w:tc>
          <w:tcPr>
            <w:tcW w:w="720" w:type="dxa"/>
            <w:vAlign w:val="bottom"/>
          </w:tcPr>
          <w:p>
            <w:pPr>
              <w:jc w:val="right"/>
              <w:spacing w:after="0"/>
              <w:rPr>
                <w:sz w:val="20"/>
                <w:szCs w:val="20"/>
                <w:color w:val="auto"/>
              </w:rPr>
            </w:pPr>
            <w:r>
              <w:rPr>
                <w:rFonts w:ascii="Arial" w:cs="Arial" w:eastAsia="Arial" w:hAnsi="Arial"/>
                <w:sz w:val="14"/>
                <w:szCs w:val="14"/>
                <w:color w:val="auto"/>
              </w:rPr>
              <w:t>6/21/2021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125,502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74,046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74,074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$337.50/share,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5/13/2031 </w:t>
            </w:r>
            <w:r>
              <w:rPr>
                <w:rFonts w:ascii="Arial" w:cs="Arial" w:eastAsia="Arial" w:hAnsi="Arial"/>
                <w:sz w:val="10"/>
                <w:szCs w:val="10"/>
                <w:color w:val="auto"/>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10/19/2030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10/19/2020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194,673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438,014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2,339,993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12/1/2027 </w:t>
            </w:r>
            <w:r>
              <w:rPr>
                <w:rFonts w:ascii="Arial" w:cs="Arial" w:eastAsia="Arial" w:hAnsi="Arial"/>
                <w:sz w:val="10"/>
                <w:szCs w:val="10"/>
                <w:color w:val="auto"/>
                <w:w w:val="96"/>
              </w:rPr>
              <w:t>(14)</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609,476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7/26/2029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150,804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1,040,093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12/12/2029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12/12/2019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387,596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437,985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848,093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193,237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Mingle Healthcare Solutions,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$1.4643/share,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12/28/2018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273,164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2,732</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(16)</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12/23/2020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112,451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12/28/2018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123,894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8"/>
              </w:rPr>
              <w:t>Success fee, expires 8/17/2031</w:t>
            </w:r>
            <w:r>
              <w:rPr>
                <w:rFonts w:ascii="Arial" w:cs="Arial" w:eastAsia="Arial" w:hAnsi="Arial"/>
                <w:sz w:val="10"/>
                <w:szCs w:val="10"/>
                <w:color w:val="auto"/>
                <w:w w:val="98"/>
              </w:rPr>
              <w:t>(14)</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F-1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$0.80/share,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9,665,667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647,615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$1.30/share,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expires 9/29/31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9/29/2021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342,716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STN Video Inc.</w:t>
            </w:r>
          </w:p>
        </w:tc>
        <w:tc>
          <w:tcPr>
            <w:tcW w:w="1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Advertising</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6/30/2027 </w:t>
            </w:r>
            <w:r>
              <w:rPr>
                <w:rFonts w:ascii="Arial" w:cs="Arial" w:eastAsia="Arial" w:hAnsi="Arial"/>
                <w:sz w:val="10"/>
                <w:szCs w:val="10"/>
                <w:color w:val="auto"/>
              </w:rPr>
              <w:t>(3),(11)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exercise price $0.01/share, expires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81,177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457,635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461,100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17,528,565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20,750,056</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549,308,847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562,496,579</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111.56</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U.S. Treasury</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U.S. Treasury Bill, 0.033%,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10/12/2021 </w:t>
            </w:r>
            <w:r>
              <w:rPr>
                <w:rFonts w:ascii="Arial" w:cs="Arial" w:eastAsia="Arial" w:hAnsi="Arial"/>
                <w:sz w:val="10"/>
                <w:szCs w:val="10"/>
                <w:color w:val="auto"/>
              </w:rPr>
              <w:t>(9)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9/30/2021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60,000,558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60,000,660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5"/>
              </w:rPr>
              <w:t>644,288,251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w w:val="95"/>
              </w:rPr>
              <w:t>646,353,037</w:t>
            </w: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128.19 %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September 30, 2021, the 3-Month LIBOR was 0.13% and the U.S. Prime Rate was 3.25%.</w:t>
      </w:r>
    </w:p>
    <w:p>
      <w:pPr>
        <w:spacing w:after="0" w:line="20"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20"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at fair value represent 21.61% of total assets as of September 30,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2" w:lineRule="exact"/>
        <w:rPr>
          <w:rFonts w:ascii="Arial" w:cs="Arial" w:eastAsia="Arial" w:hAnsi="Arial"/>
          <w:sz w:val="10"/>
          <w:szCs w:val="10"/>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41"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Marley Spoon AG, Mojix, Inc., Pivot3 Holdings, Inc., and The Kairn Corporation senior secured term loans.</w:t>
      </w:r>
    </w:p>
    <w:p>
      <w:pPr>
        <w:spacing w:after="0" w:line="11" w:lineRule="exact"/>
        <w:rPr>
          <w:rFonts w:ascii="Arial" w:cs="Arial" w:eastAsia="Arial" w:hAnsi="Arial"/>
          <w:sz w:val="11"/>
          <w:szCs w:val="11"/>
          <w:color w:val="auto"/>
        </w:rPr>
      </w:pPr>
    </w:p>
    <w:p>
      <w:pPr>
        <w:jc w:val="both"/>
        <w:ind w:left="660" w:right="2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Treasury bill with $60,000,000 par value was purchased pursuant to a 0.25% reverse repurchase agreement with Goldman Sachs dated September 30, 2021, due October 7, 2021, with a repurchase price of $59,699,461 collateralized by a 0.033% U.S. Treasury Bill due October 10, 2021 with a par value of $60,000,000 and fair value of $60,000,660.</w:t>
      </w:r>
    </w:p>
    <w:p>
      <w:pPr>
        <w:spacing w:after="0" w:line="20"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Germany.</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41"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1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41"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warrant count is based upon a percentage of ownership of Fidelis Cybersecurity, Inc.</w:t>
      </w:r>
    </w:p>
    <w:p>
      <w:pPr>
        <w:spacing w:after="0" w:line="41"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As a result of Brilliant Earth Group Inc.'s (the Public Company) IPO through an Up-C structure, the Company received a share of Class B common stock in Brilliant Earth Group, Inc. for every Class P unit it held in Brilliant Earth, LLC. On a one-to-one basis, both the Class B common stock and Class P unit can be surrendered for Class A common stock in the Public Company.</w:t>
      </w:r>
    </w:p>
    <w:p>
      <w:pPr>
        <w:spacing w:after="0" w:line="20"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not a “restricted security” under the Securities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September 30, 2021, along with the transactions during the nine months ended September 30,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3"/>
                <w:szCs w:val="13"/>
                <w:b w:val="1"/>
                <w:bCs w:val="1"/>
                <w:color w:val="auto"/>
                <w:w w:val="87"/>
              </w:rPr>
              <w:t>For the nine months ended September 30, 2021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Net Change in</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as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Gains</w:t>
            </w:r>
          </w:p>
        </w:tc>
        <w:tc>
          <w:tcPr>
            <w:tcW w:w="60" w:type="dxa"/>
            <w:vAlign w:val="bottom"/>
          </w:tcPr>
          <w:p>
            <w:pPr>
              <w:spacing w:after="0"/>
              <w:rPr>
                <w:sz w:val="11"/>
                <w:szCs w:val="11"/>
                <w:color w:val="auto"/>
              </w:rPr>
            </w:pP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153"/>
        </w:trPr>
        <w:tc>
          <w:tcPr>
            <w:tcW w:w="210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Investment Description</w:t>
            </w:r>
          </w:p>
        </w:tc>
        <w:tc>
          <w:tcPr>
            <w:tcW w:w="8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w w:val="85"/>
              </w:rPr>
              <w:t>December 31, 2020</w:t>
            </w:r>
          </w:p>
        </w:tc>
        <w:tc>
          <w:tcPr>
            <w:tcW w:w="80" w:type="dxa"/>
            <w:vAlign w:val="bottom"/>
          </w:tcPr>
          <w:p>
            <w:pPr>
              <w:spacing w:after="0"/>
              <w:rPr>
                <w:sz w:val="13"/>
                <w:szCs w:val="13"/>
                <w:color w:val="auto"/>
              </w:rPr>
            </w:pPr>
          </w:p>
        </w:tc>
        <w:tc>
          <w:tcPr>
            <w:tcW w:w="74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8"/>
              </w:rPr>
              <w:t>Additions</w:t>
            </w:r>
            <w:r>
              <w:rPr>
                <w:rFonts w:ascii="Arial" w:cs="Arial" w:eastAsia="Arial" w:hAnsi="Arial"/>
                <w:sz w:val="17"/>
                <w:szCs w:val="17"/>
                <w:b w:val="1"/>
                <w:bCs w:val="1"/>
                <w:color w:val="auto"/>
                <w:w w:val="98"/>
                <w:vertAlign w:val="superscript"/>
              </w:rPr>
              <w:t>(1)</w:t>
            </w:r>
          </w:p>
        </w:tc>
        <w:tc>
          <w:tcPr>
            <w:tcW w:w="80" w:type="dxa"/>
            <w:vAlign w:val="bottom"/>
          </w:tcPr>
          <w:p>
            <w:pPr>
              <w:spacing w:after="0"/>
              <w:rPr>
                <w:sz w:val="13"/>
                <w:szCs w:val="13"/>
                <w:color w:val="auto"/>
              </w:rPr>
            </w:pPr>
          </w:p>
        </w:tc>
        <w:tc>
          <w:tcPr>
            <w:tcW w:w="740" w:type="dxa"/>
            <w:vAlign w:val="bottom"/>
            <w:gridSpan w:val="2"/>
          </w:tcPr>
          <w:p>
            <w:pPr>
              <w:ind w:left="20"/>
              <w:spacing w:after="0" w:line="154" w:lineRule="exact"/>
              <w:rPr>
                <w:sz w:val="20"/>
                <w:szCs w:val="20"/>
                <w:color w:val="auto"/>
              </w:rPr>
            </w:pPr>
            <w:r>
              <w:rPr>
                <w:rFonts w:ascii="Arial" w:cs="Arial" w:eastAsia="Arial" w:hAnsi="Arial"/>
                <w:sz w:val="12"/>
                <w:szCs w:val="12"/>
                <w:b w:val="1"/>
                <w:bCs w:val="1"/>
                <w:color w:val="auto"/>
                <w:w w:val="88"/>
              </w:rPr>
              <w:t>Reductions</w:t>
            </w:r>
            <w:r>
              <w:rPr>
                <w:rFonts w:ascii="Arial" w:cs="Arial" w:eastAsia="Arial" w:hAnsi="Arial"/>
                <w:sz w:val="17"/>
                <w:szCs w:val="17"/>
                <w:b w:val="1"/>
                <w:bCs w:val="1"/>
                <w:color w:val="auto"/>
                <w:w w:val="88"/>
                <w:vertAlign w:val="superscript"/>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(Losses)</w:t>
            </w: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6"/>
              </w:rPr>
              <w:t>(Depreciation)</w:t>
            </w:r>
          </w:p>
        </w:tc>
        <w:tc>
          <w:tcPr>
            <w:tcW w:w="20" w:type="dxa"/>
            <w:vAlign w:val="bottom"/>
          </w:tcPr>
          <w:p>
            <w:pPr>
              <w:spacing w:after="0"/>
              <w:rPr>
                <w:sz w:val="13"/>
                <w:szCs w:val="13"/>
                <w:color w:val="auto"/>
              </w:rPr>
            </w:pPr>
          </w:p>
        </w:tc>
        <w:tc>
          <w:tcPr>
            <w:tcW w:w="1180" w:type="dxa"/>
            <w:vAlign w:val="bottom"/>
            <w:gridSpan w:val="2"/>
          </w:tcPr>
          <w:p>
            <w:pPr>
              <w:jc w:val="center"/>
              <w:spacing w:after="0" w:line="154" w:lineRule="exact"/>
              <w:rPr>
                <w:sz w:val="20"/>
                <w:szCs w:val="20"/>
                <w:color w:val="auto"/>
              </w:rPr>
            </w:pPr>
            <w:r>
              <w:rPr>
                <w:rFonts w:ascii="Arial" w:cs="Arial" w:eastAsia="Arial" w:hAnsi="Arial"/>
                <w:sz w:val="12"/>
                <w:szCs w:val="12"/>
                <w:b w:val="1"/>
                <w:bCs w:val="1"/>
                <w:color w:val="auto"/>
                <w:w w:val="92"/>
              </w:rPr>
              <w:t>September 30, 2021</w:t>
            </w:r>
            <w:r>
              <w:rPr>
                <w:rFonts w:ascii="Arial" w:cs="Arial" w:eastAsia="Arial" w:hAnsi="Arial"/>
                <w:sz w:val="17"/>
                <w:szCs w:val="17"/>
                <w:b w:val="1"/>
                <w:bCs w:val="1"/>
                <w:color w:val="auto"/>
                <w:w w:val="92"/>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8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w w:val="90"/>
              </w:rPr>
              <w:t>Tranche I: LIBOR+12.00% PIK, 12.00%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rPr>
              <w:t>floor, 5% ETP, due 10/15/2021</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4,913,150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2,426,272</w:t>
            </w:r>
          </w:p>
        </w:tc>
        <w:tc>
          <w:tcPr>
            <w:tcW w:w="80" w:type="dxa"/>
            <w:vAlign w:val="bottom"/>
          </w:tcPr>
          <w:p>
            <w:pPr>
              <w:spacing w:after="0"/>
              <w:rPr>
                <w:sz w:val="12"/>
                <w:szCs w:val="12"/>
                <w:color w:val="auto"/>
              </w:rPr>
            </w:pPr>
          </w:p>
        </w:tc>
        <w:tc>
          <w:tcPr>
            <w:tcW w:w="280" w:type="dxa"/>
            <w:vAlign w:val="bottom"/>
            <w:gridSpan w:val="2"/>
          </w:tcPr>
          <w:p>
            <w:pPr>
              <w:jc w:val="right"/>
              <w:ind w:right="14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7,339,422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II: LIBOR+12.00%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1"/>
              </w:rPr>
              <w:t>12.00% floor, 5% ETP, due 10/15/2021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808,758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2,446,475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Tranche III: LIBOR+12.00% PIK,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w w:val="91"/>
              </w:rPr>
              <w:t>12.00% floor, 5% ETP, due 10/15/2021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409,016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201,985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611,001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IV: LIBOR+12.00%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1"/>
              </w:rPr>
              <w:t>12.00% floor, 5% ETP, due 10/15/2021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610,148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Tranche V: LIBOR+12.00% PIK,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w w:val="91"/>
              </w:rPr>
              <w:t>12.00% floor, 5% ETP, due 10/15/2021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813,382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401,674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1,215,056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VI: LIBOR+12.00%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1"/>
              </w:rPr>
              <w:t>12.00% floor, 5% ETP, due 10/31/2021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388,537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1,062,907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Tranche VII: LIBOR+12.00% PIK,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w w:val="94"/>
              </w:rPr>
              <w:t>12.00% floor, 5% ETP, due 4/30/2021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Pivot3 Holdings, Inc.</w:t>
            </w:r>
          </w:p>
        </w:tc>
        <w:tc>
          <w:tcPr>
            <w:tcW w:w="216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2"/>
              </w:rPr>
              <w:t>Tranche I: LIBOR+8.50% PIK, 11.00%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floor, 4.00% ETP, due 11/15/2022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11,898,196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(3,877,249)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1,841,847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9,862,794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w w:val="91"/>
              </w:rPr>
              <w:t>Tranche II: LIBOR+8.50% PIK, 11.00%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rPr>
              <w:t>floor, due 11/15/2022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569,181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3"/>
              </w:rPr>
              <w:t>(1,080,984)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511,803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III: LIBOR+8.50%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11.00% floor, 4.00% ETP, due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11/15/2022</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1,330,538</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(2,531,040)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1,200,502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w w:val="99"/>
              </w:rPr>
              <w:t>Total Senior Secured Term Loans</w:t>
            </w:r>
          </w:p>
        </w:tc>
        <w:tc>
          <w:tcPr>
            <w:tcW w:w="80" w:type="dxa"/>
            <w:vAlign w:val="bottom"/>
            <w:tcBorders>
              <w:bottom w:val="single" w:sz="8" w:color="CCEEFF"/>
            </w:tcBorders>
          </w:tcPr>
          <w:p>
            <w:pPr>
              <w:spacing w:after="0"/>
              <w:rPr>
                <w:sz w:val="11"/>
                <w:szCs w:val="11"/>
                <w:color w:val="auto"/>
              </w:rPr>
            </w:pPr>
          </w:p>
        </w:tc>
        <w:tc>
          <w:tcPr>
            <w:tcW w:w="20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14,297,915</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(8,094,273)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7,983,081</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23,147,803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b w:val="1"/>
                <w:bCs w:val="1"/>
                <w:color w:val="auto"/>
              </w:rPr>
              <w:t>Preferred Stocks</w:t>
            </w: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Mojix, Inc.</w:t>
            </w:r>
          </w:p>
        </w:tc>
        <w:tc>
          <w:tcPr>
            <w:tcW w:w="80" w:type="dxa"/>
            <w:vAlign w:val="bottom"/>
            <w:shd w:val="clear" w:color="auto" w:fill="CCEEFF"/>
          </w:tcPr>
          <w:p>
            <w:pPr>
              <w:spacing w:after="0"/>
              <w:rPr>
                <w:sz w:val="11"/>
                <w:szCs w:val="11"/>
                <w:color w:val="auto"/>
              </w:rPr>
            </w:pPr>
          </w:p>
        </w:tc>
        <w:tc>
          <w:tcPr>
            <w:tcW w:w="20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Series A-1 Preferred Stock</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884,774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(176,779)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707,995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Pivot3 Holdings, Inc.</w:t>
            </w:r>
          </w:p>
        </w:tc>
        <w:tc>
          <w:tcPr>
            <w:tcW w:w="80" w:type="dxa"/>
            <w:vAlign w:val="bottom"/>
          </w:tcPr>
          <w:p>
            <w:pPr>
              <w:spacing w:after="0"/>
              <w:rPr>
                <w:sz w:val="11"/>
                <w:szCs w:val="11"/>
                <w:color w:val="auto"/>
              </w:rPr>
            </w:pPr>
          </w:p>
        </w:tc>
        <w:tc>
          <w:tcPr>
            <w:tcW w:w="2080" w:type="dxa"/>
            <w:vAlign w:val="bottom"/>
          </w:tcPr>
          <w:p>
            <w:pPr>
              <w:ind w:left="40"/>
              <w:spacing w:after="0" w:line="135" w:lineRule="exact"/>
              <w:rPr>
                <w:sz w:val="20"/>
                <w:szCs w:val="20"/>
                <w:color w:val="auto"/>
              </w:rPr>
            </w:pPr>
            <w:r>
              <w:rPr>
                <w:rFonts w:ascii="Arial" w:cs="Arial" w:eastAsia="Arial" w:hAnsi="Arial"/>
                <w:sz w:val="13"/>
                <w:szCs w:val="13"/>
                <w:color w:val="auto"/>
              </w:rPr>
              <w:t>Series 1 Preferred Stock</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Preferred Stocks</w:t>
            </w:r>
          </w:p>
        </w:tc>
        <w:tc>
          <w:tcPr>
            <w:tcW w:w="8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884,774</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(176,779)</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707,995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Warrants</w:t>
            </w:r>
          </w:p>
        </w:tc>
        <w:tc>
          <w:tcPr>
            <w:tcW w:w="8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w w:val="91"/>
              </w:rPr>
              <w:t>price $1.286/share, expires 12/13/2030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6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8"/>
              </w:rPr>
              <w:t>price $2.1286/share, expires 12/13/2030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60" w:type="dxa"/>
            <w:vAlign w:val="bottom"/>
            <w:gridSpan w:val="2"/>
          </w:tcPr>
          <w:p>
            <w:pPr>
              <w:ind w:left="8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price $5.57338/share, expires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3"/>
                <w:szCs w:val="13"/>
                <w:color w:val="auto"/>
              </w:rPr>
              <w:t>12/13/2030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8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b w:val="1"/>
                <w:bCs w:val="1"/>
                <w:color w:val="auto"/>
                <w:w w:val="98"/>
              </w:rPr>
              <w:t>Total Control/affiliate investments</w:t>
            </w:r>
          </w:p>
        </w:tc>
        <w:tc>
          <w:tcPr>
            <w:tcW w:w="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14,297,915</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(8,094,273)</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7,806,302</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23,855,798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162560</wp:posOffset>
            </wp:positionV>
            <wp:extent cx="1568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26" w:lineRule="exact"/>
        <w:rPr>
          <w:sz w:val="20"/>
          <w:szCs w:val="20"/>
          <w:color w:val="auto"/>
        </w:rPr>
      </w:pPr>
    </w:p>
    <w:p>
      <w:pPr>
        <w:jc w:val="both"/>
        <w:ind w:left="660" w:hanging="328"/>
        <w:spacing w:after="0" w:line="238"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74" w:lineRule="exact"/>
        <w:rPr>
          <w:rFonts w:ascii="Arial" w:cs="Arial" w:eastAsia="Arial" w:hAnsi="Arial"/>
          <w:sz w:val="11"/>
          <w:szCs w:val="11"/>
          <w:color w:val="auto"/>
        </w:rPr>
      </w:pPr>
    </w:p>
    <w:p>
      <w:pPr>
        <w:jc w:val="both"/>
        <w:ind w:left="660" w:right="20" w:hanging="328"/>
        <w:spacing w:after="0" w:line="238"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All investments in the portfolio companies, which as of September 30, 2021 represented 4.73%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Company earned no investment income from control investments, except for $117,340 from Pivot3 Holdings, Inc.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September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266,032,231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187,289,100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47,397,036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35,408,961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31,101,576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17,186,271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1,381,506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555,696</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586,352,377</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142,470,211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Application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106,772,293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88,635,705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72,505,426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65,358,162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43,811,379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33,992,956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20,841,022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11,216,290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545,696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586,352,377</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RUNWAY GROWTH FINANCE CORP.</w:t>
      </w: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2200" w:val="left"/>
        </w:tabs>
        <w:rPr>
          <w:sz w:val="20"/>
          <w:szCs w:val="20"/>
          <w:color w:val="auto"/>
        </w:rPr>
      </w:pPr>
      <w:r>
        <w:rPr>
          <w:rFonts w:ascii="Arial" w:cs="Arial" w:eastAsia="Arial" w:hAnsi="Arial"/>
          <w:sz w:val="14"/>
          <w:szCs w:val="14"/>
          <w:b w:val="1"/>
          <w:bCs w:val="1"/>
          <w:color w:val="auto"/>
        </w:rPr>
        <w:t>Portfolio Companies</w:t>
      </w:r>
      <w:r>
        <w:rPr>
          <w:sz w:val="20"/>
          <w:szCs w:val="20"/>
          <w:color w:val="auto"/>
        </w:rPr>
        <w:tab/>
      </w:r>
      <w:r>
        <w:rPr>
          <w:rFonts w:ascii="Arial" w:cs="Arial" w:eastAsia="Arial" w:hAnsi="Arial"/>
          <w:sz w:val="13"/>
          <w:szCs w:val="13"/>
          <w:b w:val="1"/>
          <w:bCs w:val="1"/>
          <w:color w:val="auto"/>
        </w:rPr>
        <w:t>Sub-Industry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Control/affiliate investments</w:t>
      </w:r>
      <w:r>
        <w:rPr>
          <w:rFonts w:ascii="Arial" w:cs="Arial" w:eastAsia="Arial" w:hAnsi="Arial"/>
          <w:sz w:val="10"/>
          <w:szCs w:val="10"/>
          <w:b w:val="1"/>
          <w:bCs w:val="1"/>
          <w:u w:val="single" w:color="auto"/>
          <w:color w:val="auto"/>
        </w:rPr>
        <w:t>(14)</w:t>
      </w:r>
    </w:p>
    <w:p>
      <w:pPr>
        <w:spacing w:after="0" w:line="221" w:lineRule="auto"/>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ind w:left="2160" w:right="200" w:hanging="2146"/>
        <w:spacing w:after="0" w:line="271" w:lineRule="auto"/>
        <w:tabs>
          <w:tab w:leader="none" w:pos="214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380"/>
        <w:spacing w:after="0" w:line="258" w:lineRule="auto"/>
        <w:rPr>
          <w:sz w:val="20"/>
          <w:szCs w:val="20"/>
          <w:color w:val="auto"/>
        </w:rPr>
      </w:pPr>
      <w:r>
        <w:rPr>
          <w:rFonts w:ascii="Arial" w:cs="Arial" w:eastAsia="Arial" w:hAnsi="Arial"/>
          <w:sz w:val="14"/>
          <w:szCs w:val="14"/>
          <w:b w:val="1"/>
          <w:bCs w:val="1"/>
          <w:color w:val="auto"/>
        </w:rPr>
        <w:t>Total Senior Secured Term Loans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Stocks</w:t>
      </w:r>
    </w:p>
    <w:p>
      <w:pPr>
        <w:spacing w:after="0" w:line="4" w:lineRule="exact"/>
        <w:rPr>
          <w:sz w:val="20"/>
          <w:szCs w:val="20"/>
          <w:color w:val="auto"/>
        </w:rPr>
      </w:pPr>
    </w:p>
    <w:p>
      <w:pPr>
        <w:ind w:left="2160" w:right="200" w:hanging="2146"/>
        <w:spacing w:after="0" w:line="271" w:lineRule="auto"/>
        <w:tabs>
          <w:tab w:leader="none" w:pos="214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p>
      <w:pPr>
        <w:spacing w:after="0" w:line="4" w:lineRule="exact"/>
        <w:rPr>
          <w:sz w:val="20"/>
          <w:szCs w:val="20"/>
          <w:color w:val="auto"/>
        </w:rPr>
      </w:pPr>
    </w:p>
    <w:p>
      <w:pPr>
        <w:ind w:left="2160" w:right="200" w:hanging="2146"/>
        <w:spacing w:after="0" w:line="271" w:lineRule="auto"/>
        <w:tabs>
          <w:tab w:leader="none" w:pos="214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Total Warrants</w:t>
            </w:r>
          </w:p>
        </w:tc>
        <w:tc>
          <w:tcPr>
            <w:tcW w:w="780" w:type="dxa"/>
            <w:vAlign w:val="bottom"/>
          </w:tcPr>
          <w:p>
            <w:pPr>
              <w:spacing w:after="0"/>
              <w:rPr>
                <w:sz w:val="14"/>
                <w:szCs w:val="14"/>
                <w:color w:val="auto"/>
              </w:rPr>
            </w:pPr>
          </w:p>
        </w:tc>
      </w:tr>
      <w:tr>
        <w:trPr>
          <w:trHeight w:val="158"/>
        </w:trPr>
        <w:tc>
          <w:tcPr>
            <w:tcW w:w="20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Total Control/affiliate</w:t>
            </w:r>
          </w:p>
        </w:tc>
        <w:tc>
          <w:tcPr>
            <w:tcW w:w="780" w:type="dxa"/>
            <w:vAlign w:val="bottom"/>
          </w:tcPr>
          <w:p>
            <w:pPr>
              <w:spacing w:after="0"/>
              <w:rPr>
                <w:sz w:val="13"/>
                <w:szCs w:val="13"/>
                <w:color w:val="auto"/>
              </w:rPr>
            </w:pPr>
          </w:p>
        </w:tc>
      </w:tr>
      <w:tr>
        <w:trPr>
          <w:trHeight w:val="128"/>
        </w:trPr>
        <w:tc>
          <w:tcPr>
            <w:tcW w:w="7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9"/>
        </w:trPr>
        <w:tc>
          <w:tcPr>
            <w:tcW w:w="2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780" w:type="dxa"/>
            <w:vAlign w:val="bottom"/>
          </w:tcPr>
          <w:p>
            <w:pPr>
              <w:spacing w:after="0"/>
              <w:rPr>
                <w:sz w:val="11"/>
                <w:szCs w:val="11"/>
                <w:color w:val="auto"/>
              </w:rPr>
            </w:pPr>
          </w:p>
        </w:tc>
      </w:tr>
      <w:tr>
        <w:trPr>
          <w:trHeight w:val="128"/>
        </w:trPr>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3"/>
        </w:trPr>
        <w:tc>
          <w:tcPr>
            <w:tcW w:w="7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b w:val="1"/>
                <w:bCs w:val="1"/>
                <w:color w:val="auto"/>
              </w:rPr>
              <w:t>Corporate</w:t>
            </w:r>
          </w:p>
        </w:tc>
        <w:tc>
          <w:tcPr>
            <w:tcW w:w="1320" w:type="dxa"/>
            <w:vAlign w:val="bottom"/>
            <w:gridSpan w:val="3"/>
          </w:tcPr>
          <w:p>
            <w:pPr>
              <w:spacing w:after="0" w:line="123" w:lineRule="exact"/>
              <w:rPr>
                <w:sz w:val="20"/>
                <w:szCs w:val="20"/>
                <w:color w:val="auto"/>
              </w:rPr>
            </w:pPr>
            <w:r>
              <w:rPr>
                <w:rFonts w:ascii="Arial" w:cs="Arial" w:eastAsia="Arial" w:hAnsi="Arial"/>
                <w:sz w:val="14"/>
                <w:szCs w:val="14"/>
                <w:b w:val="1"/>
                <w:bCs w:val="1"/>
                <w:color w:val="auto"/>
              </w:rPr>
              <w:t>Bond</w:t>
            </w:r>
          </w:p>
        </w:tc>
        <w:tc>
          <w:tcPr>
            <w:tcW w:w="780" w:type="dxa"/>
            <w:vAlign w:val="bottom"/>
          </w:tcPr>
          <w:p>
            <w:pPr>
              <w:spacing w:after="0"/>
              <w:rPr>
                <w:sz w:val="10"/>
                <w:szCs w:val="10"/>
                <w:color w:val="auto"/>
              </w:rPr>
            </w:pPr>
          </w:p>
        </w:tc>
      </w:tr>
      <w:tr>
        <w:trPr>
          <w:trHeight w:val="148"/>
        </w:trPr>
        <w:tc>
          <w:tcPr>
            <w:tcW w:w="2060" w:type="dxa"/>
            <w:vAlign w:val="bottom"/>
            <w:gridSpan w:val="4"/>
          </w:tcPr>
          <w:p>
            <w:pPr>
              <w:spacing w:after="0" w:line="149" w:lineRule="exact"/>
              <w:rPr>
                <w:sz w:val="20"/>
                <w:szCs w:val="20"/>
                <w:color w:val="auto"/>
              </w:rPr>
            </w:pPr>
            <w:r>
              <w:rPr>
                <w:rFonts w:ascii="Arial" w:cs="Arial" w:eastAsia="Arial" w:hAnsi="Arial"/>
                <w:sz w:val="14"/>
                <w:szCs w:val="14"/>
                <w:color w:val="auto"/>
              </w:rPr>
              <w:t>TriplePoint Venture Growth BDC</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rPr>
              <w:t>Specialty</w:t>
            </w:r>
          </w:p>
        </w:tc>
      </w:tr>
      <w:tr>
        <w:trPr>
          <w:trHeight w:val="182"/>
        </w:trPr>
        <w:tc>
          <w:tcPr>
            <w:tcW w:w="2060" w:type="dxa"/>
            <w:vAlign w:val="bottom"/>
            <w:gridSpan w:val="4"/>
          </w:tcPr>
          <w:p>
            <w:pPr>
              <w:spacing w:after="0"/>
              <w:rPr>
                <w:sz w:val="20"/>
                <w:szCs w:val="20"/>
                <w:color w:val="auto"/>
              </w:rPr>
            </w:pPr>
            <w:r>
              <w:rPr>
                <w:rFonts w:ascii="Arial" w:cs="Arial" w:eastAsia="Arial" w:hAnsi="Arial"/>
                <w:sz w:val="14"/>
                <w:szCs w:val="14"/>
                <w:color w:val="auto"/>
              </w:rPr>
              <w:t>Corp.</w:t>
            </w:r>
          </w:p>
        </w:tc>
        <w:tc>
          <w:tcPr>
            <w:tcW w:w="780" w:type="dxa"/>
            <w:vAlign w:val="bottom"/>
          </w:tcPr>
          <w:p>
            <w:pPr>
              <w:ind w:left="100"/>
              <w:spacing w:after="0"/>
              <w:rPr>
                <w:sz w:val="20"/>
                <w:szCs w:val="20"/>
                <w:color w:val="auto"/>
              </w:rPr>
            </w:pPr>
            <w:r>
              <w:rPr>
                <w:rFonts w:ascii="Arial" w:cs="Arial" w:eastAsia="Arial" w:hAnsi="Arial"/>
                <w:sz w:val="14"/>
                <w:szCs w:val="14"/>
                <w:color w:val="auto"/>
              </w:rPr>
              <w:t>Finance</w:t>
            </w:r>
          </w:p>
        </w:tc>
      </w:tr>
      <w:tr>
        <w:trPr>
          <w:trHeight w:val="263"/>
        </w:trPr>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tc>
        <w:tc>
          <w:tcPr>
            <w:tcW w:w="780" w:type="dxa"/>
            <w:vAlign w:val="bottom"/>
          </w:tcPr>
          <w:p>
            <w:pPr>
              <w:spacing w:after="0"/>
              <w:rPr>
                <w:sz w:val="22"/>
                <w:szCs w:val="22"/>
                <w:color w:val="auto"/>
              </w:rPr>
            </w:pPr>
          </w:p>
        </w:tc>
      </w:tr>
      <w:tr>
        <w:trPr>
          <w:trHeight w:val="148"/>
        </w:trPr>
        <w:tc>
          <w:tcPr>
            <w:tcW w:w="2060" w:type="dxa"/>
            <w:vAlign w:val="bottom"/>
            <w:gridSpan w:val="4"/>
          </w:tcPr>
          <w:p>
            <w:pPr>
              <w:spacing w:after="0" w:line="149" w:lineRule="exact"/>
              <w:rPr>
                <w:sz w:val="20"/>
                <w:szCs w:val="20"/>
                <w:color w:val="auto"/>
              </w:rPr>
            </w:pPr>
            <w:r>
              <w:rPr>
                <w:rFonts w:ascii="Arial" w:cs="Arial" w:eastAsia="Arial" w:hAnsi="Arial"/>
                <w:sz w:val="14"/>
                <w:szCs w:val="14"/>
                <w:color w:val="auto"/>
              </w:rPr>
              <w:t>Aria Systems, Inc.</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w w:val="96"/>
              </w:rPr>
              <w:t>Application</w:t>
            </w:r>
          </w:p>
        </w:tc>
      </w:tr>
      <w:tr>
        <w:trPr>
          <w:trHeight w:val="182"/>
        </w:trPr>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color w:val="auto"/>
              </w:rPr>
              <w:t>Software</w:t>
            </w: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0"/>
                <w:szCs w:val="10"/>
                <w:b w:val="1"/>
                <w:bCs w:val="1"/>
                <w:color w:val="auto"/>
                <w:w w:val="96"/>
              </w:rPr>
              <w:t>(1),(5),(10)</w:t>
            </w:r>
          </w:p>
        </w:tc>
        <w:tc>
          <w:tcPr>
            <w:tcW w:w="10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0"/>
                <w:szCs w:val="10"/>
                <w:b w:val="1"/>
                <w:bCs w:val="1"/>
                <w:color w:val="auto"/>
                <w:w w:val="97"/>
              </w:rPr>
              <w:t>(2),(8)</w:t>
            </w:r>
          </w:p>
        </w:tc>
        <w:tc>
          <w:tcPr>
            <w:tcW w:w="120" w:type="dxa"/>
            <w:vAlign w:val="bottom"/>
            <w:vMerge w:val="restart"/>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140" w:type="dxa"/>
            <w:vAlign w:val="bottom"/>
            <w:gridSpan w:val="2"/>
          </w:tcPr>
          <w:p>
            <w:pPr>
              <w:spacing w:after="0"/>
              <w:rPr>
                <w:sz w:val="20"/>
                <w:szCs w:val="20"/>
                <w:color w:val="auto"/>
              </w:rPr>
            </w:pPr>
            <w:r>
              <w:rPr>
                <w:rFonts w:ascii="Arial" w:cs="Arial" w:eastAsia="Arial" w:hAnsi="Arial"/>
                <w:sz w:val="14"/>
                <w:szCs w:val="14"/>
                <w:color w:val="auto"/>
              </w:rPr>
              <w:t>Tranche I: LIBOR+12.00% PIK,</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5/16/2017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6,519,240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6,502,036</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4,913,150</w:t>
            </w: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8/3/2017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1,637,717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Tranche III: LIBOR+12.00% PIK,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7/6/2018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542,721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543,783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409,016</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9/5/2018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408,445</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Tranche V: LIBOR+12.00% PIK,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1/28/2019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1,079,293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1,073,081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813,382</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20"/>
                <w:szCs w:val="20"/>
                <w:color w:val="auto"/>
              </w:rPr>
            </w:pPr>
            <w:r>
              <w:rPr>
                <w:rFonts w:ascii="Arial" w:cs="Arial" w:eastAsia="Arial" w:hAnsi="Arial"/>
                <w:sz w:val="14"/>
                <w:szCs w:val="14"/>
                <w:color w:val="auto"/>
              </w:rPr>
              <w:t xml:space="preserve">4/30/2021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12/18/2019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1,034,143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1,034,143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779,370</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11,865,327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8,961,080</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140" w:type="dxa"/>
            <w:vAlign w:val="bottom"/>
            <w:gridSpan w:val="2"/>
          </w:tcPr>
          <w:p>
            <w:pPr>
              <w:ind w:left="40"/>
              <w:spacing w:after="0"/>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(7)</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12/14/2020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884,774</w:t>
            </w:r>
          </w:p>
        </w:tc>
        <w:tc>
          <w:tcPr>
            <w:tcW w:w="1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140" w:type="dxa"/>
            <w:vAlign w:val="bottom"/>
            <w:gridSpan w:val="2"/>
          </w:tcPr>
          <w:p>
            <w:pPr>
              <w:ind w:left="40"/>
              <w:spacing w:after="0"/>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1"/>
              </w:rPr>
              <w:t>12/14/2020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1"/>
              </w:rPr>
              <w:t>12/14/2020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298,325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12/14/2020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13,911,494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9,845,854</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140" w:type="dxa"/>
            <w:vAlign w:val="bottom"/>
            <w:gridSpan w:val="2"/>
          </w:tcPr>
          <w:p>
            <w:pPr>
              <w:spacing w:after="0"/>
              <w:rPr>
                <w:sz w:val="20"/>
                <w:szCs w:val="20"/>
                <w:color w:val="auto"/>
              </w:rPr>
            </w:pPr>
            <w:r>
              <w:rPr>
                <w:rFonts w:ascii="Arial" w:cs="Arial" w:eastAsia="Arial" w:hAnsi="Arial"/>
                <w:sz w:val="14"/>
                <w:szCs w:val="14"/>
                <w:color w:val="auto"/>
              </w:rPr>
              <w:t>Bonds, 5.75% Interest rate, due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13,227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253,095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333,453</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140" w:type="dxa"/>
            <w:vAlign w:val="bottom"/>
            <w:gridSpan w:val="2"/>
          </w:tcPr>
          <w:p>
            <w:pPr>
              <w:spacing w:after="0"/>
              <w:rPr>
                <w:sz w:val="20"/>
                <w:szCs w:val="20"/>
                <w:color w:val="auto"/>
              </w:rPr>
            </w:pPr>
            <w:r>
              <w:rPr>
                <w:rFonts w:ascii="Arial" w:cs="Arial" w:eastAsia="Arial" w:hAnsi="Arial"/>
                <w:sz w:val="14"/>
                <w:szCs w:val="14"/>
                <w:color w:val="auto"/>
                <w:w w:val="99"/>
              </w:rPr>
              <w:t>Tranche I: LIBOR+9.00%, 11.35%</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6/29/2018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25,573,394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26,487,949</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LIBOR+9.00%,</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11.35% floor, 4.50%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12/15/2021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2,546,484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2,648,795</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-4740910</wp:posOffset>
            </wp:positionV>
            <wp:extent cx="629221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-4175125</wp:posOffset>
            </wp:positionV>
            <wp:extent cx="629221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-3609340</wp:posOffset>
            </wp:positionV>
            <wp:extent cx="629221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-3043555</wp:posOffset>
            </wp:positionV>
            <wp:extent cx="629221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-2752090</wp:posOffset>
            </wp:positionV>
            <wp:extent cx="6292215"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-2468880</wp:posOffset>
            </wp:positionV>
            <wp:extent cx="629221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-2280285</wp:posOffset>
            </wp:positionV>
            <wp:extent cx="6292215"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-1714500</wp:posOffset>
            </wp:positionV>
            <wp:extent cx="6292215"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-1329055</wp:posOffset>
            </wp:positionV>
            <wp:extent cx="629221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-951865</wp:posOffset>
            </wp:positionV>
            <wp:extent cx="6292215"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-668655</wp:posOffset>
            </wp:positionV>
            <wp:extent cx="629221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-480695</wp:posOffset>
            </wp:positionV>
            <wp:extent cx="629221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-4937760</wp:posOffset>
            </wp:positionV>
            <wp:extent cx="629221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3040" w:space="180"/>
            <w:col w:w="6680"/>
          </w:cols>
          <w:pgMar w:left="980" w:top="517" w:right="10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5"/>
          </w:tcPr>
          <w:p>
            <w:pPr>
              <w:jc w:val="right"/>
              <w:ind w:right="428"/>
              <w:spacing w:after="0"/>
              <w:rPr>
                <w:sz w:val="20"/>
                <w:szCs w:val="20"/>
                <w:color w:val="auto"/>
              </w:rPr>
            </w:pPr>
            <w:r>
              <w:rPr>
                <w:rFonts w:ascii="Arial" w:cs="Arial" w:eastAsia="Arial" w:hAnsi="Arial"/>
                <w:sz w:val="18"/>
                <w:szCs w:val="18"/>
                <w:b w:val="1"/>
                <w:bCs w:val="1"/>
                <w:color w:val="auto"/>
              </w:rPr>
              <w:t>RUNWAY GROWTH FINANCE CORP.</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5"/>
          </w:tcPr>
          <w:p>
            <w:pPr>
              <w:jc w:val="right"/>
              <w:ind w:right="448"/>
              <w:spacing w:after="0"/>
              <w:rPr>
                <w:sz w:val="20"/>
                <w:szCs w:val="20"/>
                <w:color w:val="auto"/>
              </w:rPr>
            </w:pPr>
            <w:r>
              <w:rPr>
                <w:rFonts w:ascii="Arial" w:cs="Arial" w:eastAsia="Arial" w:hAnsi="Arial"/>
                <w:sz w:val="18"/>
                <w:szCs w:val="18"/>
                <w:b w:val="1"/>
                <w:bCs w:val="1"/>
                <w:color w:val="auto"/>
                <w:w w:val="97"/>
              </w:rPr>
              <w:t>Schedule of Investments — (continued)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3"/>
          </w:tcPr>
          <w:p>
            <w:pPr>
              <w:jc w:val="right"/>
              <w:ind w:right="328"/>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Retail</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LIBOR+8.25%, 9.25%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$ 35,000,000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34,722,601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34,722,601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7.45 %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12/17/2020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29,733,181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29,758,229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7.50% 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16,348,200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15,598,546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LIBOR+7.50%, 1.00%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10.00% floor, 2.75%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6/13/2023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7,615,625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7,540,959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7,447,536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Human</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LIBOR+9.50%, 1.25%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Resource &amp;</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11.25% floor, 3.00%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Employment</w:t>
            </w:r>
          </w:p>
        </w:tc>
        <w:tc>
          <w:tcPr>
            <w:tcW w:w="2140" w:type="dxa"/>
            <w:vAlign w:val="bottom"/>
            <w:gridSpan w:val="2"/>
          </w:tcPr>
          <w:p>
            <w:pPr>
              <w:ind w:left="100"/>
              <w:spacing w:after="0" w:line="149" w:lineRule="exact"/>
              <w:rPr>
                <w:sz w:val="20"/>
                <w:szCs w:val="20"/>
                <w:color w:val="auto"/>
              </w:rPr>
            </w:pPr>
            <w:r>
              <w:rPr>
                <w:rFonts w:ascii="Arial" w:cs="Arial" w:eastAsia="Arial" w:hAnsi="Arial"/>
                <w:sz w:val="17"/>
                <w:szCs w:val="17"/>
                <w:color w:val="auto"/>
                <w:vertAlign w:val="subscript"/>
              </w:rPr>
              <w:t>12/15/2023</w:t>
            </w:r>
            <w:r>
              <w:rPr>
                <w:rFonts w:ascii="Arial" w:cs="Arial" w:eastAsia="Arial" w:hAnsi="Arial"/>
                <w:sz w:val="8"/>
                <w:szCs w:val="8"/>
                <w:color w:val="auto"/>
              </w:rPr>
              <w:t xml:space="preserve"> (3),(4),(11)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25,146,185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24,772,553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24,772,553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Specialized</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Tranche I: LIBOR+8.35%, 10.25%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Consumer</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34,693,762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34,531,361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9"/>
              </w:rPr>
              <w:t>Tranche II: LIBOR+8.35% , 2.00%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PIK on overadvance, 10.25% floor,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 xml:space="preserve">due 5/15/2023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9,489,736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9,362,671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LIBOR+9.15%, 11.50%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5.13% 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5,872,257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6,177,307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6,180,487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Education</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9"/>
              </w:rPr>
              <w:t>Tranche I: LIBOR+9.25%, 12.05%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14,078,320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14,324,161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12.05% floor, 4.00%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5/3/2023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3,029,295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3,069,463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LIBOR+9.25%, 9.75%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10/19/2020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44,330,193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44,330,193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9.51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9"/>
              </w:rPr>
              <w:t>Tranche I: LIBOR+8.00%, 10.50%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 and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2.50% ETP, due 7/15/2023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19,899,836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19,817,189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LIBOR+8.00%,</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10.50% floor, 2.50%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9,825,946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9,908,594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10.75%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 and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3.00% ETP, due 6/15/2023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12/12/2019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30,054,163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30,270,499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LIBOR+8.25%, 10.65% floor,</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Electronics</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4.00% ETP, due 1/15/2023</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18,474,451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18,597,407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18,405,948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w w:val="96"/>
              </w:rPr>
              <w:t>Mingle Healthcare Solutions,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10.00% ETP, due 8/15/2022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4,416,667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4,683,180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4,646,930</w:t>
            </w:r>
          </w:p>
        </w:tc>
        <w:tc>
          <w:tcPr>
            <w:tcW w:w="1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5"/>
          </w:tcPr>
          <w:p>
            <w:pPr>
              <w:jc w:val="right"/>
              <w:ind w:right="428"/>
              <w:spacing w:after="0"/>
              <w:rPr>
                <w:sz w:val="20"/>
                <w:szCs w:val="20"/>
                <w:color w:val="auto"/>
              </w:rPr>
            </w:pPr>
            <w:r>
              <w:rPr>
                <w:rFonts w:ascii="Arial" w:cs="Arial" w:eastAsia="Arial" w:hAnsi="Arial"/>
                <w:sz w:val="18"/>
                <w:szCs w:val="18"/>
                <w:b w:val="1"/>
                <w:bCs w:val="1"/>
                <w:color w:val="auto"/>
              </w:rPr>
              <w:t>RUNWAY GROWTH FINANCE CORP.</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5"/>
          </w:tcPr>
          <w:p>
            <w:pPr>
              <w:jc w:val="right"/>
              <w:ind w:right="448"/>
              <w:spacing w:after="0"/>
              <w:rPr>
                <w:sz w:val="20"/>
                <w:szCs w:val="20"/>
                <w:color w:val="auto"/>
              </w:rPr>
            </w:pPr>
            <w:r>
              <w:rPr>
                <w:rFonts w:ascii="Arial" w:cs="Arial" w:eastAsia="Arial" w:hAnsi="Arial"/>
                <w:sz w:val="18"/>
                <w:szCs w:val="18"/>
                <w:b w:val="1"/>
                <w:bCs w:val="1"/>
                <w:color w:val="auto"/>
                <w:w w:val="97"/>
              </w:rPr>
              <w:t>Schedule of Investments — (continued)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3"/>
          </w:tcPr>
          <w:p>
            <w:pPr>
              <w:jc w:val="right"/>
              <w:ind w:right="328"/>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3"/>
                <w:szCs w:val="13"/>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3DNA Corp. (dba NationBuilder)</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Tranche I: LIBOR+9.00%, 11.50%</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5.50% ETP, due 4/15/2023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12/28/2018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7,079,561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11.50% floor, 5.50%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4/15/2023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6/12/2019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512,117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505,683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10.75% floor, 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Hardware,</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11/27/2018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7,234,515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21,345,001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21,609,825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19,864,282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LIBOR+8.50%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LIBOR+8.50%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10/2/2020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930,629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2.00%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9.05% floor, 3.50%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7/22/2024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40,327,734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9"/>
              </w:rPr>
              <w:t>Tranche I: LIBOR+9.25%, 11.60%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3.00% ETP, due 12/31/2022</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18,850,776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18,850,776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965,131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965,131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Application</w:t>
            </w:r>
          </w:p>
        </w:tc>
        <w:tc>
          <w:tcPr>
            <w:tcW w:w="22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3/24/2020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788,143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788,143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4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LIBOR+9.05%, 9.55% floor,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Technology</w:t>
            </w:r>
          </w:p>
        </w:tc>
        <w:tc>
          <w:tcPr>
            <w:tcW w:w="224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3.00% ETP, due 12/1/2024</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12/29/2020</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494,689,952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493,003,577</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105.74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7/10/2018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451,494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0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Technology</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40" w:type="dxa"/>
            <w:vAlign w:val="bottom"/>
            <w:gridSpan w:val="3"/>
            <w:shd w:val="clear" w:color="auto" w:fill="CCEEFF"/>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(15),(16)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760,000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18,687,450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14,659,600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18,937,450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15,111,094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5"/>
          </w:tcPr>
          <w:p>
            <w:pPr>
              <w:jc w:val="right"/>
              <w:ind w:right="408"/>
              <w:spacing w:after="0"/>
              <w:rPr>
                <w:sz w:val="20"/>
                <w:szCs w:val="20"/>
                <w:color w:val="auto"/>
              </w:rPr>
            </w:pPr>
            <w:r>
              <w:rPr>
                <w:rFonts w:ascii="Arial" w:cs="Arial" w:eastAsia="Arial" w:hAnsi="Arial"/>
                <w:sz w:val="18"/>
                <w:szCs w:val="18"/>
                <w:b w:val="1"/>
                <w:bCs w:val="1"/>
                <w:color w:val="auto"/>
              </w:rPr>
              <w:t>RUNWAY GROWTH FINANCE CORP.</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5"/>
          </w:tcPr>
          <w:p>
            <w:pPr>
              <w:jc w:val="right"/>
              <w:ind w:right="428"/>
              <w:spacing w:after="0"/>
              <w:rPr>
                <w:sz w:val="20"/>
                <w:szCs w:val="20"/>
                <w:color w:val="auto"/>
              </w:rPr>
            </w:pPr>
            <w:r>
              <w:rPr>
                <w:rFonts w:ascii="Arial" w:cs="Arial" w:eastAsia="Arial" w:hAnsi="Arial"/>
                <w:sz w:val="18"/>
                <w:szCs w:val="18"/>
                <w:b w:val="1"/>
                <w:bCs w:val="1"/>
                <w:color w:val="auto"/>
                <w:w w:val="96"/>
              </w:rPr>
              <w:t>Schedule of Investments — (continued)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1000"/>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12/23/2020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118,100</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521,940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12/31/2020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6,811,430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1,119,096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1,237,196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521,940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9/1/2027</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870,514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1,749,733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980,199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2,170,641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770,578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2,772,147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224,174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583,301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1,217,000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$5.25/share,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9/30/2029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12/17/2030</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12/17/2020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1,538,462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3,083,703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10/31/2019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384,615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845,540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770,926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$1.60/share,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6/13/2029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210,938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273,798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298,697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1/7/2030</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596,167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(3),(6)</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333,621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264,160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297,136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833,333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495,226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$1.5963/share, expires 5/3/2029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5"/>
          </w:tcPr>
          <w:p>
            <w:pPr>
              <w:jc w:val="right"/>
              <w:ind w:right="408"/>
              <w:spacing w:after="0"/>
              <w:rPr>
                <w:sz w:val="20"/>
                <w:szCs w:val="20"/>
                <w:color w:val="auto"/>
              </w:rPr>
            </w:pPr>
            <w:r>
              <w:rPr>
                <w:rFonts w:ascii="Arial" w:cs="Arial" w:eastAsia="Arial" w:hAnsi="Arial"/>
                <w:sz w:val="18"/>
                <w:szCs w:val="18"/>
                <w:b w:val="1"/>
                <w:bCs w:val="1"/>
                <w:color w:val="auto"/>
              </w:rPr>
              <w:t>RUNWAY GROWTH FINANCE CORP.</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5"/>
          </w:tcPr>
          <w:p>
            <w:pPr>
              <w:jc w:val="right"/>
              <w:ind w:right="428"/>
              <w:spacing w:after="0"/>
              <w:rPr>
                <w:sz w:val="20"/>
                <w:szCs w:val="20"/>
                <w:color w:val="auto"/>
              </w:rPr>
            </w:pPr>
            <w:r>
              <w:rPr>
                <w:rFonts w:ascii="Arial" w:cs="Arial" w:eastAsia="Arial" w:hAnsi="Arial"/>
                <w:sz w:val="18"/>
                <w:szCs w:val="18"/>
                <w:b w:val="1"/>
                <w:bCs w:val="1"/>
                <w:color w:val="auto"/>
                <w:w w:val="96"/>
              </w:rPr>
              <w:t>Schedule of Investments — (continued)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1000"/>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10/19/2030</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10/19/2020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438,014</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12/1/2027 </w:t>
            </w:r>
            <w:r>
              <w:rPr>
                <w:rFonts w:ascii="Arial" w:cs="Arial" w:eastAsia="Arial" w:hAnsi="Arial"/>
                <w:sz w:val="10"/>
                <w:szCs w:val="10"/>
                <w:color w:val="auto"/>
                <w:w w:val="96"/>
              </w:rPr>
              <w:t>(12)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498,900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506,293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7/26/2029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504,439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12/12/2019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322,997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304,264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w w:val="98"/>
              </w:rPr>
              <w:t>Mingle Healthcare Solutions, Inc.</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1/8/2022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837,000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2,492,000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8"/>
              </w:rPr>
              <w:t>$1.4643/share, expires 12/28/2028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12/28/2018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$0.3323/share, expires 11/27/2028</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11/27/2018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1,805,597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9,901,935</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$0.59/share,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5/13/2029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12/23/2020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12/28/2018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$0.8031/share,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9,665,667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SendtoNews Video,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Advertising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6/30/2027 </w:t>
            </w:r>
            <w:r>
              <w:rPr>
                <w:rFonts w:ascii="Arial" w:cs="Arial" w:eastAsia="Arial" w:hAnsi="Arial"/>
                <w:sz w:val="10"/>
                <w:szCs w:val="10"/>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5"/>
          </w:tcPr>
          <w:p>
            <w:pPr>
              <w:jc w:val="center"/>
              <w:ind w:right="248"/>
              <w:spacing w:after="0"/>
              <w:rPr>
                <w:sz w:val="20"/>
                <w:szCs w:val="20"/>
                <w:color w:val="auto"/>
              </w:rPr>
            </w:pPr>
            <w:r>
              <w:rPr>
                <w:rFonts w:ascii="Arial" w:cs="Arial" w:eastAsia="Arial" w:hAnsi="Arial"/>
                <w:sz w:val="18"/>
                <w:szCs w:val="18"/>
                <w:b w:val="1"/>
                <w:bCs w:val="1"/>
                <w:color w:val="auto"/>
                <w:w w:val="99"/>
              </w:rPr>
              <w:t>RUNWAY GROWTH FINANCE CORP.</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5"/>
          </w:tcPr>
          <w:p>
            <w:pPr>
              <w:jc w:val="right"/>
              <w:ind w:right="448"/>
              <w:spacing w:after="0"/>
              <w:rPr>
                <w:sz w:val="20"/>
                <w:szCs w:val="20"/>
                <w:color w:val="auto"/>
              </w:rPr>
            </w:pPr>
            <w:r>
              <w:rPr>
                <w:rFonts w:ascii="Arial" w:cs="Arial" w:eastAsia="Arial" w:hAnsi="Arial"/>
                <w:sz w:val="18"/>
                <w:szCs w:val="18"/>
                <w:b w:val="1"/>
                <w:bCs w:val="1"/>
                <w:color w:val="auto"/>
                <w:w w:val="97"/>
              </w:rPr>
              <w:t>Schedule of Investments — (continued)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jc w:val="center"/>
              <w:ind w:left="420"/>
              <w:spacing w:after="0"/>
              <w:rPr>
                <w:sz w:val="20"/>
                <w:szCs w:val="20"/>
                <w:color w:val="auto"/>
              </w:rPr>
            </w:pPr>
            <w:r>
              <w:rPr>
                <w:rFonts w:ascii="Arial" w:cs="Arial" w:eastAsia="Arial" w:hAnsi="Arial"/>
                <w:sz w:val="18"/>
                <w:szCs w:val="18"/>
                <w:b w:val="1"/>
                <w:bCs w:val="1"/>
                <w:color w:val="auto"/>
                <w:w w:val="88"/>
              </w:rPr>
              <w:t>December 31, 2020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4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1"/>
              </w:rPr>
              <w:t>Data Processing</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&amp; Outsourced</w:t>
            </w:r>
          </w:p>
        </w:tc>
        <w:tc>
          <w:tcPr>
            <w:tcW w:w="2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Software</w:t>
            </w:r>
          </w:p>
        </w:tc>
        <w:tc>
          <w:tcPr>
            <w:tcW w:w="224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exercise price $0.01/share, expires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81,177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Technology</w:t>
            </w:r>
          </w:p>
        </w:tc>
        <w:tc>
          <w:tcPr>
            <w:tcW w:w="214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17,558,364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33,008,672</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532,676,057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541,978,736</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116.24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gridSpan w:val="5"/>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40" w:type="dxa"/>
            <w:vAlign w:val="bottom"/>
            <w:gridSpan w:val="3"/>
          </w:tcPr>
          <w:p>
            <w:pPr>
              <w:ind w:left="100"/>
              <w:spacing w:after="0" w:line="103" w:lineRule="exact"/>
              <w:rPr>
                <w:sz w:val="20"/>
                <w:szCs w:val="20"/>
                <w:color w:val="auto"/>
              </w:rPr>
            </w:pPr>
            <w:r>
              <w:rPr>
                <w:rFonts w:ascii="Arial" w:cs="Arial" w:eastAsia="Arial" w:hAnsi="Arial"/>
                <w:sz w:val="11"/>
                <w:szCs w:val="11"/>
                <w:color w:val="auto"/>
              </w:rPr>
              <w:t>U.S. Treasury Bill, 0.40%, due</w:t>
            </w: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 xml:space="preserve">01/12/2021 </w:t>
            </w:r>
            <w:r>
              <w:rPr>
                <w:rFonts w:ascii="Arial" w:cs="Arial" w:eastAsia="Arial" w:hAnsi="Arial"/>
                <w:sz w:val="10"/>
                <w:szCs w:val="10"/>
                <w:color w:val="auto"/>
              </w:rPr>
              <w:t>(9)</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12/30/2020</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70,000,000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70,001,472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70,002,060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616,589,023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621,826,650</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133.37</w:t>
            </w:r>
          </w:p>
        </w:tc>
        <w:tc>
          <w:tcPr>
            <w:tcW w:w="1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0.24% and the U.S. Prime Rate was 3.25%.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118.36%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5"/>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represent 10.68%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Treasury bills with $70,000,000 in aggregate of par value were purchased pursuant to a 0.40% reverse repurchase agreement with Goldman Sachs dated December 30, 2020 and due to the Company on January 12 2021, with a repurchase price to the Company of $69,650,000, collateralized by a 0.40% U.S. Treasury Bill due January 12 2021 with an aggregate par value of $70,000,000 and fair value of $70,002,060.</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spacing w:after="0" w:line="92"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4"/>
          <w:szCs w:val="14"/>
          <w:color w:val="auto"/>
        </w:rPr>
        <w:t>260,000 shares of MTBC, Inc. preferred stock with a fair value of $1,429,600 have restrictions on the sale of the shares due to escrow claims, and such fair value is considered a Level 2 fair value measurement under the fair value hierarchy.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December 31, 2020, along with the transactions during the year ended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10"/>
          </w:tcPr>
          <w:p>
            <w:pPr>
              <w:jc w:val="center"/>
              <w:ind w:left="17"/>
              <w:spacing w:after="0"/>
              <w:rPr>
                <w:sz w:val="20"/>
                <w:szCs w:val="20"/>
                <w:color w:val="auto"/>
              </w:rPr>
            </w:pPr>
            <w:r>
              <w:rPr>
                <w:rFonts w:ascii="Arial" w:cs="Arial" w:eastAsia="Arial" w:hAnsi="Arial"/>
                <w:sz w:val="13"/>
                <w:szCs w:val="13"/>
                <w:b w:val="1"/>
                <w:bCs w:val="1"/>
                <w:color w:val="auto"/>
                <w:w w:val="87"/>
              </w:rPr>
              <w:t>For the Year Ended December 31, 2020</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Net Change in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Gains</w:t>
            </w:r>
          </w:p>
        </w:tc>
        <w:tc>
          <w:tcPr>
            <w:tcW w:w="8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53"/>
        </w:trPr>
        <w:tc>
          <w:tcPr>
            <w:tcW w:w="210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180" w:type="dxa"/>
            <w:vAlign w:val="bottom"/>
            <w:gridSpan w:val="3"/>
          </w:tcPr>
          <w:p>
            <w:pPr>
              <w:ind w:left="100"/>
              <w:spacing w:after="0"/>
              <w:rPr>
                <w:sz w:val="20"/>
                <w:szCs w:val="20"/>
                <w:color w:val="auto"/>
              </w:rPr>
            </w:pPr>
            <w:r>
              <w:rPr>
                <w:rFonts w:ascii="Arial" w:cs="Arial" w:eastAsia="Arial" w:hAnsi="Arial"/>
                <w:sz w:val="13"/>
                <w:szCs w:val="13"/>
                <w:b w:val="1"/>
                <w:bCs w:val="1"/>
                <w:color w:val="auto"/>
              </w:rPr>
              <w:t>Investment Description</w:t>
            </w:r>
          </w:p>
        </w:tc>
        <w:tc>
          <w:tcPr>
            <w:tcW w:w="8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w w:val="85"/>
              </w:rPr>
              <w:t>December 31, 2019</w:t>
            </w:r>
          </w:p>
        </w:tc>
        <w:tc>
          <w:tcPr>
            <w:tcW w:w="100" w:type="dxa"/>
            <w:vAlign w:val="bottom"/>
          </w:tcPr>
          <w:p>
            <w:pPr>
              <w:spacing w:after="0"/>
              <w:rPr>
                <w:sz w:val="13"/>
                <w:szCs w:val="13"/>
                <w:color w:val="auto"/>
              </w:rPr>
            </w:pPr>
          </w:p>
        </w:tc>
        <w:tc>
          <w:tcPr>
            <w:tcW w:w="68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2"/>
              </w:rPr>
              <w:t>Additions</w:t>
            </w:r>
            <w:r>
              <w:rPr>
                <w:rFonts w:ascii="Arial" w:cs="Arial" w:eastAsia="Arial" w:hAnsi="Arial"/>
                <w:sz w:val="17"/>
                <w:szCs w:val="17"/>
                <w:b w:val="1"/>
                <w:bCs w:val="1"/>
                <w:color w:val="auto"/>
                <w:w w:val="92"/>
                <w:vertAlign w:val="superscript"/>
              </w:rPr>
              <w:t>(1)</w:t>
            </w:r>
          </w:p>
        </w:tc>
        <w:tc>
          <w:tcPr>
            <w:tcW w:w="100" w:type="dxa"/>
            <w:vAlign w:val="bottom"/>
          </w:tcPr>
          <w:p>
            <w:pPr>
              <w:spacing w:after="0"/>
              <w:rPr>
                <w:sz w:val="13"/>
                <w:szCs w:val="13"/>
                <w:color w:val="auto"/>
              </w:rPr>
            </w:pPr>
          </w:p>
        </w:tc>
        <w:tc>
          <w:tcPr>
            <w:tcW w:w="72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88"/>
              </w:rPr>
              <w:t>Reductions</w:t>
            </w:r>
            <w:r>
              <w:rPr>
                <w:rFonts w:ascii="Arial" w:cs="Arial" w:eastAsia="Arial" w:hAnsi="Arial"/>
                <w:sz w:val="17"/>
                <w:szCs w:val="17"/>
                <w:b w:val="1"/>
                <w:bCs w:val="1"/>
                <w:color w:val="auto"/>
                <w:w w:val="88"/>
                <w:vertAlign w:val="superscript"/>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(Losses)</w:t>
            </w: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8"/>
              </w:rPr>
              <w:t>(Depreciation)</w:t>
            </w:r>
          </w:p>
        </w:tc>
        <w:tc>
          <w:tcPr>
            <w:tcW w:w="2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2020</w:t>
            </w:r>
            <w:r>
              <w:rPr>
                <w:rFonts w:ascii="Arial" w:cs="Arial" w:eastAsia="Arial" w:hAnsi="Arial"/>
                <w:sz w:val="17"/>
                <w:szCs w:val="17"/>
                <w:b w:val="1"/>
                <w:bCs w:val="1"/>
                <w:color w:val="auto"/>
                <w:w w:val="91"/>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0"/>
              </w:rPr>
              <w:t>Tranche I: LIBOR+12.00% PIK, 12.00%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floor, 5% ETP, due 7/15/2021</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9"/>
              </w:rPr>
              <w:t>4,860,763</w:t>
            </w:r>
          </w:p>
        </w:tc>
        <w:tc>
          <w:tcPr>
            <w:tcW w:w="22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52,387</w:t>
            </w:r>
          </w:p>
        </w:tc>
        <w:tc>
          <w:tcPr>
            <w:tcW w:w="10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4,913,150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II: LIBOR+12.00%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94"/>
              </w:rPr>
              <w:t>12.00% floor, 5% ETP, due 7/15/2021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1,620,255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III: LIBOR+12.00% PIK,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4"/>
              </w:rPr>
              <w:t>12.00% floor, 5% ETP, due 7/15/2021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404,654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4,362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IV: LIBOR+12.00%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94"/>
              </w:rPr>
              <w:t>12.00% floor, 5% ETP, due 7/15/2021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V: LIBOR+12.00% PIK,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4"/>
              </w:rPr>
              <w:t>12.00% floor, 5% ETP, due 7/15/2021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804,709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8,673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813,382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VI: LIBOR+12.00% PIK,</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94"/>
              </w:rPr>
              <w:t>12.00% floor, 5% ETP, due 7/31/2021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771,060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w w:val="99"/>
              </w:rPr>
              <w:t>Total Senior Secured Term Loans</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8,865,531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4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95,549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b w:val="1"/>
                <w:bCs w:val="1"/>
                <w:color w:val="auto"/>
              </w:rPr>
              <w:t>Preferred Stocks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Mojix, Inc.</w:t>
            </w:r>
          </w:p>
        </w:tc>
        <w:tc>
          <w:tcPr>
            <w:tcW w:w="10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Series A-1 Preferred Stock</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84,774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884,774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Warrants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1"/>
              </w:rPr>
              <w:t>price $1.286/share, expires 12/13/2030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88"/>
              </w:rPr>
              <w:t>price $2.1286/share, expires 12/13/2030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price $5.57338/share, expires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12/13/2030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3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line="129" w:lineRule="exact"/>
              <w:rPr>
                <w:sz w:val="20"/>
                <w:szCs w:val="20"/>
                <w:color w:val="auto"/>
              </w:rPr>
            </w:pPr>
            <w:r>
              <w:rPr>
                <w:rFonts w:ascii="Arial" w:cs="Arial" w:eastAsia="Arial" w:hAnsi="Arial"/>
                <w:sz w:val="13"/>
                <w:szCs w:val="13"/>
                <w:b w:val="1"/>
                <w:bCs w:val="1"/>
                <w:color w:val="auto"/>
                <w:w w:val="98"/>
              </w:rPr>
              <w:t>Total Control/affiliate investments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9,665,531</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ind w:left="44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center"/>
              <w:ind w:left="337"/>
              <w:spacing w:after="0" w:line="129"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180,323</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90" w:lineRule="auto"/>
        <w:tabs>
          <w:tab w:leader="none" w:pos="660" w:val="left"/>
        </w:tabs>
        <w:numPr>
          <w:ilvl w:val="0"/>
          <w:numId w:val="6"/>
        </w:numPr>
        <w:rPr>
          <w:rFonts w:ascii="Arial" w:cs="Arial" w:eastAsia="Arial" w:hAnsi="Arial"/>
          <w:sz w:val="10"/>
          <w:szCs w:val="10"/>
          <w:color w:val="auto"/>
        </w:rPr>
      </w:pPr>
      <w:r>
        <w:rPr>
          <w:rFonts w:ascii="Arial" w:cs="Arial" w:eastAsia="Arial" w:hAnsi="Arial"/>
          <w:sz w:val="13"/>
          <w:szCs w:val="13"/>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43" w:lineRule="exact"/>
        <w:rPr>
          <w:rFonts w:ascii="Arial" w:cs="Arial" w:eastAsia="Arial" w:hAnsi="Arial"/>
          <w:sz w:val="10"/>
          <w:szCs w:val="10"/>
          <w:color w:val="auto"/>
        </w:rPr>
      </w:pPr>
    </w:p>
    <w:p>
      <w:pPr>
        <w:jc w:val="both"/>
        <w:ind w:left="660" w:right="20" w:hanging="328"/>
        <w:spacing w:after="0" w:line="238"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All investments in the portfolio company, which as of December 31, 2020 represented 2.11%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Company earned no investment income from control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294,585,551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113,684,806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70,958,641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22,726,932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166,728,532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79,159,609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65,886,330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60,804,985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53,016,743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45,470,398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19,240,254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18,682,426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17,136,450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Between December 2016 and December 2017, the Company completed its first private offering of shares of common stock to investors (the “Initial Private Offering”) in reliance on exemptions from the registration requirements of the Securities Act of 1933, as amended (the “Securities Act”), and other applicable securities laws. As of September 30, 2021, in connection with the Initial Private Offering, the Company had issued 18,241,157 shares of its common stock for a total purchase price of $275,000,000.</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September 30, 2021, the Company has completed multiple closings under its second private offering (the “Second Private Offering”) and had accepted aggregate capital commitments of $181,673,500. As of September 30, 2021, the Company has issued 9,617,379 shares of its common stock for a total purchase price of $144,260,683 in connection with the Second Private Offering and $37,412,817 of capital commitments remain undrawn. As of September 30, 2021, the Company has issued 22,564 shares as an additional direct investment by Runway Growth Holdings LLC, an affiliate of RGC, at a per-share price of $15.00 for total proceeds of $338,453. As of September 30, 2021, the Company has issued an additional 6,647,847 shares as part of the dividend reinvestment program. Refer to Note 6 for further detail.</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25, 2021, the Company closed its initial public offering ("IPO"), issuing 6,850,000 shares of its common stock at a public offering price of $14.60 per share. Net of underwriting fees and offering costs, the Company received net cash proceeds of $92.0 million. The Company has granted the underwriters an option to purchase up to an additional 1,027,500 shares of common stock at the public offering price, less the sales load payable by the Company, on or before November 19, 2021. The Company’s common stock began trading on the Nasdaq Global Select Market under the symbol “RWAY” on October 21, 2021.</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2021, including the impact of the coronavirus (“COVID-19”) pandemic thereon. The interim unaudited financial statements and notes hereto should be read in conjunction with the audited financial statements and notes thereto contained in the Company’s annual report on Form 10-K for the year ended December 31, 2020, filed with the SEC on March 11, 2021.</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items in the September 30, 2020 financial statements have been reclassified to conform to the September 30, 2021 presentation with no net effect on the net increase in net assets resulting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 receivable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Subscriptions receivable represents amounts due from investors when capital is called under subscription agreements and not yet received; and dividend amounts to be reinvested into the Company under the Company’s dividend reinvestment plan and not yet paid. As of September 30, 2021, $1,139,528 represented shares to be issued to investors for called capital. There were no subscriptions receivable as of December 31, 2020. As of November 4, 2021, there were no subscriptions receivable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fees and expenses associated with opening the KeyBank loan facilities or Credit Agreement (as defined below) are being deferred and amortized as part of interest expense using the effective interest method over the term of the Credit Agreement and the Credit Facilities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Debt issuance costs associated with the Credit Agreement and the Credit Facilities are classified as a direct reduction of the carrying amount of borrowings with the Credit Agreement and the Credit Facilities, unless there are no outstanding borrowings, in which case the debt issuance costs are presented as an asset.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and may in the future, enter into reverse repurchase agreements, under the terms of a Master Repurchase Agreement (the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a reverse repurchase agreement with Goldman Sachs, which expired on October 7, 2021, the Company purchased a U.S. Treasury Bill, due October 12, 2021. The fair value of the related collateral that the Company received for this agreement was $60,000,660 at September 30, 2021. Pursuant to a reverse repurchase agreement with Goldman Sachs which expired on January 6, 2021, the Company purchased a U.S. Treasury Bill, due January 12, 2021. The value of the related collateral that the Company received for this agreement was $70,002,060 at December 31, 2020. At September 30, 2021 and December 31, 2020, the repurchase liability was $59,699,461 and $69,650,000, respectively, which is reflected as “Reverse repurchase agreement” on the Statement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through a restructuring such that the interest and dividend income is deemed to be collectible. As of September 30, 2021, and December 31, 2020, the Company has not written off any accrued and uncollected PIK interest and dividends. As of September 30, 2021, the Company had six loans to Mojix, Inc. and one loan to Pivot3 Holdings, Inc., representing an aggregate principal funded of $30,383,707 at a fair value of $23,147,803, on non-accrual status, which represents 4.59% of the Company’s net assets. The non-accrual loans as of September 30, 2021 had total interest of $3,683,193 that would have been accrued into income. Had the loans not been on non-accrual status, $3,070,280 would be payable, and $612,913 would be OID. As of December 31, 2020, the Company had six loans to Mojix, Inc. representing an aggregate principal funded of $11,865,327 at a fair value of $8,961,080, on non-accrual status, which represented 1.92% of the Company's net assets. The non-accrual status loans as of December 31, 2020 had total interest of $1,627,725 that would have been accrued into income. Had the loan not been on non-accrual status, $1,213,861 would be payable, and $413,864 would be original issue discount. For the three and nine months ended September 30, 2021, approximately 2.4% and 4.5%, respectively, of the Company’s total investment income was attributable to non-cash PIK interest and dividend income. For the three and nine months ended September 30, 2020, approximately 11.0% and 5.7%, respectively, of the Company’s total investment income was attributable to non-cash PIK interest and dividend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Disclosure </w:t>
      </w:r>
      <w:r>
        <w:rPr>
          <w:rFonts w:ascii="Arial" w:cs="Arial" w:eastAsia="Arial" w:hAnsi="Arial"/>
          <w:sz w:val="18"/>
          <w:szCs w:val="18"/>
          <w:color w:val="auto"/>
        </w:rPr>
        <w:t>(“ASC Topic 820”), issued by the FASB. Fair value is the price that would be received to sell an asset or paid to transfer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 an orderly transaction between market participants at the measurement date.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580" w:hanging="31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580" w:hanging="315"/>
        <w:spacing w:after="0" w:line="30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05" w:lineRule="exact"/>
        <w:rPr>
          <w:rFonts w:ascii="Arial" w:cs="Arial" w:eastAsia="Arial" w:hAnsi="Arial"/>
          <w:sz w:val="17"/>
          <w:szCs w:val="17"/>
          <w:color w:val="auto"/>
        </w:rPr>
      </w:pPr>
    </w:p>
    <w:p>
      <w:pPr>
        <w:jc w:val="both"/>
        <w:ind w:left="580" w:hanging="315"/>
        <w:spacing w:after="0" w:line="279"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580" w:hanging="315"/>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29" w:lineRule="exact"/>
        <w:rPr>
          <w:rFonts w:ascii="Arial" w:cs="Arial" w:eastAsia="Arial" w:hAnsi="Arial"/>
          <w:sz w:val="18"/>
          <w:szCs w:val="18"/>
          <w:color w:val="auto"/>
        </w:rPr>
      </w:pPr>
    </w:p>
    <w:p>
      <w:pPr>
        <w:ind w:left="580" w:hanging="315"/>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80" w:hanging="315"/>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56" w:lineRule="exact"/>
        <w:rPr>
          <w:rFonts w:ascii="Arial" w:cs="Arial" w:eastAsia="Arial" w:hAnsi="Arial"/>
          <w:sz w:val="18"/>
          <w:szCs w:val="18"/>
          <w:color w:val="auto"/>
        </w:rPr>
      </w:pPr>
    </w:p>
    <w:p>
      <w:pPr>
        <w:ind w:left="580" w:right="20" w:hanging="315"/>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29" w:lineRule="exact"/>
        <w:rPr>
          <w:rFonts w:ascii="Arial" w:cs="Arial" w:eastAsia="Arial" w:hAnsi="Arial"/>
          <w:sz w:val="18"/>
          <w:szCs w:val="18"/>
          <w:color w:val="auto"/>
        </w:rPr>
      </w:pPr>
    </w:p>
    <w:p>
      <w:pPr>
        <w:jc w:val="both"/>
        <w:ind w:left="580" w:right="20" w:hanging="315"/>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231F20"/>
        </w:rPr>
        <w:t>The Company’s investments are primarily loans made to and equity and warrants of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debt investment, 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signficiant increase or decrease in these unobservable inputs.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580" w:hanging="315"/>
        <w:spacing w:after="0" w:line="291"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0" w:right="20"/>
        <w:spacing w:after="0" w:line="277" w:lineRule="auto"/>
        <w:rPr>
          <w:sz w:val="20"/>
          <w:szCs w:val="20"/>
          <w:color w:val="auto"/>
        </w:rPr>
      </w:pPr>
      <w:r>
        <w:rPr>
          <w:rFonts w:ascii="Arial" w:cs="Arial" w:eastAsia="Arial" w:hAnsi="Arial"/>
          <w:sz w:val="18"/>
          <w:szCs w:val="18"/>
          <w:color w:val="auto"/>
        </w:rPr>
        <w:t>“OPM,” including back-solve techniques, Probability Weighted Expected Return Models, or “PWERM,” and other techniques as determined to be appropriate.</w:t>
      </w:r>
    </w:p>
    <w:p>
      <w:pPr>
        <w:spacing w:after="0" w:line="143" w:lineRule="exact"/>
        <w:rPr>
          <w:sz w:val="20"/>
          <w:szCs w:val="20"/>
          <w:color w:val="auto"/>
        </w:rPr>
      </w:pPr>
    </w:p>
    <w:p>
      <w:pPr>
        <w:jc w:val="both"/>
        <w:ind w:left="580" w:hanging="315"/>
        <w:spacing w:after="0" w:line="25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580" w:hanging="315"/>
        <w:spacing w:after="0" w:line="25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580" w:hanging="315"/>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4" w:lineRule="exact"/>
        <w:rPr>
          <w:rFonts w:ascii="Arial" w:cs="Arial" w:eastAsia="Arial" w:hAnsi="Arial"/>
          <w:sz w:val="17"/>
          <w:szCs w:val="17"/>
          <w:color w:val="auto"/>
        </w:rPr>
      </w:pPr>
    </w:p>
    <w:p>
      <w:pPr>
        <w:jc w:val="both"/>
        <w:ind w:left="580" w:hanging="315"/>
        <w:spacing w:after="0" w:line="272"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2016, and has qualified and intends to continue to qualify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accounts for income taxes in conformity with ASC Topic 740,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September 30, 2021 or December 31, 2020. Although we file federal and state tax returns, our major tax jurisdiction is federal. The previous three tax year-ends and the interim tax period since then remain subject to examination by the Internal Revenue Service.</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does not timely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excise tax rate. The annual effective U.S. federal excise tax rate is determined by dividing the estimated annual excise tax by the estimated annual taxable income.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share is calculated using the weighted-average number of common shares outstanding for the period presented. For the three and nine months ended September 30, 2021 and 2020, basic and diluted earnings per share of common stock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generally intends to distribute, out of assets legally available for distribution, substantially all of its available earnings, on a quarterly basis, subject to the discretion of the Board of Directors. For the three and nine months ended September 30, 2021, the Company declared and paid dividends in the amount of $11,114,754 and $34,597,684, respectively, of which $2,713,539 and $7,602,878, respectively, was distributed in cash and the remainder distributed in shares to stockholders pursuant to the Company’s dividend reinvestment plan. For the three and nine months ended September 30, 2020, the Company declared dividends in the amount of $9,697,099 and $29,264,163, respectively, of which $1,762,387 and $5,405,487, respectively, was distributable in cash and the remainder distributable in shares to stockholders pursuant to the Company’s dividend reinvestment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investment advisory agreement in place between the Company and RGC at the time of the Initial Private Offering,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7"/>
          <w:szCs w:val="17"/>
          <w:color w:val="231F20"/>
        </w:rPr>
        <w:t>As a result, for the three and nine months ended September 30, 2021 and 2020, the Company did not incur any organization or</w:t>
      </w:r>
      <w:r>
        <w:rPr>
          <w:rFonts w:ascii="Arial" w:cs="Arial" w:eastAsia="Arial" w:hAnsi="Arial"/>
          <w:sz w:val="17"/>
          <w:szCs w:val="17"/>
          <w:color w:val="auto"/>
        </w:rPr>
        <w:t xml:space="preserve"> </w:t>
      </w:r>
      <w:r>
        <w:rPr>
          <w:rFonts w:ascii="Arial" w:cs="Arial" w:eastAsia="Arial" w:hAnsi="Arial"/>
          <w:sz w:val="17"/>
          <w:szCs w:val="17"/>
          <w:color w:val="231F20"/>
        </w:rPr>
        <w:t>offering expenses in connection with the Initial Private Offering.</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Offering costs related to new or follow-on offerings, including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September 30, 2021 and December 31, 2020, respectively, the Company had accumulated and recorded $646,362 and $608,989 of offering costs related to the Second Private Offering. As of each of September 30, 2021 and December 31, 2020, respectively, $186,198 and $123,009 in placement agent fees had been incurred. Under the terms of the Second Private Offering, offering costs in excess of $600,000, excluding placement agent fees, will be reimbursed by RGC.</w:t>
      </w:r>
    </w:p>
    <w:p>
      <w:pPr>
        <w:sectPr>
          <w:pgSz w:w="11900" w:h="16838" w:orient="portrait"/>
          <w:cols w:equalWidth="0" w:num="1">
            <w:col w:w="9920"/>
          </w:cols>
          <w:pgMar w:left="980" w:top="517"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and December 31, 2020, respectively, we had accumulated and recorded $439,929 and $0 of deferred offering costs related to the Company’s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March 2020, the FASB issued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for all entities through December 31, 2022. ASU No. 2021-01 provides increased clarity as the Company continues to evaluate the transition of reference rates and is currently evaluating the impact of adopting ASU No. 2020-04 and 2021-01 on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September 30, 2021, the Company had $165,345,185 in unfunded loan commitments to provide debt financing to its portfolio companies. The balance of unfunded commitments to extend financing as of September 30, 2021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231"/>
              <w:spacing w:after="0"/>
              <w:rPr>
                <w:sz w:val="20"/>
                <w:szCs w:val="20"/>
                <w:color w:val="auto"/>
              </w:rPr>
            </w:pPr>
            <w:r>
              <w:rPr>
                <w:rFonts w:ascii="Arial" w:cs="Arial" w:eastAsia="Arial" w:hAnsi="Arial"/>
                <w:sz w:val="14"/>
                <w:szCs w:val="14"/>
                <w:b w:val="1"/>
                <w:bCs w:val="1"/>
                <w:color w:val="auto"/>
                <w:w w:val="99"/>
              </w:rPr>
              <w:t>September 30, 2021</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CloudPay,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Credit Sesame,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Revolving Line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585,570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CrossRoads Extremity Systems, LLC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Dtex Systems,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Marley Spoon AG</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20,475,000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Route 92 Medical,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SetPoint Medical Corporation</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25,000,000</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ShareThis, Inc.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Snagajob.com,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6,784,615</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1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165,345,185</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2020, the Company had $49,085,569 in unfunded loan commitments to provide debt financing to its portfolio companies. The balance of unfunded commitments to extend financing as of December 31,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Pr>
          <w:p>
            <w:pPr>
              <w:spacing w:after="0"/>
              <w:rPr>
                <w:sz w:val="14"/>
                <w:szCs w:val="14"/>
                <w:color w:val="auto"/>
              </w:rPr>
            </w:pP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December 31, 2020</w:t>
            </w: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Sesame,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Revolving Line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and/or ability to drawdown capital from investors provides sufficient funds to cover its unfunded commitments as of September 30, 2021. The Company has evaluated the expected net future cash flows related to unfunded commitments and determined the fair value to be zero as of September 30, 2021 and December 31, 2020.</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any such legal proceedings cannot be predicted with certainty, the Company does not expect that any such proceedings will have a material effect upon its business, financial condition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sets forth the computation of basic income per common share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110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3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10,231,052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26,313,723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26,230,561</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4"/>
              </w:rPr>
              <w:t>Weighted-average shares outstanding for the period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33,160,481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27,271,559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32,360,107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26,603,966</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33,160,481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27,271,559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32,360,107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26,603,966</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Basic and diluted income per common share</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spacing w:after="0"/>
              <w:rPr>
                <w:sz w:val="18"/>
                <w:szCs w:val="18"/>
                <w:color w:val="auto"/>
              </w:rPr>
            </w:pPr>
          </w:p>
        </w:tc>
      </w:tr>
      <w:tr>
        <w:trPr>
          <w:trHeight w:val="230"/>
        </w:trPr>
        <w:tc>
          <w:tcPr>
            <w:tcW w:w="39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During the three months ended September 30, 2021, the Company issued 575,032 shares for $8,401,215 in connection with the reinvestment of dividends. The following table summarizes capital activity during the three months ended September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32,690,454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$ 326,904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$ 485,755,211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(8,343,018)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$ 477,739,097</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1,265,128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18,964,266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18,976,917</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8,395,464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8,401,215</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(32,542)</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10,741,124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10,741,124</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718,310</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718,310</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(1,228,382)</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(1,228,382)</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(11,114,754)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(11,114,754)</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34,530,614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$ 345,306</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$ 513,082,399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(9,226,720)</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$ 504,200,985</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During the nine months ended September 30, 2021, the Company issued 1,830,974 shares for $26,994,806 in connection with the reinvestment of dividends. The following table summarizes capital activity during the nine months ended September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$ 466,243,685</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1,285,589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19,270,972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19,283,828</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1,830,974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26,976,496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26,994,806</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(37,373)</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33,563,330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33,563,330</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(4,076,766)</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(4,076,766)</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(3,172,841)</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(3,172,841)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(34,597,684)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(34,597,684)</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34,530,614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$ 345,306</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$ 513,082,399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(9,226,720)</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$ 504,200,985</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three months ended September 30, 2020, the Company issued 550,639 shares for $7,934,712 in connection with the reinvestment of dividends. The following table summarizes capital activity during the three months ended September 30,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2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26,936,387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$ 269,364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$ 400,544,970</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(12,560,276)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$ 388,254,058</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7,929,206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7,934,712</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9,522,580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9,522,580</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1,142,706</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1,142,706</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243,742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243,742</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(9,697,099)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(9,697,099)</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27,487,026</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$ 274,870</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$ 408,475,681</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(11,348,347)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$ 397,402,204</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nine months ended September 30, 2020, the Company issued 1,654,791 shares for $23,858,677 in connection with the reinvestment of dividends. The following table summarizes capital activity during the nine months ended September 30,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$ 258,112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$ 376,313,221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315,098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315,308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1,654,791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23,842,129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23,858,677</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(51,400)</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27,040,008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27,040,008</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(5,370,702)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(5,370,702)</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4,561,255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4,561,255</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(29,264,163)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(29,264,163)</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27,487,026</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$ 274,870</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$ 408,475,681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(11,348,347)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$ 397,402,204</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shares of common stock issued, the price per share and the proceeds raised, from inception through September 30, 2021, are detailed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 Per</w:t>
            </w: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March 24, 2021</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34,530,614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517,376,489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1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connection with the Initial Private Offering, the Company issued 18,241,157 shares of its common stock to stockholders for a total purchase price of $275,000,000. Between June 14, 2019 and September 30, 2021, the Company accepted $181,673,500 in capital commitments under its Second Private Offering. As of September 30, 2021 and December 31, 2020, respectively, the Company issued 9,617,379 and 8,352,251 shares of its common stock for aggregate proceeds of $144,260,683 and $125,283,766 under the Second Private Offering. </w:t>
      </w:r>
      <w:r>
        <w:rPr>
          <w:rFonts w:ascii="Arial" w:cs="Arial" w:eastAsia="Arial" w:hAnsi="Arial"/>
          <w:sz w:val="18"/>
          <w:szCs w:val="18"/>
          <w:color w:val="231F20"/>
        </w:rPr>
        <w:t>As of September 30, 2021, the Company has issued 22,564 shares as an additional direct investment by Runway Growth</w:t>
      </w:r>
      <w:r>
        <w:rPr>
          <w:rFonts w:ascii="Arial" w:cs="Arial" w:eastAsia="Arial" w:hAnsi="Arial"/>
          <w:sz w:val="18"/>
          <w:szCs w:val="18"/>
          <w:color w:val="auto"/>
        </w:rPr>
        <w:t xml:space="preserve"> </w:t>
      </w:r>
      <w:r>
        <w:rPr>
          <w:rFonts w:ascii="Arial" w:cs="Arial" w:eastAsia="Arial" w:hAnsi="Arial"/>
          <w:sz w:val="18"/>
          <w:szCs w:val="18"/>
          <w:color w:val="231F20"/>
        </w:rPr>
        <w:t>Holdings LLC, an affiliate of RGC, at $15.00 per share for total proceeds of $338,453. For more information, see “Recent Developments.”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 commitments may be drawn down from investors by the Company on a pro rata basis, as needed, upon not less than ten</w:t>
      </w:r>
    </w:p>
    <w:p>
      <w:pPr>
        <w:spacing w:after="0" w:line="46" w:lineRule="exact"/>
        <w:rPr>
          <w:sz w:val="20"/>
          <w:szCs w:val="20"/>
          <w:color w:val="auto"/>
        </w:rPr>
      </w:pPr>
    </w:p>
    <w:p>
      <w:pPr>
        <w:jc w:val="both"/>
        <w:ind w:firstLine="8"/>
        <w:spacing w:after="0" w:line="302" w:lineRule="auto"/>
        <w:tabs>
          <w:tab w:leader="none" w:pos="3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days’ prior written notice for the purposes of funding the Company’s investments (including follow-on investments), paying the Company’s expenses, including fees under the second amended and restated investment advisory agreement, by and between the Company and RGC (the “Advisory Agreement”), and/or maintaining a reserve account for the payment of future expenses or liabilities.</w:t>
      </w:r>
    </w:p>
    <w:p>
      <w:pPr>
        <w:sectPr>
          <w:pgSz w:w="11900" w:h="16838" w:orient="portrait"/>
          <w:cols w:equalWidth="0" w:num="1">
            <w:col w:w="9920"/>
          </w:cols>
          <w:pgMar w:left="980" w:top="517" w:right="99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September 15, 2021, the Company delivered an optional capital drawdown notice (the “Option Notice”) to its investors relating to the investors remaining unfunded capital commitments. The Option Notice provided investors with the ability to elect to either</w:t>
      </w:r>
    </w:p>
    <w:p>
      <w:pPr>
        <w:jc w:val="both"/>
        <w:ind w:firstLine="8"/>
        <w:spacing w:after="0" w:line="253" w:lineRule="auto"/>
        <w:tabs>
          <w:tab w:leader="none" w:pos="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 their remaining unfunded capital commitment in full or (ii) not fund their remaining unfunded capital commitment without being considered in default under the terms of the subscription agreement, in either case by returning the Option Notice to the Company no later than September 20, 2021. Pursuant to the Option Notice, the Company sold 1,265,128 shares of common stock, par value $0.01 per share for an aggregate offering price of $18,976,917. The sale closed on September 29, 2021. As of September 30, 2021 the Company had $37,412,817 remaining in unfunded capital commitments.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April 7, 2021, the Board of Directors approved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amended the Prior Advisory Agreement to include certain revisions to the management and incentive fee calculation mechanisms and clarify language relating to liquidity events. The Advisory Agreement became effective on May 27, 2021 upon approval by the stockholders at a special meeting of stockholders of the Company. Under the terms of the Advisory Agreement, RGC:</w:t>
      </w:r>
    </w:p>
    <w:p>
      <w:pPr>
        <w:spacing w:after="0" w:line="194" w:lineRule="exact"/>
        <w:rPr>
          <w:sz w:val="20"/>
          <w:szCs w:val="20"/>
          <w:color w:val="auto"/>
        </w:rPr>
      </w:pPr>
    </w:p>
    <w:p>
      <w:pPr>
        <w:ind w:left="580" w:right="20" w:hanging="315"/>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43" w:lineRule="exact"/>
        <w:rPr>
          <w:rFonts w:ascii="Arial" w:cs="Arial" w:eastAsia="Arial" w:hAnsi="Arial"/>
          <w:sz w:val="18"/>
          <w:szCs w:val="18"/>
          <w:color w:val="auto"/>
        </w:rPr>
      </w:pPr>
    </w:p>
    <w:p>
      <w:pPr>
        <w:ind w:left="580" w:hanging="31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98" w:lineRule="exact"/>
        <w:rPr>
          <w:rFonts w:ascii="Arial" w:cs="Arial" w:eastAsia="Arial" w:hAnsi="Arial"/>
          <w:sz w:val="18"/>
          <w:szCs w:val="18"/>
          <w:color w:val="auto"/>
        </w:rPr>
      </w:pPr>
    </w:p>
    <w:p>
      <w:pPr>
        <w:ind w:left="580" w:hanging="31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84" w:lineRule="exact"/>
        <w:rPr>
          <w:rFonts w:ascii="Arial" w:cs="Arial" w:eastAsia="Arial" w:hAnsi="Arial"/>
          <w:sz w:val="18"/>
          <w:szCs w:val="18"/>
          <w:color w:val="auto"/>
        </w:rPr>
      </w:pPr>
    </w:p>
    <w:p>
      <w:pPr>
        <w:ind w:left="580" w:hanging="315"/>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base management fee is payable on the first day of each calendar quarter.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$1,000,000,000. For purposes of the Advisory</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less than $500,000,000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RGC earned base management fees of $2,301,656 and $6,647,207 for the three and nine months ended September 30, 2021, respectively, and $1,721,913 and $5,017,590 for the three and nine months ended September 30,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Until the consummation of a Spin-Off transaction,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RGC earned incentive fees of $2,686,475 and $6,498,482, respectively, for the three and nine months ended September 30, 2021; $2,171,245 and $5,140,115, respectively, of the incentive fees for the three and nine months ended September 30, 2021 were earned, payable in cash, and $515,230 and $1,358,367, respectively, of the incentive fees for the three and nine months ended September 30, 2021 were accrued and generated from deferred interest (i.e., PIK interest and certain discount accretion) and are not payable pending receipt of cash by the Company. RGC earned incentive fees for the three and nine months ended September 30, 2020 of $1,650,930 and $4,871,907, respectively; $1,126,379 and $3,659,134, respectively, of the incentive fees for the three and nine months ended September 30, 2020 were earned, payable in cash, and $524,551 and $1,212,773, respectively, of the incentive fees for the three and nine months ended September 30, 2020 were accrued and deferred (i.e., PIK interest and certain discount accretion) and are not payable pending receipt of cash by the Company.</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September 30, 2021 and December 31, 2020, there was no capital gains incentive fee accrued, earned or payable to RGC under the Advisory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reimbursed the Administrator $261,630 and $741,012, respectively, during the three and nine months ended September 30, 2021. As of September 30, 2021, the Company had accrued a net payable to the Administrator of $227,038. Of the total amount reimbursed and accrued during the three and nine months ended September 30, 2021, $206,167 and $643,606, respectively, was related to overhead allocation expense. The Company reimbursed the Administrator $127,095 and $433,424, respectively, during the three and nine months ended September 30, 2020. As of September 30, 2020, the Company accrued a net payable to the Administrator of $124,215. Of the total amount reimbursed and accrued during the three and nine months ended September 30, 2020, $136,826 and $411,520, respectively, was related to overhead allocation expense. As of December 31, 2020, the Company had accrued a net payable to the Administrator of $143,515. Administration fees, which include fees payable by the Administrator to third-party service providers who provide additional administration services for the Company, were $179,500 and $420,360 for the three and nine months ended September 30, 2021, respectively. Administration fees, which include fees payable by the Administrator to third-party service providers who provide additional administration services for the Company, were $132,715 and $378,395 for the three and nine months ended September 30,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2016, the Company and RGC entered into a strategic relationship with Oaktree Capital Management, L.P. (“Oaktree”). As part of the strategic relationship, OCM Growth Holdings, LLC, a Delaware limited liability company (“OCM”) managed by Oaktree, made an initial $125.0 million capital commitment to the Company, which was subsequently increased to $139.0 million (the “Initial OCM Commitment”). On September 14, 2019, in connection with the Second Private Offering, the Company accepted a capital commitment from OCM in the amount of $112.5 million (the “Subsequent OCM Commitment and, together with the Initial OCM Commitment, the “OCM Commitment”). As of September 30, 2021, OCM owned 19,200,496 shares of our common stock or 56% of our total issued and outstanding shares. Pursuant to an irrevocable proxy, the shares of the Company’s common stock held by OCM must be voted in the same manner that our other stockholders vote their shares.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OCM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Laibow is OCM’s appointee to RGC’s board of managers and investment committee. In connection with the Subsequent OCM Commitment, OCM also purchased additional equity in RGC.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and liabilities recorded at fair value have been categorized based upon a fair value hierarchy in accordance with ASC Topic 820. See Note 2 for discussion of the Company’s valuation policies.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measured at fair value as of September 30, 2021 and December 31, 2020,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As of September 30, 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11,216,290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5,812,694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17,028,984</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531,605,724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531,605,724</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15,889,998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1,077,615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16,967,613</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20,750,056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20,750,056</w:t>
            </w:r>
          </w:p>
        </w:tc>
      </w:tr>
      <w:tr>
        <w:trPr>
          <w:trHeight w:val="209"/>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27,106,288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5,812,694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553,433,395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586,352,377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60,000,660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60,000,660</w:t>
            </w:r>
          </w:p>
        </w:tc>
      </w:tr>
      <w:tr>
        <w:trPr>
          <w:trHeight w:val="21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87,106,948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5,812,694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553,433,395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646,353,037</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551,824,590</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70,002,060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621,826,650</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transfers into and out of the levels indicated above at the end of each reporting period. During the period ended September 30, 2021, the Company had warrant investments converted to common stock investments, resulting in an asset transfer out of Level 3 and into Level 2 at the fair value of $15,305,039. There were no transfers into or out of the levels during the year ended December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September 30,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Senior Secured</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 Loans</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1,336,268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501,964,657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33,008,672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536,309,597</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w w:val="98"/>
              </w:rPr>
              <w:t>Amortization of fixed income premiums or accretion of discounts</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5,541,082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5,541,082</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233,311,709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235,786,783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(202,045,467)</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(86,834)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(202,132,301)</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(15,305,039)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(15,305,039)</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Realized (loss)</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(418,037)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(418,037)</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(2,258,653)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(7,166,257)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(6,348,690)</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1,077,615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531,605,724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20,750,056</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553,433,395</w:t>
            </w:r>
          </w:p>
        </w:tc>
        <w:tc>
          <w:tcPr>
            <w:tcW w:w="0" w:type="dxa"/>
            <w:vAlign w:val="bottom"/>
          </w:tcPr>
          <w:p>
            <w:pPr>
              <w:spacing w:after="0"/>
              <w:rPr>
                <w:sz w:val="1"/>
                <w:szCs w:val="1"/>
                <w:color w:val="auto"/>
              </w:rPr>
            </w:pPr>
          </w:p>
        </w:tc>
      </w:tr>
      <w:tr>
        <w:trPr>
          <w:trHeight w:val="155"/>
        </w:trPr>
        <w:tc>
          <w:tcPr>
            <w:tcW w:w="504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Change in unrealized appreciation (depreciation) on Level 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(258,653)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(7,090,189)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2"/>
              </w:rPr>
              <w:t>(12,249,072)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(19,597,914)</w:t>
            </w:r>
          </w:p>
        </w:tc>
        <w:tc>
          <w:tcPr>
            <w:tcW w:w="0" w:type="dxa"/>
            <w:vAlign w:val="bottom"/>
          </w:tcPr>
          <w:p>
            <w:pPr>
              <w:spacing w:after="0"/>
              <w:rPr>
                <w:sz w:val="1"/>
                <w:szCs w:val="1"/>
                <w:color w:val="auto"/>
              </w:rPr>
            </w:pPr>
          </w:p>
        </w:tc>
      </w:tr>
      <w:tr>
        <w:trPr>
          <w:trHeight w:val="217"/>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still held as of September 30, 2021</w:t>
            </w:r>
          </w:p>
        </w:tc>
        <w:tc>
          <w:tcPr>
            <w:tcW w:w="1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Includes PIK interest, net of reorganization and restructuring of investments.</w:t>
      </w:r>
    </w:p>
    <w:p>
      <w:pPr>
        <w:spacing w:after="0" w:line="20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8"/>
          <w:szCs w:val="18"/>
          <w:color w:val="auto"/>
        </w:rPr>
        <w:t>The following table presents a rollforward of Level 3 assets measured at fair value as of September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Senior Secured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349,570,424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6,790,922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6,790,922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18,687,450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120,300,988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141,117,938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(76,114,572)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(2,849,949)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(78,964,521)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(7,835,899)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(6,653,248)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(1,803,471)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2,657,916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3,612,246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4,466,691</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17,321,494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395,369,779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22,082,785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434,774,058</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gridSpan w:val="2"/>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13,979</w:t>
            </w:r>
          </w:p>
        </w:tc>
        <w:tc>
          <w:tcPr>
            <w:tcW w:w="8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3,299,020</w:t>
            </w:r>
          </w:p>
        </w:tc>
        <w:tc>
          <w:tcPr>
            <w:tcW w:w="6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(1,366,380)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1,946,619</w:t>
            </w: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investments still held as of September 30, 2020</w:t>
            </w: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Includes PIK interest, net of reorganization and restructuring of investments.</w:t>
      </w:r>
    </w:p>
    <w:p>
      <w:pPr>
        <w:spacing w:after="0" w:line="20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7"/>
          <w:szCs w:val="17"/>
          <w:color w:val="auto"/>
        </w:rPr>
        <w:t>The following table provides quantitative information regarding Level 3 fair value measurements as of September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1,077,615</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508,457,921</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8.7%-100.0% (13.5%)</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6.8%-100.1% (12.4%)</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23,147,803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15.1%-27.1% (20.0%)</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13,516,296</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0.0%-0.9% (0.2%)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30.0%-75.0% (45.6%)</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0.3-5.0 yrs (1.9 yrs)</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0.00x-13.41x (5.19x)</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7,233,760</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30.0%-46.0% (37.1%)</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3.65x-95.67x (9.67x)</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553,433,395</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1,336,268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471,256,844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8.0%-100.0% (14.8%)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Origination yield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11.4%-100.1% (14.3%)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30,707,813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19.5%-23.8% (20.2%)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16,803,367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Risk-free interest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0.1%-0.8% (0.1%)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Average industry volatility</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35.0%-72.2% (56.0%)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0.3-9.2 (1.5) years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0.00x-5.85x (1.92x)</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16,205,305</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21.0%-40.0% (27.9%)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0.00x-51.69x (5.62x)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536,309,597</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60" w:hanging="328"/>
        <w:spacing w:after="0" w:line="237" w:lineRule="auto"/>
        <w:tabs>
          <w:tab w:leader="none" w:pos="66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166" w:lineRule="exact"/>
        <w:rPr>
          <w:rFonts w:ascii="Arial" w:cs="Arial" w:eastAsia="Arial" w:hAnsi="Arial"/>
          <w:sz w:val="27"/>
          <w:szCs w:val="27"/>
          <w:color w:val="auto"/>
          <w:vertAlign w:val="superscript"/>
        </w:rPr>
      </w:pPr>
    </w:p>
    <w:p>
      <w:pPr>
        <w:jc w:val="both"/>
        <w:ind w:left="660" w:hanging="328"/>
        <w:spacing w:after="0" w:line="272"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September 30, 2021 and the year ended December 31, 2020.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nine months ended September 30, 2021, the Company had a net realized gain (loss) of $72,371 and $(418,037), respectively, and a net</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change in unrealized depreciation of $2,463,752 and $3,076,220, respectively, from its investments in warrants. For the three and nine months ended September 30, 2020, the Company had net realized gains of $2,900 and $1,182,651, respectively, and a net change in unrealized appreciation of $1,796,815 and $3,612,246, respectively, from its investments in warrants. Realized loss from warrants is included in Realized gain (loss) on non-control/non-affiliate investments, including U.S. Treasury Bills on the Statement of Operations. Net change in unrealized appreciaiont/depreciation from investments in warrants is included in Net Change in unrealized appreciation (depreciation) on non-control/non-affiliate investments, including U.S. Treasury Bills.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31, 2019, the Company entered into a Credit Agreement, as subsequently amended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availability period under the Credit Agreement expires on May 31, 2022 and is followed by a two-year amortization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stated maturity date under the Credit Agreement is May 31, 2024.</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10, 2020, Company entered into an amendment to the Credit Agreement, as well as a corresponding amendment to the fee letter dated May 31, 2019 (collectively, the “November Credit Facility Amendment”). The November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1940 Act.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1, 2021, the Company entered into an amendment (the “June Credit Facility Amendment”) to the Credit Agreement. The June Credit Facility Amendment amended the Credit Agreement to: (i) allow the Company to incur permitted indebtedness without the prior written consent of the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3, 2021, the Company further amended the fee letter (the “Second Amended and Restated Fee Letter”) to amend the first payment date of the minimum earnings fee, which will be payable annually starting on May 31, 2022. Under the Second Amended and Restated Fee Letter,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nine months ended September 30, 2021, the weighted average outstanding debt balance was $90,673,913 and $86,487,179, respectively, and the weighted average effective interest rate under the Credit Agreement and Credit Facilities was 3.5% and 3.5%, respectively. For the three and nine months ended September 30, 2020, the weighted average outstanding debt balance was $47,657,609 and $18,596,715, respectively, and the weighted average effective interest rate under the Credit Agreement and Credit Facilities was 3.30% and 3.60%,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2021, the Company had $80,000,000 outstanding under the Credit Agreement with maturity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Date of</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Due Date</w:t>
            </w:r>
          </w:p>
        </w:tc>
        <w:tc>
          <w:tcPr>
            <w:tcW w:w="10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9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9"/>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$ 80,000,000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$ 80,000,000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the Company had $99,000,000 outstanding under the Credit Agreement with maturity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1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Due Date</w:t>
            </w:r>
          </w:p>
        </w:tc>
        <w:tc>
          <w:tcPr>
            <w:tcW w:w="9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116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80" w:type="dxa"/>
            <w:vAlign w:val="bottom"/>
            <w:vMerge w:val="restart"/>
          </w:tcPr>
          <w:p>
            <w:pPr>
              <w:jc w:val="right"/>
              <w:ind w:right="69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1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95"/>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7"/>
                <w:szCs w:val="17"/>
                <w:color w:val="auto"/>
              </w:rPr>
              <w:t>Net asset value at beginning of period</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14.61</w:t>
            </w:r>
          </w:p>
        </w:tc>
        <w:tc>
          <w:tcPr>
            <w:tcW w:w="20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14.41</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14.84</w:t>
            </w:r>
          </w:p>
        </w:tc>
        <w:tc>
          <w:tcPr>
            <w:tcW w:w="18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14.58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7"/>
                <w:szCs w:val="17"/>
                <w:color w:val="auto"/>
              </w:rPr>
              <w:t>Realized gain (loss)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0.02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(0.13)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Change in unrealized appreciation (depreciation)</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20"/>
                <w:szCs w:val="20"/>
                <w:color w:val="auto"/>
              </w:rPr>
            </w:pPr>
            <w:r>
              <w:rPr>
                <w:rFonts w:ascii="Arial" w:cs="Arial" w:eastAsia="Arial" w:hAnsi="Arial"/>
                <w:sz w:val="17"/>
                <w:szCs w:val="17"/>
                <w:color w:val="auto"/>
              </w:rPr>
              <w:t>Dividends</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(0.34)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35"/>
              <w:spacing w:after="0"/>
              <w:rPr>
                <w:sz w:val="20"/>
                <w:szCs w:val="20"/>
                <w:color w:val="auto"/>
              </w:rPr>
            </w:pPr>
            <w:r>
              <w:rPr>
                <w:rFonts w:ascii="Arial" w:cs="Arial" w:eastAsia="Arial" w:hAnsi="Arial"/>
                <w:sz w:val="17"/>
                <w:szCs w:val="17"/>
                <w:color w:val="auto"/>
              </w:rPr>
              <w:t>(0.36)</w:t>
            </w:r>
          </w:p>
        </w:tc>
        <w:tc>
          <w:tcPr>
            <w:tcW w:w="1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Offering costs</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0.03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asset value at end of period</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w:t>
            </w: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line="223" w:lineRule="exact"/>
              <w:rPr>
                <w:sz w:val="20"/>
                <w:szCs w:val="20"/>
                <w:color w:val="auto"/>
              </w:rPr>
            </w:pPr>
            <w:r>
              <w:rPr>
                <w:rFonts w:ascii="Arial" w:cs="Arial" w:eastAsia="Arial" w:hAnsi="Arial"/>
                <w:sz w:val="17"/>
                <w:szCs w:val="17"/>
                <w:color w:val="auto"/>
              </w:rPr>
              <w:t>Total return based on net asset value</w:t>
            </w:r>
            <w:r>
              <w:rPr>
                <w:rFonts w:ascii="Arial" w:cs="Arial" w:eastAsia="Arial" w:hAnsi="Arial"/>
                <w:sz w:val="25"/>
                <w:szCs w:val="25"/>
                <w:color w:val="auto"/>
                <w:vertAlign w:val="superscript"/>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w w:val="79"/>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(0.07)%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0.35</w:t>
            </w: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(1.62)%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Weighted-average shares outstanding for period,</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33,160,481</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27,271,559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32,360,107</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26,603,966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7"/>
                <w:szCs w:val="17"/>
                <w:b w:val="1"/>
                <w:bCs w:val="1"/>
                <w:color w:val="auto"/>
              </w:rPr>
              <w:t>Ratio/Supplemental Data:</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Net assets at 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504,200,985</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397,402,204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504,200,985</w:t>
            </w: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397,402,204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482,599,112</w:t>
            </w:r>
          </w:p>
        </w:tc>
        <w:tc>
          <w:tcPr>
            <w:tcW w:w="20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394,021,686</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479,314,523</w:t>
            </w:r>
          </w:p>
        </w:tc>
        <w:tc>
          <w:tcPr>
            <w:tcW w:w="18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386,295,481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Annualized ratio of net operating expenses to</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spacing w:after="0" w:line="220" w:lineRule="exact"/>
              <w:rPr>
                <w:sz w:val="20"/>
                <w:szCs w:val="20"/>
                <w:color w:val="auto"/>
              </w:rPr>
            </w:pPr>
            <w:r>
              <w:rPr>
                <w:rFonts w:ascii="Arial" w:cs="Arial" w:eastAsia="Arial" w:hAnsi="Arial"/>
                <w:sz w:val="17"/>
                <w:szCs w:val="17"/>
                <w:color w:val="auto"/>
              </w:rPr>
              <w:t>average net assets</w:t>
            </w:r>
            <w:r>
              <w:rPr>
                <w:rFonts w:ascii="Arial" w:cs="Arial" w:eastAsia="Arial" w:hAnsi="Arial"/>
                <w:sz w:val="25"/>
                <w:szCs w:val="25"/>
                <w:color w:val="auto"/>
                <w:vertAlign w:val="superscript"/>
              </w:rPr>
              <w:t>(6),(7)</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4.82 %</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3.48 %</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5.18 %</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4.34 %</w:t>
            </w:r>
          </w:p>
        </w:tc>
        <w:tc>
          <w:tcPr>
            <w:tcW w:w="0" w:type="dxa"/>
            <w:vAlign w:val="bottom"/>
          </w:tcPr>
          <w:p>
            <w:pPr>
              <w:spacing w:after="0"/>
              <w:rPr>
                <w:sz w:val="1"/>
                <w:szCs w:val="1"/>
                <w:color w:val="auto"/>
              </w:rPr>
            </w:pPr>
          </w:p>
        </w:tc>
      </w:tr>
      <w:tr>
        <w:trPr>
          <w:trHeight w:val="185"/>
        </w:trPr>
        <w:tc>
          <w:tcPr>
            <w:tcW w:w="3800" w:type="dxa"/>
            <w:vAlign w:val="bottom"/>
          </w:tcPr>
          <w:p>
            <w:pPr>
              <w:spacing w:after="0" w:line="185" w:lineRule="exact"/>
              <w:rPr>
                <w:sz w:val="20"/>
                <w:szCs w:val="20"/>
                <w:color w:val="auto"/>
              </w:rPr>
            </w:pPr>
            <w:r>
              <w:rPr>
                <w:rFonts w:ascii="Arial" w:cs="Arial" w:eastAsia="Arial" w:hAnsi="Arial"/>
                <w:sz w:val="17"/>
                <w:szCs w:val="17"/>
                <w:color w:val="auto"/>
              </w:rPr>
              <w:t>Annualized ratio of net increase (decrease) in net</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7"/>
                <w:szCs w:val="17"/>
                <w:color w:val="auto"/>
              </w:rPr>
              <w:t>assets resulting from operations to average net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3800" w:type="dxa"/>
            <w:vAlign w:val="bottom"/>
          </w:tcPr>
          <w:p>
            <w:pPr>
              <w:spacing w:after="0"/>
              <w:rPr>
                <w:sz w:val="20"/>
                <w:szCs w:val="20"/>
                <w:color w:val="auto"/>
              </w:rPr>
            </w:pPr>
            <w:r>
              <w:rPr>
                <w:rFonts w:ascii="Arial" w:cs="Arial" w:eastAsia="Arial" w:hAnsi="Arial"/>
                <w:sz w:val="17"/>
                <w:szCs w:val="17"/>
                <w:color w:val="auto"/>
              </w:rPr>
              <w:t>assets</w:t>
            </w:r>
            <w:r>
              <w:rPr>
                <w:rFonts w:ascii="Arial" w:cs="Arial" w:eastAsia="Arial" w:hAnsi="Arial"/>
                <w:sz w:val="25"/>
                <w:szCs w:val="25"/>
                <w:color w:val="auto"/>
                <w:vertAlign w:val="superscript"/>
              </w:rPr>
              <w:t>(7)</w:t>
            </w:r>
          </w:p>
        </w:tc>
        <w:tc>
          <w:tcPr>
            <w:tcW w:w="14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10.06 %</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12.23 %</w:t>
            </w:r>
          </w:p>
        </w:tc>
        <w:tc>
          <w:tcPr>
            <w:tcW w:w="14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7.80 %</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9.46 %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568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ind w:left="660" w:hanging="328"/>
        <w:spacing w:after="0"/>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Financial highlights are based on weighted-average shares outstanding.</w:t>
      </w:r>
    </w:p>
    <w:p>
      <w:pPr>
        <w:spacing w:after="0" w:line="161" w:lineRule="exact"/>
        <w:rPr>
          <w:rFonts w:ascii="Arial" w:cs="Arial" w:eastAsia="Arial" w:hAnsi="Arial"/>
          <w:sz w:val="26"/>
          <w:szCs w:val="26"/>
          <w:color w:val="auto"/>
          <w:vertAlign w:val="superscript"/>
        </w:rPr>
      </w:pPr>
    </w:p>
    <w:p>
      <w:pPr>
        <w:ind w:left="660" w:right="20" w:hanging="328"/>
        <w:spacing w:after="0" w:line="203"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Total return based on net asset value is based upon the change in net asset value per share between the opening and ending net asset values per share in the period. The total returns are not annualized.</w:t>
      </w:r>
    </w:p>
    <w:p>
      <w:pPr>
        <w:spacing w:after="0" w:line="162" w:lineRule="exact"/>
        <w:rPr>
          <w:rFonts w:ascii="Arial" w:cs="Arial" w:eastAsia="Arial" w:hAnsi="Arial"/>
          <w:sz w:val="26"/>
          <w:szCs w:val="26"/>
          <w:color w:val="auto"/>
          <w:vertAlign w:val="superscript"/>
        </w:rPr>
      </w:pPr>
    </w:p>
    <w:p>
      <w:pPr>
        <w:jc w:val="both"/>
        <w:ind w:left="660" w:hanging="328"/>
        <w:spacing w:after="0" w:line="227"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Return from investment operations was 2.19% and 2.43% for the three months ended September 30, 2021 and 2020, respectively. Return from investment operations was 7.01% and 7.00% for the nine months ended September 30, 2021 and 2020, respectively. Return from investment operations represents returns on net investment income (loss) from operations.</w:t>
      </w:r>
    </w:p>
    <w:p>
      <w:pPr>
        <w:spacing w:after="0" w:line="176" w:lineRule="exact"/>
        <w:rPr>
          <w:rFonts w:ascii="Arial" w:cs="Arial" w:eastAsia="Arial" w:hAnsi="Arial"/>
          <w:sz w:val="25"/>
          <w:szCs w:val="25"/>
          <w:color w:val="auto"/>
          <w:vertAlign w:val="superscript"/>
        </w:rPr>
      </w:pPr>
    </w:p>
    <w:p>
      <w:pPr>
        <w:ind w:left="660" w:hanging="328"/>
        <w:spacing w:after="0" w:line="203"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Return from accretion was 0.21% and 0.07% for the three months ended September 30, 2021 and 2020, respectively. Return from accretion was 0.13% and (0.06)% for the nine months ended September 30, 2021 and 2020, respectively.</w:t>
      </w:r>
    </w:p>
    <w:p>
      <w:pPr>
        <w:spacing w:after="0" w:line="162" w:lineRule="exact"/>
        <w:rPr>
          <w:rFonts w:ascii="Arial" w:cs="Arial" w:eastAsia="Arial" w:hAnsi="Arial"/>
          <w:sz w:val="26"/>
          <w:szCs w:val="26"/>
          <w:color w:val="auto"/>
          <w:vertAlign w:val="superscript"/>
        </w:rPr>
      </w:pPr>
    </w:p>
    <w:p>
      <w:pPr>
        <w:jc w:val="both"/>
        <w:ind w:left="660" w:hanging="328"/>
        <w:spacing w:after="0" w:line="216"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The annualized ratio of net investment income to average net assets was 10.48% and 10.83% for the three months ended September 30, 2021 and 2020, respectively. The annualized ratio of net investment income to average net assets was 9.82% and 9.74% for the nine months ended September 30, 2021 and 2020, respectively.</w:t>
      </w:r>
    </w:p>
    <w:p>
      <w:pPr>
        <w:spacing w:after="0" w:line="162" w:lineRule="exact"/>
        <w:rPr>
          <w:rFonts w:ascii="Arial" w:cs="Arial" w:eastAsia="Arial" w:hAnsi="Arial"/>
          <w:sz w:val="26"/>
          <w:szCs w:val="26"/>
          <w:color w:val="auto"/>
          <w:vertAlign w:val="superscript"/>
        </w:rPr>
      </w:pPr>
    </w:p>
    <w:p>
      <w:pPr>
        <w:jc w:val="both"/>
        <w:ind w:left="660" w:hanging="328"/>
        <w:spacing w:after="0" w:line="227"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The annualized ratio of net operating expenses excluding incentive fees, to average net assets was 4.26% and 3.06% for the three months ended September 30, 2021 and 2020, respectively. The annualized ratio of net operating expenses excluding incentive fees, to average net assets was 3.83% and 3.08% for the nine months ended September 30, 2021 and 2020, respectively</w:t>
      </w:r>
    </w:p>
    <w:p>
      <w:pPr>
        <w:spacing w:after="0" w:line="86"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20"/>
        </w:numPr>
        <w:rPr>
          <w:rFonts w:ascii="Arial" w:cs="Arial" w:eastAsia="Arial" w:hAnsi="Arial"/>
          <w:sz w:val="27"/>
          <w:szCs w:val="27"/>
          <w:color w:val="auto"/>
          <w:vertAlign w:val="superscript"/>
        </w:rPr>
      </w:pPr>
      <w:r>
        <w:rPr>
          <w:rFonts w:ascii="Arial" w:cs="Arial" w:eastAsia="Arial" w:hAnsi="Arial"/>
          <w:sz w:val="17"/>
          <w:szCs w:val="17"/>
          <w:color w:val="auto"/>
        </w:rPr>
        <w:t>Incentive fees are not annualized.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evaluated events subsequent to September 30, 2021 through November 4, 2021.</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October 18, 2021, Credit Sesame, Inc. prepaid its outstanding principal balance of $41,047,728. In addition, the Company received cash proceeds of $2,140,678 in conjunction with ETP, prepayment fees, and interest for total proceeds of $43,188,406.</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19, 2021, the Company entered into an amendment to the Credit Agreement to make certain immaterial clarifications to the terms of the Credit Agreement.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25, 2021, the Company closed its IPO, issuing 6,850,000 shares of its common stock at a public offering price of $14.60 per share. Net of underwriting fees, the Company received total net cash proceeds of $94.0 million, before expenses. The Company has granted the underwriters an option to purchase up to an additional 1,027,500 shares of common stock at the public offering price, less the sales load payable by the Company, on or before November 19, 2021. The Company’s common stock began trading on the Nasdaq Global Select Market under the symbol “RWAY” on October 21, 2021.</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IPO, the Board approved an amended and restated dividend reinvestment plan (the “New DRIP”), which became effective on October 25, 2021, concurrent with the IPO. Pursuant to the New DRIP, among other changes, with respect to each cash dividend or distribution, the Board reserves the right to either issue new shares of common stock or purchase shares of common stock in the open market for the accounts of Participants (as defined in the New DRIP). If newly issued shares are used to implement the New DRIP, the number of shares to be issued to a shareholder will be determined by dividing the total dollar amount of the distribution payable to such Participant by the market price per share of the Company’s Common Stock at the close of regular trading of the Nasdaq Global Select Market on the Payment Date (as defined in the New DRIP), or if no sale is reported for such day, the average of the reported bid and asked prices. However, if the market price per share on the Payment Date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exceeds the most recently computed net asset value per share). If shares are purchased in the open market to implement the New DRIP, the number of shares to be issued to a Participant shall be determined by dividing the dollar amount of the distribution payable to such Participant by the weighted average price per share for all shares of common stock purchased by the plan administrator in the open market in connection with the dividend or distribution.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26, 2021, the Company funded an investment of $8,775,000 to Marley Spoon AG.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28, 2021, the Company declared a dividend of $0.25 per share payable on November 22, 2021 to shareholders of record as of November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34"/>
        <w:spacing w:after="0" w:line="270"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pacing w:after="0" w:line="207"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9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COVID-19 pandemic;</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volatility that could adversely affect our results, particularly to the extent that we use leverage as part of our investment strategy;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COVID-19 pandemic thereon;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9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for the fiscal year ended December 31, 2020 and in our other filings with the Securities and Exchange Commission (the “SEC”).</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2020, filed with the SEC on March 11, 2021.</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On August 18, 2021, we changed our name to “Runway Growth Finance Corp.” from “Runway Growth Credit Fund Inc.” We have elected to be regulated as a BDC under the 1940 Act. In addition, we have elected to be treated, have qualified, and intend to continue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last day of our fiscal year following the fifth anniversary of our initial public offering on October 25, 2021 (“IPO”),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2" w:lineRule="exact"/>
        <w:rPr>
          <w:sz w:val="20"/>
          <w:szCs w:val="20"/>
          <w:color w:val="auto"/>
        </w:rPr>
      </w:pPr>
    </w:p>
    <w:p>
      <w:pPr>
        <w:ind w:firstLine="8"/>
        <w:spacing w:after="0" w:line="323" w:lineRule="auto"/>
        <w:tabs>
          <w:tab w:leader="none" w:pos="31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October 2015, in connection with the our formation, we issued and sold 1,667 shares of common stock to R. David Spreng, our President, Chief Executive Officer and Chairman of our Board of Directors, for an aggregate purchase price of $25,000. The sale of shares of common stock was approved by the unanimous consent of the sole director at the time. Between December 2016 and December 2017, we completed our first private offering of shares of common stock to investors (the “Initial Private Offering”) in reliance on exemptions from the registration requirements of the Securities Act of 1933, as amended (the “Securities Act”), and other applicable securities laws. As of September 30, 2021, in connection with the Initial Private Offering, we had issued 18,241,157 shares of its common stock for a total purchase price of $275,000,000.</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2021, we have completed multiple closings under our second private offering (the “Second Private Offering”) and had accepted aggregate capital commitments of $181,673,500. As of September 30, 2021, we have issued 9,617,379 shares of common stock for a total purchase price of $144,260,683 in connection with the Second Private Offering and $37,412,817 of capital commitments remain undrawn. As of September 30, 2021, we issued 22,564 shares as an additional direct investment by Runway Growth Holdings LLC, an affiliate of RGC, for a total purchase price of $338,453. As of September 30, 2021, we have issued an additional 6,647,847 shares as part of the dividend reinvestment program. Refer to Note 6 for further detail.</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25, 2021, we closed our IPO, issuing 6,850,000 shares of our common stock at a public offering price of $14.60 per share. Net of underwriting fees and offering costs, we received net cash proceeds of $92.0 million. We have granted the underwriters an option to purchase up to an additional 1,027,500 shares of common stock at the public offering price, less the sales load payable by us, on or before November 19, 2021. Our common stock began trading on the Nasdaq Global Select Market under the symbol “RWAY” on October 21, 2021.</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10, 2020, we, RGC, and certain other funds and accounts sponsored or managed by RGC and/or its affiliates were granted an order (the “Order”) that permits us greater flexibility than the 1940 Act permits to negotiate the terms of co-investments if the Board determines that it would be advantageous for us to co-invest with other accounts sponsored or managed by RGC or its affiliates in a manner consistent with our investment objective or criteria,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criteria, positions, policies, strategies and restrictions as well as regulatory requirements and other pertinent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September 30, 2021, we had investments in 38 portfolio companies, representing 19 companies in which we held loan and warrant investments, three companies in which we held loan investments and shares of common, preferred stock, or a combination with warrants, one company in which we held a loan investment only, 10 companies in which we held warrant investments only, five companies in which we held shares of common or preferred stock only, or a combination with warrants, and we held one U.S. Treasury Bill. At December 31, 2020, we had investments in 31 portfolio companies, representing 22 companies in which we held loan and warrant investments, six companies in which we held warrant interests only, one company in which we held bonds, and we held one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U.S. Treasury Bill. The following table shows the fair value of our investments, by asset class, as of September 30, 2021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4"/>
              </w:rPr>
              <w:t>September 30, 2021 (Unaudited)</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of 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7"/>
              </w:rPr>
              <w:t>Portfolio</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Portfolio Investments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00"/>
              <w:spacing w:after="0"/>
              <w:rPr>
                <w:sz w:val="20"/>
                <w:szCs w:val="20"/>
                <w:color w:val="auto"/>
              </w:rPr>
            </w:pPr>
            <w:r>
              <w:rPr>
                <w:rFonts w:ascii="Arial" w:cs="Arial" w:eastAsia="Arial" w:hAnsi="Arial"/>
                <w:sz w:val="18"/>
                <w:szCs w:val="18"/>
                <w:color w:val="auto"/>
              </w:rPr>
              <w:t>Common Stocks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4,812,524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17,028,984</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1,237,196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521,940</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ind w:left="100"/>
              <w:spacing w:after="0" w:line="201" w:lineRule="exact"/>
              <w:rPr>
                <w:sz w:val="20"/>
                <w:szCs w:val="20"/>
                <w:color w:val="auto"/>
              </w:rPr>
            </w:pPr>
            <w:r>
              <w:rPr>
                <w:rFonts w:ascii="Arial" w:cs="Arial" w:eastAsia="Arial" w:hAnsi="Arial"/>
                <w:sz w:val="18"/>
                <w:szCs w:val="18"/>
                <w:color w:val="auto"/>
                <w:w w:val="94"/>
              </w:rPr>
              <w:t>Senior Secured Term</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0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543,362,602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531,605,724</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506,555,279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501,964,657</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17,337,836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16,967,613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19,737,450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18,774,732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20,750,056</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18,804,531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Portfolio</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584,287,694</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586,352,377</w:t>
            </w:r>
          </w:p>
        </w:tc>
        <w:tc>
          <w:tcPr>
            <w:tcW w:w="16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546,587,551</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551,824,590</w:t>
            </w:r>
          </w:p>
        </w:tc>
        <w:tc>
          <w:tcPr>
            <w:tcW w:w="16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60,000,558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60,000,660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70,001,472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644,288,252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646,353,037</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616,589,023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621,826,650</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18"/>
          <w:szCs w:val="18"/>
          <w:color w:val="231F20"/>
        </w:rPr>
        <w:t>For the three and nine months ended September 30, 2021, our debt investment portfolio had a dollar-weighted annualized yield of 15.34% and 14.17%, respectively. For the three and nine months ended September 30, 2020, our debt investment portfolio had a dollar-weighted annualized yield of 14.81% and 15.25%, respectively. We calculate the yield on dollar-weighted debt investments for any period measured as (1) total related investment income during the period divided by (2) the daily average of the fair value of debt investments outstanding during the period. As of September 30, 2021, our debt investments had a dollar-weighted average outstanding term of 46 months at origination and a dollar-weighted average remaining term of 33 months, or approximately 2.7 years. As of September 30, 2021, substantially all of our debt investments had an original committed principal amount of between $6 million and $50 million, repayment terms of between 34 months and 60 months and pay cash interest at annual interest rates of between 5.50% and 12.00%.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The following table shows our dollar-weighted annualized yield by investment type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September 30, 2021 and September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(1)</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0"/>
                <w:szCs w:val="10"/>
                <w:b w:val="1"/>
                <w:bCs w:val="1"/>
                <w:color w:val="auto"/>
              </w:rPr>
              <w:t>(2)</w:t>
            </w:r>
          </w:p>
        </w:tc>
        <w:tc>
          <w:tcPr>
            <w:tcW w:w="980" w:type="dxa"/>
            <w:vAlign w:val="bottom"/>
            <w:tcBorders>
              <w:bottom w:val="single" w:sz="8" w:color="auto"/>
            </w:tcBorders>
          </w:tcPr>
          <w:p>
            <w:pPr>
              <w:spacing w:after="0"/>
              <w:rPr>
                <w:sz w:val="14"/>
                <w:szCs w:val="14"/>
                <w:color w:val="auto"/>
              </w:rPr>
            </w:pPr>
          </w:p>
        </w:tc>
      </w:tr>
      <w:tr>
        <w:trPr>
          <w:trHeight w:val="115"/>
        </w:trPr>
        <w:tc>
          <w:tcPr>
            <w:tcW w:w="1500" w:type="dxa"/>
            <w:vAlign w:val="bottom"/>
          </w:tcPr>
          <w:p>
            <w:pPr>
              <w:spacing w:after="0"/>
              <w:rPr>
                <w:sz w:val="10"/>
                <w:szCs w:val="10"/>
                <w:color w:val="auto"/>
              </w:rPr>
            </w:pPr>
          </w:p>
        </w:tc>
        <w:tc>
          <w:tcPr>
            <w:tcW w:w="2140" w:type="dxa"/>
            <w:vAlign w:val="bottom"/>
            <w:gridSpan w:val="4"/>
          </w:tcPr>
          <w:p>
            <w:pPr>
              <w:ind w:left="520"/>
              <w:spacing w:after="0" w:line="115" w:lineRule="exact"/>
              <w:rPr>
                <w:sz w:val="20"/>
                <w:szCs w:val="20"/>
                <w:color w:val="auto"/>
              </w:rPr>
            </w:pPr>
            <w:r>
              <w:rPr>
                <w:rFonts w:ascii="Arial" w:cs="Arial" w:eastAsia="Arial" w:hAnsi="Arial"/>
                <w:sz w:val="11"/>
                <w:szCs w:val="11"/>
                <w:b w:val="1"/>
                <w:bCs w:val="1"/>
                <w:color w:val="auto"/>
              </w:rPr>
              <w:t>Three Months Ended</w:t>
            </w:r>
          </w:p>
        </w:tc>
        <w:tc>
          <w:tcPr>
            <w:tcW w:w="2020" w:type="dxa"/>
            <w:vAlign w:val="bottom"/>
            <w:gridSpan w:val="3"/>
          </w:tcPr>
          <w:p>
            <w:pPr>
              <w:jc w:val="right"/>
              <w:ind w:right="459"/>
              <w:spacing w:after="0" w:line="115" w:lineRule="exact"/>
              <w:rPr>
                <w:sz w:val="20"/>
                <w:szCs w:val="20"/>
                <w:color w:val="auto"/>
              </w:rPr>
            </w:pPr>
            <w:r>
              <w:rPr>
                <w:rFonts w:ascii="Arial" w:cs="Arial" w:eastAsia="Arial" w:hAnsi="Arial"/>
                <w:sz w:val="11"/>
                <w:szCs w:val="11"/>
                <w:b w:val="1"/>
                <w:bCs w:val="1"/>
                <w:color w:val="auto"/>
              </w:rPr>
              <w:t>Nine Months Ended</w:t>
            </w:r>
          </w:p>
        </w:tc>
        <w:tc>
          <w:tcPr>
            <w:tcW w:w="160" w:type="dxa"/>
            <w:vAlign w:val="bottom"/>
          </w:tcPr>
          <w:p>
            <w:pPr>
              <w:spacing w:after="0"/>
              <w:rPr>
                <w:sz w:val="10"/>
                <w:szCs w:val="10"/>
                <w:color w:val="auto"/>
              </w:rPr>
            </w:pPr>
          </w:p>
        </w:tc>
        <w:tc>
          <w:tcPr>
            <w:tcW w:w="2080" w:type="dxa"/>
            <w:vAlign w:val="bottom"/>
            <w:gridSpan w:val="4"/>
          </w:tcPr>
          <w:p>
            <w:pPr>
              <w:ind w:left="520"/>
              <w:spacing w:after="0" w:line="115" w:lineRule="exact"/>
              <w:rPr>
                <w:sz w:val="20"/>
                <w:szCs w:val="20"/>
                <w:color w:val="auto"/>
              </w:rPr>
            </w:pPr>
            <w:r>
              <w:rPr>
                <w:rFonts w:ascii="Arial" w:cs="Arial" w:eastAsia="Arial" w:hAnsi="Arial"/>
                <w:sz w:val="11"/>
                <w:szCs w:val="11"/>
                <w:b w:val="1"/>
                <w:bCs w:val="1"/>
                <w:color w:val="auto"/>
              </w:rPr>
              <w:t>Three Months Ended</w:t>
            </w:r>
          </w:p>
        </w:tc>
        <w:tc>
          <w:tcPr>
            <w:tcW w:w="2020" w:type="dxa"/>
            <w:vAlign w:val="bottom"/>
            <w:gridSpan w:val="3"/>
          </w:tcPr>
          <w:p>
            <w:pPr>
              <w:jc w:val="right"/>
              <w:ind w:right="479"/>
              <w:spacing w:after="0" w:line="115" w:lineRule="exact"/>
              <w:rPr>
                <w:sz w:val="20"/>
                <w:szCs w:val="20"/>
                <w:color w:val="auto"/>
              </w:rPr>
            </w:pPr>
            <w:r>
              <w:rPr>
                <w:rFonts w:ascii="Arial" w:cs="Arial" w:eastAsia="Arial" w:hAnsi="Arial"/>
                <w:sz w:val="11"/>
                <w:szCs w:val="11"/>
                <w:b w:val="1"/>
                <w:bCs w:val="1"/>
                <w:color w:val="auto"/>
              </w:rPr>
              <w:t>Nine Months Ended</w:t>
            </w:r>
          </w:p>
        </w:tc>
      </w:tr>
      <w:tr>
        <w:trPr>
          <w:trHeight w:val="115"/>
        </w:trPr>
        <w:tc>
          <w:tcPr>
            <w:tcW w:w="1500" w:type="dxa"/>
            <w:vAlign w:val="bottom"/>
          </w:tcPr>
          <w:p>
            <w:pPr>
              <w:spacing w:after="0"/>
              <w:rPr>
                <w:sz w:val="10"/>
                <w:szCs w:val="10"/>
                <w:color w:val="auto"/>
              </w:rPr>
            </w:pPr>
          </w:p>
        </w:tc>
        <w:tc>
          <w:tcPr>
            <w:tcW w:w="104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auto"/>
                <w:w w:val="95"/>
              </w:rPr>
              <w:t>September 30, 2021</w:t>
            </w:r>
          </w:p>
        </w:tc>
        <w:tc>
          <w:tcPr>
            <w:tcW w:w="10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September 30, 2020</w:t>
            </w:r>
          </w:p>
        </w:tc>
        <w:tc>
          <w:tcPr>
            <w:tcW w:w="100" w:type="dxa"/>
            <w:vAlign w:val="bottom"/>
          </w:tcPr>
          <w:p>
            <w:pPr>
              <w:spacing w:after="0"/>
              <w:rPr>
                <w:sz w:val="10"/>
                <w:szCs w:val="10"/>
                <w:color w:val="auto"/>
              </w:rPr>
            </w:pPr>
          </w:p>
        </w:tc>
        <w:tc>
          <w:tcPr>
            <w:tcW w:w="104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auto"/>
                <w:w w:val="95"/>
              </w:rPr>
              <w:t>September 30, 2021</w:t>
            </w:r>
          </w:p>
        </w:tc>
        <w:tc>
          <w:tcPr>
            <w:tcW w:w="9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September 30, 2020</w:t>
            </w:r>
          </w:p>
        </w:tc>
        <w:tc>
          <w:tcPr>
            <w:tcW w:w="160" w:type="dxa"/>
            <w:vAlign w:val="bottom"/>
          </w:tcPr>
          <w:p>
            <w:pPr>
              <w:spacing w:after="0"/>
              <w:rPr>
                <w:sz w:val="10"/>
                <w:szCs w:val="10"/>
                <w:color w:val="auto"/>
              </w:rPr>
            </w:pPr>
          </w:p>
        </w:tc>
        <w:tc>
          <w:tcPr>
            <w:tcW w:w="104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auto"/>
                <w:w w:val="95"/>
              </w:rPr>
              <w:t>September 30, 2021</w:t>
            </w:r>
          </w:p>
        </w:tc>
        <w:tc>
          <w:tcPr>
            <w:tcW w:w="9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September 30, 2020</w:t>
            </w:r>
          </w:p>
        </w:tc>
        <w:tc>
          <w:tcPr>
            <w:tcW w:w="60" w:type="dxa"/>
            <w:vAlign w:val="bottom"/>
          </w:tcPr>
          <w:p>
            <w:pPr>
              <w:spacing w:after="0"/>
              <w:rPr>
                <w:sz w:val="10"/>
                <w:szCs w:val="10"/>
                <w:color w:val="auto"/>
              </w:rPr>
            </w:pPr>
          </w:p>
        </w:tc>
        <w:tc>
          <w:tcPr>
            <w:tcW w:w="104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auto"/>
                <w:w w:val="95"/>
              </w:rPr>
              <w:t>September 30, 2021</w:t>
            </w:r>
          </w:p>
        </w:tc>
        <w:tc>
          <w:tcPr>
            <w:tcW w:w="9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September 30, 2020</w:t>
            </w:r>
          </w:p>
        </w:tc>
      </w:tr>
      <w:tr>
        <w:trPr>
          <w:trHeight w:val="210"/>
        </w:trPr>
        <w:tc>
          <w:tcPr>
            <w:tcW w:w="1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type:</w:t>
            </w: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Debt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15.34 %</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14.17 %</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15.25 %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14.87 %</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14.51 %</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13.93 %</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14.91 %</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All 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13.96 %</w:t>
            </w:r>
          </w:p>
        </w:tc>
        <w:tc>
          <w:tcPr>
            <w:tcW w:w="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13.76 %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13.06 %</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14.06 %</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13.46 %</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13.12 %</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0" w:lineRule="exact"/>
        <w:rPr>
          <w:sz w:val="20"/>
          <w:szCs w:val="20"/>
          <w:color w:val="auto"/>
        </w:rPr>
      </w:pPr>
    </w:p>
    <w:p>
      <w:pPr>
        <w:jc w:val="both"/>
        <w:ind w:left="660" w:hanging="328"/>
        <w:spacing w:after="0" w:line="223" w:lineRule="auto"/>
        <w:tabs>
          <w:tab w:leader="none" w:pos="660" w:val="left"/>
        </w:tabs>
        <w:numPr>
          <w:ilvl w:val="0"/>
          <w:numId w:val="24"/>
        </w:numPr>
        <w:rPr>
          <w:rFonts w:ascii="Arial" w:cs="Arial" w:eastAsia="Arial" w:hAnsi="Arial"/>
          <w:sz w:val="26"/>
          <w:szCs w:val="26"/>
          <w:color w:val="auto"/>
          <w:vertAlign w:val="superscript"/>
        </w:rPr>
      </w:pPr>
      <w:r>
        <w:rPr>
          <w:rFonts w:ascii="Arial" w:cs="Arial" w:eastAsia="Arial" w:hAnsi="Arial"/>
          <w:sz w:val="17"/>
          <w:szCs w:val="17"/>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1" w:lineRule="exact"/>
        <w:rPr>
          <w:rFonts w:ascii="Arial" w:cs="Arial" w:eastAsia="Arial" w:hAnsi="Arial"/>
          <w:sz w:val="26"/>
          <w:szCs w:val="26"/>
          <w:color w:val="auto"/>
          <w:vertAlign w:val="superscript"/>
        </w:rPr>
      </w:pPr>
    </w:p>
    <w:p>
      <w:pPr>
        <w:jc w:val="both"/>
        <w:ind w:left="660" w:hanging="328"/>
        <w:spacing w:after="0" w:line="219" w:lineRule="auto"/>
        <w:tabs>
          <w:tab w:leader="none" w:pos="660" w:val="left"/>
        </w:tabs>
        <w:numPr>
          <w:ilvl w:val="0"/>
          <w:numId w:val="24"/>
        </w:numPr>
        <w:rPr>
          <w:rFonts w:ascii="Arial" w:cs="Arial" w:eastAsia="Arial" w:hAnsi="Arial"/>
          <w:sz w:val="26"/>
          <w:szCs w:val="26"/>
          <w:color w:val="auto"/>
          <w:vertAlign w:val="superscript"/>
        </w:rPr>
      </w:pPr>
      <w:r>
        <w:rPr>
          <w:rFonts w:ascii="Arial" w:cs="Arial" w:eastAsia="Arial" w:hAnsi="Arial"/>
          <w:sz w:val="17"/>
          <w:szCs w:val="17"/>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saled load paid by investors.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nine months ended September 30, 2021, the Company funded $140.1 million in nine new portfolio companies and $97.0 million in ten existing portfolio companies. The Company also received $196.4 million in loan repayments from 12 portfolio companies. During the nine months ended September 30, 2020, the Company funded $150.8 million in eight new portfolio companies and $14.9 million in six existing portfolio companies. The Company also received $76.1 million in loan repayments from eight portfolio companies and $2.9 million in proceeds from the termination of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our investment portfolio, including U.S. Treasury Bills,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2020</w:t>
            </w:r>
          </w:p>
        </w:tc>
      </w:tr>
      <w:tr>
        <w:trPr>
          <w:trHeight w:val="142"/>
        </w:trPr>
        <w:tc>
          <w:tcPr>
            <w:tcW w:w="2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621,826,650</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2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239,458,881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144,044,139</w:t>
            </w:r>
          </w:p>
        </w:tc>
        <w:tc>
          <w:tcPr>
            <w:tcW w:w="2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115,000,509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179,998,299</w:t>
            </w:r>
          </w:p>
        </w:tc>
        <w:tc>
          <w:tcPr>
            <w:tcW w:w="2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5,539,659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6,808,066</w:t>
            </w:r>
          </w:p>
        </w:tc>
        <w:tc>
          <w:tcPr>
            <w:tcW w:w="2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(197,534,296)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(76,805,766)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(5,671,437)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(6,128,394)</w:t>
            </w: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Sales and Maturities of U.S. Treasury Bills</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(124,999,118)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(194,985,264)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Realized (Loss) on Investments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(4,094,970)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(5,370,702)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(3,172,841)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4,561,252</w:t>
            </w:r>
          </w:p>
        </w:tc>
        <w:tc>
          <w:tcPr>
            <w:tcW w:w="20" w:type="dxa"/>
            <w:vAlign w:val="bottom"/>
            <w:shd w:val="clear" w:color="auto" w:fill="CCEEFF"/>
          </w:tcPr>
          <w:p>
            <w:pPr>
              <w:spacing w:after="0"/>
              <w:rPr>
                <w:sz w:val="18"/>
                <w:szCs w:val="18"/>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Ending Investment Portfolio</w:t>
            </w:r>
          </w:p>
        </w:tc>
        <w:tc>
          <w:tcPr>
            <w:tcW w:w="8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646,353,037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520,103,329</w:t>
            </w:r>
          </w:p>
        </w:tc>
        <w:tc>
          <w:tcPr>
            <w:tcW w:w="2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r>
    </w:tbl>
    <w:p>
      <w:pPr>
        <w:ind w:left="480" w:hanging="310"/>
        <w:spacing w:after="0" w:line="229" w:lineRule="auto"/>
        <w:tabs>
          <w:tab w:leader="none" w:pos="48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Includes PIK interest.</w:t>
      </w:r>
    </w:p>
    <w:p>
      <w:pPr>
        <w:spacing w:after="0" w:line="2" w:lineRule="exact"/>
        <w:rPr>
          <w:rFonts w:ascii="Arial" w:cs="Arial" w:eastAsia="Arial" w:hAnsi="Arial"/>
          <w:sz w:val="27"/>
          <w:szCs w:val="27"/>
          <w:color w:val="auto"/>
          <w:vertAlign w:val="superscript"/>
        </w:rPr>
      </w:pPr>
    </w:p>
    <w:p>
      <w:pPr>
        <w:ind w:left="480" w:hanging="310"/>
        <w:spacing w:after="0" w:line="186" w:lineRule="auto"/>
        <w:tabs>
          <w:tab w:leader="none" w:pos="48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Excludes $25,999,624 in U.S. Treasury Bills sold short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40" w:type="dxa"/>
            <w:vAlign w:val="bottom"/>
          </w:tcPr>
          <w:p>
            <w:pPr>
              <w:jc w:val="center"/>
              <w:ind w:right="1988"/>
              <w:spacing w:after="0"/>
              <w:rPr>
                <w:sz w:val="20"/>
                <w:szCs w:val="20"/>
                <w:color w:val="auto"/>
              </w:rPr>
            </w:pPr>
            <w:r>
              <w:rPr>
                <w:rFonts w:ascii="Arial" w:cs="Arial" w:eastAsia="Arial" w:hAnsi="Arial"/>
                <w:sz w:val="14"/>
                <w:szCs w:val="14"/>
                <w:b w:val="1"/>
                <w:bCs w:val="1"/>
                <w:color w:val="auto"/>
                <w:w w:val="91"/>
              </w:rPr>
              <w:t>Investment</w:t>
            </w:r>
          </w:p>
        </w:tc>
        <w:tc>
          <w:tcPr>
            <w:tcW w:w="3140" w:type="dxa"/>
            <w:vAlign w:val="bottom"/>
            <w:vMerge w:val="restart"/>
          </w:tcPr>
          <w:p>
            <w:pPr>
              <w:ind w:left="2080"/>
              <w:spacing w:after="0"/>
              <w:rPr>
                <w:sz w:val="20"/>
                <w:szCs w:val="20"/>
                <w:color w:val="auto"/>
              </w:rPr>
            </w:pPr>
            <w:r>
              <w:rPr>
                <w:rFonts w:ascii="Arial" w:cs="Arial" w:eastAsia="Arial" w:hAnsi="Arial"/>
                <w:sz w:val="14"/>
                <w:szCs w:val="14"/>
                <w:b w:val="1"/>
                <w:bCs w:val="1"/>
                <w:color w:val="auto"/>
                <w:w w:val="92"/>
              </w:rPr>
              <w:t>Rating Definition</w:t>
            </w:r>
          </w:p>
        </w:tc>
        <w:tc>
          <w:tcPr>
            <w:tcW w:w="0" w:type="dxa"/>
            <w:vAlign w:val="bottom"/>
          </w:tcPr>
          <w:p>
            <w:pPr>
              <w:spacing w:after="0"/>
              <w:rPr>
                <w:sz w:val="1"/>
                <w:szCs w:val="1"/>
                <w:color w:val="auto"/>
              </w:rPr>
            </w:pPr>
          </w:p>
        </w:tc>
      </w:tr>
      <w:tr>
        <w:trPr>
          <w:trHeight w:val="186"/>
        </w:trPr>
        <w:tc>
          <w:tcPr>
            <w:tcW w:w="2740" w:type="dxa"/>
            <w:vAlign w:val="bottom"/>
          </w:tcPr>
          <w:p>
            <w:pPr>
              <w:jc w:val="center"/>
              <w:ind w:right="1968"/>
              <w:spacing w:after="0"/>
              <w:rPr>
                <w:sz w:val="20"/>
                <w:szCs w:val="20"/>
                <w:color w:val="auto"/>
              </w:rPr>
            </w:pPr>
            <w:r>
              <w:rPr>
                <w:rFonts w:ascii="Arial" w:cs="Arial" w:eastAsia="Arial" w:hAnsi="Arial"/>
                <w:sz w:val="14"/>
                <w:szCs w:val="14"/>
                <w:b w:val="1"/>
                <w:bCs w:val="1"/>
                <w:color w:val="auto"/>
                <w:w w:val="96"/>
              </w:rPr>
              <w:t>Rating</w:t>
            </w: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4" w:lineRule="exact"/>
        <w:rPr>
          <w:sz w:val="20"/>
          <w:szCs w:val="20"/>
          <w:color w:val="auto"/>
        </w:rPr>
      </w:pPr>
    </w:p>
    <w:p>
      <w:pPr>
        <w:ind w:left="1080" w:right="20" w:hanging="623"/>
        <w:spacing w:after="0" w:line="25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080" w:right="20" w:hanging="623"/>
        <w:spacing w:after="0" w:line="265"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Performing at or reasonably close to plan. Acceptable business prospects, enterprise value, financial 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080" w:hanging="623"/>
        <w:spacing w:after="0" w:line="250"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080" w:hanging="623"/>
        <w:spacing w:after="0" w:line="250"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080" w:hanging="623"/>
        <w:spacing w:after="0" w:line="323"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investment ratings of our debt investments at fair value as of September 30, 2021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As of September 30, 2021</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December 31, 2020</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9"/>
        </w:trPr>
        <w:tc>
          <w:tcPr>
            <w:tcW w:w="2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Portfolio</w:t>
            </w:r>
          </w:p>
        </w:tc>
        <w:tc>
          <w:tcPr>
            <w:tcW w:w="260" w:type="dxa"/>
            <w:vAlign w:val="bottom"/>
          </w:tcPr>
          <w:p>
            <w:pPr>
              <w:spacing w:after="0"/>
              <w:rPr>
                <w:sz w:val="12"/>
                <w:szCs w:val="12"/>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Portfolio</w:t>
            </w:r>
          </w:p>
        </w:tc>
        <w:tc>
          <w:tcPr>
            <w:tcW w:w="0" w:type="dxa"/>
            <w:vAlign w:val="bottom"/>
          </w:tcPr>
          <w:p>
            <w:pPr>
              <w:spacing w:after="0"/>
              <w:rPr>
                <w:sz w:val="1"/>
                <w:szCs w:val="1"/>
                <w:color w:val="auto"/>
              </w:rPr>
            </w:pPr>
          </w:p>
        </w:tc>
      </w:tr>
      <w:tr>
        <w:trPr>
          <w:trHeight w:val="171"/>
        </w:trPr>
        <w:tc>
          <w:tcPr>
            <w:tcW w:w="2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Rating</w:t>
            </w: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2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Companies</w:t>
            </w: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85,396,191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318,653,909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380,796,998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100,419,365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90,459,846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17,273,464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30,707,813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9,862,794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531,605,723</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501,964,657</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global COVID-19 pandemic, to date, has had limited impact on the investment ratings of our debt investments, taken as a whole. However, the ongoing impact of the global COVID-19 pandemic is uncertain and we can make no assurances that the pandemic will not have a negative impact on our investment portfolio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September 30, 2021, the Company had six loans to Mojix, Inc. and one loan to Pivot3 Holdings, Inc., representing an aggregate principal funded of $30,383,707 at a fair value of $23,147,803, on non-accrual status, which represents 4.59% of the Company’s net assets. </w:t>
      </w:r>
      <w:r>
        <w:rPr>
          <w:rFonts w:ascii="Arial" w:cs="Arial" w:eastAsia="Arial" w:hAnsi="Arial"/>
          <w:sz w:val="17"/>
          <w:szCs w:val="17"/>
          <w:color w:val="231F20"/>
        </w:rPr>
        <w:t>As of December 31, 2020, we had</w:t>
      </w:r>
      <w:r>
        <w:rPr>
          <w:rFonts w:ascii="Arial" w:cs="Arial" w:eastAsia="Arial" w:hAnsi="Arial"/>
          <w:sz w:val="17"/>
          <w:szCs w:val="17"/>
          <w:color w:val="auto"/>
        </w:rPr>
        <w:t xml:space="preserve"> nine loans to Mojix, Inc. representing an aggregate principal funded of $11,000,000 at a fair market value of $8,961,080, on non-accrual status, which represents 1.92% of our net assets</w:t>
      </w:r>
      <w:r>
        <w:rPr>
          <w:rFonts w:ascii="Arial" w:cs="Arial" w:eastAsia="Arial" w:hAnsi="Arial"/>
          <w:sz w:val="17"/>
          <w:szCs w:val="17"/>
          <w:color w:val="231F20"/>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4"/>
          </w:tcPr>
          <w:p>
            <w:pPr>
              <w:jc w:val="right"/>
              <w:ind w:right="512"/>
              <w:spacing w:after="0" w:line="149" w:lineRule="exact"/>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4"/>
          </w:tcPr>
          <w:p>
            <w:pPr>
              <w:jc w:val="right"/>
              <w:ind w:right="532"/>
              <w:spacing w:after="0" w:line="149" w:lineRule="exact"/>
              <w:rPr>
                <w:sz w:val="20"/>
                <w:szCs w:val="20"/>
                <w:color w:val="auto"/>
              </w:rPr>
            </w:pPr>
            <w:r>
              <w:rPr>
                <w:rFonts w:ascii="Arial" w:cs="Arial" w:eastAsia="Arial" w:hAnsi="Arial"/>
                <w:sz w:val="14"/>
                <w:szCs w:val="14"/>
                <w:b w:val="1"/>
                <w:bCs w:val="1"/>
                <w:color w:val="auto"/>
              </w:rPr>
              <w:t>September 30, 2020</w:t>
            </w: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Per</w:t>
            </w:r>
          </w:p>
        </w:tc>
      </w:tr>
      <w:tr>
        <w:trPr>
          <w:trHeight w:val="171"/>
        </w:trPr>
        <w:tc>
          <w:tcPr>
            <w:tcW w:w="24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r>
      <w:tr>
        <w:trPr>
          <w:trHeight w:val="209"/>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18,508,669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14,097,541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18,610,066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14,215,723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2,301,656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1,721,913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2,686,475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812,852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407,701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249,141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161,553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738,087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327,936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7,868,942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4,693,143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10,741,124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9,522,580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gain (loss) on investments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198"/>
        </w:trPr>
        <w:tc>
          <w:tcPr>
            <w:tcW w:w="46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6"/>
              </w:rPr>
              <w:t>Net change in unrealized appreciation (depreciation) on</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investments</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(1,228,382)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243,742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09"/>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10,231,052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10,909,028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2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33,160,481 and 27,271,559 shares outstanding for the three months ended September 30,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strategy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Included in investment income are non-recurring fees primarily comprised of early prepayment fees and unamortized original issue discounts recorded as interest income. Other non-recurring income consisting of amendment fees, legal fees, reimburseable income, and any other fee income for services rendered, if any, are recorded as other income when earned.</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Investment income for the three months ended September 30, 2021 and 2020 was $18,610,066 and $14,215,723, respectively, and includes non-recurring income of $3,403,585 and $295,523, respectively. The increase in investment income for the three months ended September 30, 2021 compared to the three months ended September 30, 2020 was primarily due to interest income and driven by our deployment of capital, increased invested balance, prepayments, and end-of-term payments, partially offset by falling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and repurchases of our securities;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pro-rata portion of fees and expenses related an initial public offering of the Public Fund in connection with a Spin-Off transaction;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9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for the three months ended September 30, 2021 and 2020 were $7,868,943 and $4,693,143, respectively. Operating expenses increased for the three months ended September 30, 2021 from the three months ended September 30, 2020 primarily due to an increase in incentive fees, management fees, credit facility fees, and interest expense due to an increase in leverage utilization. Operating expenses per share for the three months ended September 30, 2021 and 2020 were $0.24 per share and $0.17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Incentive fees for the three months ended September 30, 2021 and 2020 were $2,686,475 and $1,650,930, respectively, incurred primarily due to net investment income. Incentive fees increased for the three months ended September 30, 2021 from the three months ended September 30, 2020 primarily due to an increase in net investment income arising from prepayments. $2,171,245 of the incentive fees for the three months ended September 30, 2021 were earned, payable in cash, and included under Accrued incentive fees on the Statement of Assets and Liabilities as of September 30, 2021. $515,230 of the incentive fees for the three months ended September 30, 2021 were deferred and accrued, and included in Accrued incentive fees on the Statement of Assets and Liabilities as of September 30, 2021. $1,126,379 of the incentive fees for the three months ended September 30, 2020 were earned, payable in cash, and included under Accrued incentive fees on the Statement of Assets and Liabilities as of September 30, 2020. $524,551 of the incentive fees for the three months ended September 30, 2020 were deferred and accrued, and included under Accrued incentive fees on the Statement of Assets and Liabilities as of September 30, 2020. Incentive fees related to PIK or deferred interest are accrued and payment is deferred until such interest is collected in cash. Incentive fees per share for the three months ended September 30, 2021 and September 30, 2020 were $0.08 and $0.06 per share,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investment income for the three months ended September 30, 2021 and 2020 was $10,741,123 and $9,522,580, respectively. Net investment income increased for the three months ended September 30, 2021 from the three months ended September 30, 2020, primarily due to an increase in interest income resulting from an increase in the size of the investment portfolio and an increase in prepayments. Net investment income per share for the three months ended September 30, 2021 and 2020 was $0.32 per share and $0.35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realized gain on investments of $718,311 for the three months ended September 30, 2021 was primarily due to the gain on a portion of our investment in the common stock of Porch Group, Inc. and Ouster, Inc. and warrants of Brilliant Earth LLC. The net realized gain on investments of $1,142,706 for the three months ended September 30, 2020 was primarily due to the gain on our investment in the common stock of Hercules Capital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change in unrealized depreciation on investments of $1,228,382 for the three months ended September 30, 2021 was primarily due to decreases in the fair value of our common stock in Ouster, Inc. and warrants in CareCloud, Inc. and Circadence Corporation and partially offset by an increase in the fair value of our senior secured loans in Mojix, Inc. The net change in unrealized</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appreciation on investments of $243,742 for the three months ended September 30, 2020 was primarily due to increases in the fair value of our senior secured loan to Brilliant Earth LLC and our investments in the warrants of MTBC, Inc. and Aspen Group, Inc. This was partially offset by decreases in the fair value of our senior secured loan to Pivot3, Inc. and our investment in the preferred stock of MTBC,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a net increase in net assets resulting from operations of $10,231,052 for the three months ended September 30, 2021, as compared to a net increase in net assets resulting from operations of $10,909,028 for the three months ended September 30, 2020. The net decrease in net assets resulting from operations for the three months ended September 30, 2021 from the three months ended September 30, 2020 was primarily due to a decrease in unrealized appreciation in our portfolio and an increase in operating expenses for the three months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53,435,814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40,121,836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342,626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715,798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9"/>
        </w:trPr>
        <w:tc>
          <w:tcPr>
            <w:tcW w:w="46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investment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53,778,440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40,837,634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6,647,207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5,017,590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6,498,482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4,871,906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2,302,582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595,195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655,260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507,536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1,447,288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510,805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Tax expense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expenses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890,530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807,240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20,215,110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13,797,626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33,563,330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27,040,008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Realized (loss) on investments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(4,076,766)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(5,370,702)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98"/>
        </w:trPr>
        <w:tc>
          <w:tcPr>
            <w:tcW w:w="4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Net change in unrealized appreciation (depreciation) on</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3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(3,172,841)</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4,561,255</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26,313,723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26,230,561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32,360,107 and 26,603,966 shares outstanding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Investment income for the nine months ended September 30, 2021 and 2020 was $53,778,440 and $40,837,634, respectively, and includes non-recurring income of $6,972,631 and $3,143,988, respectively. The increase in investment income for the nine months ended September 30, 2021 compared to the nine months ended September 30, 2020 was primarily due to interest income and driven by our deployment of capital, increased invested balance, prepayments, and end-of-term payments, partially offset by falling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for the nine months ended September 30, 2021 and 2020 were $20,215,110 and $13,797,626, respectively. Operating expenses increased for the nine months ended September 30, 2021 from the nine months ended September 30, 2020 primarily due to an increase in incentive fees, management fees, credit facility fees, and interest expense due to an increase in leverage utilization. Operating expenses per share for the nine months ended September 30, 2021 and 2020 were $0.62 per share and $0.52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Incentive fees for the nine months ended September 30, 2021 and 2020 were $6,498,482 and $4,871,906, respectively, incurred primarily due to net investment income. Incentive fees increased for the nine months ended September 30, 2021 from the nine months ended September 30, 2020 primarily due to an increase in net investment income arising from prepayments. $5,140,115 of the incentive fees for the nine months ended September 30, 2021 were earned, payable in cash, and included under Accrued incentive fees on the Statement of Assets and Liabilities as of September 30, 2021. $1,358,367 of the incentive fees for the nine months ended September 30, 2021 were deferred and accrued, and included in Accrued incentive fees on the Statement of Assets and Liabilities as of September 30, 2021. $3,659,134 of the incentive fees for the nine months ended September 30, 2020 were earned, payable in cash, and included under Accrued incentive fees on the Statement of Assets and Liabilities as of September 30, 2020. $1,212,772 of the incentive fees for the nine months ended September 30, 2020 were deferred and accrued, and included under Accrued incentive fees on the Statement of Assets and Liabilities as of September 30, 2020. Incentive fees related to PIK or deferred interest are accrued and payment is deferred until such interest is collected in cash. Incentive fees per share for the nine months ended September 30, 2021 and September 30, 2020 were $0.20 and $0.18 per share,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investment income for the nine months ended September 30, 2021 and 2020 was $33,563,330 and $27,040,008, respectively. Net investment income increased for the nine months ended September 30, 2021 from the nine months ended September 30, 2020, primarily due to an increase in interest income resulting from an increase in the size of the investment portfolio and an increase in prepayments. Net investment income per share for the nine months ended September 30, 2021 and 2020 was $1.04 per share and $1.02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net realized loss on investments of $4,076,766 for the nine months ended September 30, 2021 was primarily due to the loss on a portion of our investment in the preferred stock of CareCloud, Inc. The net realized loss on investments of $5,370,702 for the nine months ended September 30, 2020 was primarily due to the loss on our senior secured loan to Aginity,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change in unrealized depreciation on investments of $3,172,841 for the nine months ended September 30, 2021 was primarily due to decreases in the fair value of our senior secured loans to Pivot3 Holdings, Inc. and our investment in the preferred stock of Pivot3 Holdings, Inc. This was partially offset by an increase in the fair value of our investment in the common stock of Ouster, Inc. and Brilliant Earth LLC. The net change in unrealized appreciation on investments of $4,561,255 for the nine months ended September 30, 2020 was primarily due to increases in the fair value of our investments in the warrants of MTBC, Inc. This was partially offset by decreases in the fair value of our senior secured loan to Pivot3, Inc. and our investment in the preferred stock of MTBC, Inc.</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a net increase in net assets resulting from operations of $26,313,723 for the nine months ended September 30, 2021, as compared to a net increase in net assets resulting from operations of $26,230,561 for the nine months ended September 30, 2020. The net increase in net assets resulting from operations for the nine months ended September 30, 2021 from the nine months ended September 30, 2020 was primarily due to an increase in interest income resulting from an increase in the size of the investment portfolio and an increase in prepayments.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nine months ended September 30, 2021, cash and cash equivalents decreased to $936,503 from $14,886,246 as of December 31, 2020. This decrease was primarily the result of the purchase of investments in portfolio companies for $237,031,073 and U.S. Treasury Bills for $115,000,509 and was partially offset by the sales of investments in portfolio companies, the maturity of U.S. Treasuary Bills, the issuance of common stock, and net borrowings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October 8, 2015, we issued 1,667 shares of our common stock to R. David Spreng, our President, Chief Executive Officer and Chairman of our Board of Directors, for an aggregate purchase price of $25,000. Additionally, as of September 31, 2021, we have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issued 22,564 shares of our common stock to Runway Growth Holdings LLC, an affiliate of RGC. The remaining shares issued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were issued in connection with our private offerings, or pursuant to our dividend reinvestment plan,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108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1"/>
              </w:rPr>
              <w:t>Gross Proceeds</w:t>
            </w:r>
          </w:p>
        </w:tc>
        <w:tc>
          <w:tcPr>
            <w:tcW w:w="0" w:type="dxa"/>
            <w:vAlign w:val="bottom"/>
          </w:tcPr>
          <w:p>
            <w:pPr>
              <w:spacing w:after="0"/>
              <w:rPr>
                <w:sz w:val="1"/>
                <w:szCs w:val="1"/>
                <w:color w:val="auto"/>
              </w:rPr>
            </w:pPr>
          </w:p>
        </w:tc>
      </w:tr>
      <w:tr>
        <w:trPr>
          <w:trHeight w:val="171"/>
        </w:trPr>
        <w:tc>
          <w:tcPr>
            <w:tcW w:w="6400" w:type="dxa"/>
            <w:vAlign w:val="bottom"/>
            <w:gridSpan w:val="3"/>
            <w:vMerge w:val="continue"/>
          </w:tcPr>
          <w:p>
            <w:pPr>
              <w:spacing w:after="0"/>
              <w:rPr>
                <w:sz w:val="14"/>
                <w:szCs w:val="14"/>
                <w:color w:val="auto"/>
              </w:rPr>
            </w:pPr>
          </w:p>
        </w:tc>
        <w:tc>
          <w:tcPr>
            <w:tcW w:w="1080" w:type="dxa"/>
            <w:vAlign w:val="bottom"/>
          </w:tcPr>
          <w:p>
            <w:pPr>
              <w:jc w:val="right"/>
              <w:ind w:right="251"/>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1080" w:type="dxa"/>
            <w:vAlign w:val="bottom"/>
          </w:tcPr>
          <w:p>
            <w:pPr>
              <w:jc w:val="right"/>
              <w:spacing w:after="0"/>
              <w:rPr>
                <w:sz w:val="20"/>
                <w:szCs w:val="20"/>
                <w:color w:val="auto"/>
              </w:rPr>
            </w:pPr>
            <w:r>
              <w:rPr>
                <w:rFonts w:ascii="Arial" w:cs="Arial" w:eastAsia="Arial" w:hAnsi="Arial"/>
                <w:sz w:val="18"/>
                <w:szCs w:val="18"/>
                <w:color w:val="auto"/>
              </w:rPr>
              <w:t>2,666,667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70,563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1080" w:type="dxa"/>
            <w:vAlign w:val="bottom"/>
          </w:tcPr>
          <w:p>
            <w:pPr>
              <w:jc w:val="right"/>
              <w:spacing w:after="0"/>
              <w:rPr>
                <w:sz w:val="20"/>
                <w:szCs w:val="20"/>
                <w:color w:val="auto"/>
              </w:rPr>
            </w:pPr>
            <w:r>
              <w:rPr>
                <w:rFonts w:ascii="Arial" w:cs="Arial" w:eastAsia="Arial" w:hAnsi="Arial"/>
                <w:sz w:val="18"/>
                <w:szCs w:val="18"/>
                <w:color w:val="auto"/>
              </w:rPr>
              <w:t>1,997,337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1080" w:type="dxa"/>
            <w:vAlign w:val="bottom"/>
          </w:tcPr>
          <w:p>
            <w:pPr>
              <w:jc w:val="right"/>
              <w:spacing w:after="0"/>
              <w:rPr>
                <w:sz w:val="20"/>
                <w:szCs w:val="20"/>
                <w:color w:val="auto"/>
              </w:rPr>
            </w:pPr>
            <w:r>
              <w:rPr>
                <w:rFonts w:ascii="Arial" w:cs="Arial" w:eastAsia="Arial" w:hAnsi="Arial"/>
                <w:sz w:val="18"/>
                <w:szCs w:val="18"/>
                <w:color w:val="auto"/>
              </w:rPr>
              <w:t>4,344,964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374,783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464,986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1080" w:type="dxa"/>
            <w:vAlign w:val="bottom"/>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575,132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529,020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1080" w:type="dxa"/>
            <w:vAlign w:val="bottom"/>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618,815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24,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637,127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September 29,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1,265,128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34,528,947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517,351,489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4860" w:hanging="328"/>
        <w:spacing w:after="0" w:line="419" w:lineRule="auto"/>
        <w:tabs>
          <w:tab w:leader="none" w:pos="660" w:val="left"/>
        </w:tabs>
        <w:numPr>
          <w:ilvl w:val="0"/>
          <w:numId w:val="35"/>
        </w:numPr>
        <w:rPr>
          <w:rFonts w:ascii="Arial" w:cs="Arial" w:eastAsia="Arial" w:hAnsi="Arial"/>
          <w:sz w:val="26"/>
          <w:szCs w:val="26"/>
          <w:color w:val="auto"/>
          <w:vertAlign w:val="superscript"/>
        </w:rPr>
      </w:pPr>
      <w:r>
        <w:rPr>
          <w:rFonts w:ascii="Arial" w:cs="Arial" w:eastAsia="Arial" w:hAnsi="Arial"/>
          <w:sz w:val="17"/>
          <w:szCs w:val="17"/>
          <w:color w:val="auto"/>
        </w:rPr>
        <w:t>Shares were issued as part of the dividend reinvestment plan. For more information, see “Recent Developments.”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At September 30, 2021, the Company had $165,345,185 in unfunded loan commitments to provide debt financing to twelve portfolio companies. The Company’s management believes that its available cash balances, availability under the Credit Agreement (as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defined below) and/or ability to drawdown capital from investors provides sufficient funds to cover its unfunded commitments as of September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7"/>
              </w:rPr>
              <w:t>Payments Due By Period</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Less than</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1–3 years</w:t>
            </w:r>
          </w:p>
        </w:tc>
        <w:tc>
          <w:tcPr>
            <w:tcW w:w="16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3–5 years</w:t>
            </w:r>
          </w:p>
        </w:tc>
        <w:tc>
          <w:tcPr>
            <w:tcW w:w="160" w:type="dxa"/>
            <w:vAlign w:val="bottom"/>
          </w:tcPr>
          <w:p>
            <w:pPr>
              <w:spacing w:after="0"/>
              <w:rPr>
                <w:sz w:val="11"/>
                <w:szCs w:val="11"/>
                <w:color w:val="auto"/>
              </w:rPr>
            </w:pPr>
          </w:p>
        </w:tc>
        <w:tc>
          <w:tcPr>
            <w:tcW w:w="8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Reverse repurchase agreement</w:t>
            </w:r>
            <w:r>
              <w:rPr>
                <w:rFonts w:ascii="Arial" w:cs="Arial" w:eastAsia="Arial" w:hAnsi="Arial"/>
                <w:sz w:val="24"/>
                <w:szCs w:val="24"/>
                <w:color w:val="auto"/>
                <w:vertAlign w:val="superscript"/>
              </w:rPr>
              <w:t>(1)</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59,699,461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59,699,461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80,000,000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80,000,000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139,699,461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139,699,461</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Reverse repurchase agreement relates to the purchase of the U.S. Treasury Bill on margin. The reverse repurchase agreement purchased was subsequently repaid in October 2021.</w:t>
      </w:r>
    </w:p>
    <w:p>
      <w:pPr>
        <w:spacing w:after="0" w:line="121" w:lineRule="exact"/>
        <w:rPr>
          <w:rFonts w:ascii="Arial" w:cs="Arial" w:eastAsia="Arial" w:hAnsi="Arial"/>
          <w:sz w:val="27"/>
          <w:szCs w:val="27"/>
          <w:color w:val="auto"/>
          <w:vertAlign w:val="superscript"/>
        </w:rPr>
      </w:pPr>
    </w:p>
    <w:p>
      <w:pPr>
        <w:ind w:left="660" w:hanging="328"/>
        <w:spacing w:after="0"/>
        <w:tabs>
          <w:tab w:leader="none" w:pos="66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See “Note 10 – Credit Facilities” to our financial statements in Part I, Item 1 of this Form 10-Q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May 31, 2019, we entered into a Credit Agreement, as subsequently amended (the “Credit Agreement”) by and among us, as borrower, KeyBank National Association, as administrative agent, syndication agent, and a lender, CIBC Bank USA (“CIBC”),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of our cash and cash equivalent holdings. The Credit Agreement has an accordion feature that allows us to increase the aggregate commitments up to $200 million, subject to new or existing lenders agreeing to participate in the increase and other customary conditions.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w:t>
      </w:r>
    </w:p>
    <w:p>
      <w:pPr>
        <w:spacing w:after="0" w:line="5" w:lineRule="exact"/>
        <w:rPr>
          <w:sz w:val="20"/>
          <w:szCs w:val="20"/>
          <w:color w:val="auto"/>
        </w:rPr>
      </w:pPr>
    </w:p>
    <w:p>
      <w:pPr>
        <w:jc w:val="both"/>
        <w:ind w:firstLine="8"/>
        <w:spacing w:after="0" w:line="267" w:lineRule="auto"/>
        <w:tabs>
          <w:tab w:leader="none" w:pos="2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We also pay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our assets and portfolio investments.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fourth quarter of 2020, we amended the Credit Agreement and others to increase its size to $215 million, increase the accordion feature to $300 million, add additional lenders, implement a 0.50% LIBOR floor and benchmark replacement rate floor on borrowings under the Credit Agreement and modify certain pricing elements and other provisions. We also amended the fee letter (the “Fee Letter”) to revise the interest rate margin to be 3.00% for the remaining term of the Credit Agreement regardless of the Credit Agreement average utilization or the number of unaffiliated obligors on loans in the collateral</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second quarter of 2021, we amended the Credit Agreement to: (i) allow the Company to incur permitted indebtedness without the prior written consent of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 See "Note 10 -Credit Facilities" to our financial statements in Part I of this Form 10 Q for more information on the Credit Agreement and Credit Facilities.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third quarter of 2021, we further amended the Fee Letter (the “Second Amended and Restated Fee Letter”) to amend the first payment date of the minimum earnings fee, which will be payable annually starting on May 31, 2022. Under the Second Amended and Restated Fee Letter, we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nine months ended September 30, 2021, we drew down $100,000,000 on the Credit Agreement and repaid $119,000,000, of which $80,000,000 remains outstanding at September 30, 2021. At September 30, 2021, interest was accruing at a rate of 3.50%. During the year ended December 31, 2020, we drew down $200,500,000 on the Credit Agreement and repaid $162,500,000 of which $99,000,000 remained outstanding at December 31, 2020. At December 31, 2020, interest was accruing at a rate of 3.22%. See “Note 10 – Credit Facilities” to our financial statements in Part I, Item 1 of this Form 10-Q for more information on the Credit Agreement and Credit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our IPO, the number of shares to be issued to a shareholder under the dividend reinvestment plan was determined by dividing the total dollar amount of the distribution payable to such shareholder by the net asset value per share of our common stock, as of the valuation date fixed by the Board of Directors for such dividend.</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connection with our IPO, we entered into our amended and restated dividend reinvestment plan, pursuant to which, if newly issued shares are used to implement the dividend reinvestment plan, the number of shares to be issued to a shareholder will be determined by dividing the total dollar amount of the cash dividend or distribution payable to a shareholder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shares are purchased in the open market to implement the dividend reinvestment plan, the number of shares to be issued to a shareholder shall be determined by dividing the dollar amount of the cash dividend payable to such shareholder by the weighted average price per share for all shares purchased by the plan administrator in the open market in connection with the dividend.</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During the nine months ended September 30, 2021, we declared dividends in the amount of $34,597,684, of which $7,602,878 was distributed in cash and the remainder distributed in shares to stockholders pursuant to our dividend reinvestment plan. </w:t>
      </w:r>
      <w:r>
        <w:rPr>
          <w:rFonts w:ascii="Arial" w:cs="Arial" w:eastAsia="Arial" w:hAnsi="Arial"/>
          <w:sz w:val="16"/>
          <w:szCs w:val="16"/>
          <w:color w:val="231F20"/>
        </w:rPr>
        <w:t>During</w:t>
      </w:r>
      <w:r>
        <w:rPr>
          <w:rFonts w:ascii="Arial" w:cs="Arial" w:eastAsia="Arial" w:hAnsi="Arial"/>
          <w:sz w:val="16"/>
          <w:szCs w:val="16"/>
          <w:color w:val="auto"/>
        </w:rPr>
        <w:t xml:space="preserve"> </w:t>
      </w:r>
      <w:r>
        <w:rPr>
          <w:rFonts w:ascii="Arial" w:cs="Arial" w:eastAsia="Arial" w:hAnsi="Arial"/>
          <w:sz w:val="16"/>
          <w:szCs w:val="16"/>
          <w:color w:val="231F20"/>
        </w:rPr>
        <w:t>the year ended December 31, 2020, we declared and paid dividends in the amount of $39,709,233, of which $7,265,784 was distributed in cash and the remainder distributed in shares to stockholders pursuant to our dividend reinvestment program.</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September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9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Record Date</w:t>
            </w:r>
          </w:p>
        </w:tc>
        <w:tc>
          <w:tcPr>
            <w:tcW w:w="17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1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August 15, 2018</w:t>
            </w:r>
          </w:p>
        </w:tc>
        <w:tc>
          <w:tcPr>
            <w:tcW w:w="178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March 22, 2019</w:t>
            </w:r>
          </w:p>
        </w:tc>
        <w:tc>
          <w:tcPr>
            <w:tcW w:w="178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7,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May 31, 2019</w:t>
            </w:r>
          </w:p>
        </w:tc>
        <w:tc>
          <w:tcPr>
            <w:tcW w:w="178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5,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September 30, 2019</w:t>
            </w:r>
          </w:p>
        </w:tc>
        <w:tc>
          <w:tcPr>
            <w:tcW w:w="1780" w:type="dxa"/>
            <w:vAlign w:val="bottom"/>
          </w:tcPr>
          <w:p>
            <w:pPr>
              <w:jc w:val="right"/>
              <w:spacing w:after="0"/>
              <w:rPr>
                <w:sz w:val="20"/>
                <w:szCs w:val="20"/>
                <w:color w:val="auto"/>
              </w:rPr>
            </w:pPr>
            <w:r>
              <w:rPr>
                <w:rFonts w:ascii="Arial" w:cs="Arial" w:eastAsia="Arial" w:hAnsi="Arial"/>
                <w:sz w:val="18"/>
                <w:szCs w:val="18"/>
                <w:color w:val="auto"/>
              </w:rPr>
              <w:t>November 12, 2019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December 10,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23, 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March 6, 2020</w:t>
            </w:r>
          </w:p>
        </w:tc>
        <w:tc>
          <w:tcPr>
            <w:tcW w:w="1780" w:type="dxa"/>
            <w:vAlign w:val="bottom"/>
          </w:tcPr>
          <w:p>
            <w:pPr>
              <w:jc w:val="right"/>
              <w:spacing w:after="0"/>
              <w:rPr>
                <w:sz w:val="20"/>
                <w:szCs w:val="20"/>
                <w:color w:val="auto"/>
              </w:rPr>
            </w:pPr>
            <w:r>
              <w:rPr>
                <w:rFonts w:ascii="Arial" w:cs="Arial" w:eastAsia="Arial" w:hAnsi="Arial"/>
                <w:sz w:val="18"/>
                <w:szCs w:val="18"/>
                <w:color w:val="auto"/>
              </w:rPr>
              <w:t>March 20, 2020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8,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August 6, 2020</w:t>
            </w:r>
          </w:p>
        </w:tc>
        <w:tc>
          <w:tcPr>
            <w:tcW w:w="1780" w:type="dxa"/>
            <w:vAlign w:val="bottom"/>
          </w:tcPr>
          <w:p>
            <w:pPr>
              <w:jc w:val="right"/>
              <w:spacing w:after="0"/>
              <w:rPr>
                <w:sz w:val="20"/>
                <w:szCs w:val="20"/>
                <w:color w:val="auto"/>
              </w:rPr>
            </w:pPr>
            <w:r>
              <w:rPr>
                <w:rFonts w:ascii="Arial" w:cs="Arial" w:eastAsia="Arial" w:hAnsi="Arial"/>
                <w:sz w:val="18"/>
                <w:szCs w:val="18"/>
                <w:color w:val="auto"/>
              </w:rPr>
              <w:t>August 20, 2020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12, 2020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March 4, 2021</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March 5, 2021</w:t>
            </w:r>
          </w:p>
        </w:tc>
        <w:tc>
          <w:tcPr>
            <w:tcW w:w="1780" w:type="dxa"/>
            <w:vAlign w:val="bottom"/>
          </w:tcPr>
          <w:p>
            <w:pPr>
              <w:jc w:val="right"/>
              <w:spacing w:after="0"/>
              <w:rPr>
                <w:sz w:val="20"/>
                <w:szCs w:val="20"/>
                <w:color w:val="auto"/>
              </w:rPr>
            </w:pPr>
            <w:r>
              <w:rPr>
                <w:rFonts w:ascii="Arial" w:cs="Arial" w:eastAsia="Arial" w:hAnsi="Arial"/>
                <w:sz w:val="18"/>
                <w:szCs w:val="18"/>
                <w:color w:val="auto"/>
              </w:rPr>
              <w:t>March 19, 2021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2021</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April 30,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13,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July 19, 2021</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July 20, 2021</w:t>
            </w:r>
          </w:p>
        </w:tc>
        <w:tc>
          <w:tcPr>
            <w:tcW w:w="1780" w:type="dxa"/>
            <w:vAlign w:val="bottom"/>
          </w:tcPr>
          <w:p>
            <w:pPr>
              <w:jc w:val="right"/>
              <w:spacing w:after="0"/>
              <w:rPr>
                <w:sz w:val="20"/>
                <w:szCs w:val="20"/>
                <w:color w:val="auto"/>
              </w:rPr>
            </w:pPr>
            <w:r>
              <w:rPr>
                <w:rFonts w:ascii="Arial" w:cs="Arial" w:eastAsia="Arial" w:hAnsi="Arial"/>
                <w:sz w:val="18"/>
                <w:szCs w:val="18"/>
                <w:color w:val="auto"/>
              </w:rPr>
              <w:t>August 12, 2021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measure the value of our portfolio investments at fair value in accordance with ASC Topic 820, Fair Value Measurements (“ASC Topic 820”) issued by the FASB.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83"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9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Rule 2a-5 under the 1940 Act was adopted by the SEC in December 2020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 however, a significantly higher or lower fair value measurement of any of the Company’s portfolio investments may occur regardless of whether there is a signficiant increase or decrease in these unobservable inputs.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660" w:hanging="328"/>
        <w:spacing w:after="0" w:line="270"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3"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328"/>
        <w:spacing w:after="0" w:line="25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60"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16"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on a recurring basis subject to the requirements of ASC Topic 820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December 31, 2020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As of September 30, 2021 (Unaudited)</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11,216,290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5,812,694</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17,028,984</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531,605,724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531,605,724</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15,889,998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16,967,613</w:t>
            </w:r>
          </w:p>
        </w:tc>
      </w:tr>
      <w:tr>
        <w:trPr>
          <w:trHeight w:val="216"/>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20,750,056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20,750,056</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27,106,288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5,812,694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553,433,395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586,352,377</w:t>
            </w: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60,000,660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60,000,660</w:t>
            </w:r>
          </w:p>
        </w:tc>
      </w:tr>
      <w:tr>
        <w:trPr>
          <w:trHeight w:val="21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87,106,948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5,812,694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553,433,395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646,353,037</w:t>
            </w:r>
          </w:p>
        </w:tc>
      </w:tr>
      <w:tr>
        <w:trPr>
          <w:trHeight w:val="20"/>
        </w:trPr>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58"/>
        </w:trPr>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501,964,657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501,964,657</w:t>
            </w: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536,309,597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551,824,590</w:t>
            </w: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70,002,060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83,232,060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536,309,597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621,826,650</w:t>
            </w:r>
          </w:p>
        </w:tc>
      </w:tr>
      <w:tr>
        <w:trPr>
          <w:trHeight w:val="20"/>
        </w:trPr>
        <w:tc>
          <w:tcPr>
            <w:tcW w:w="3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on the statement of operations.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OID,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Advisory Agreement and the fee structure thereunder.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be treated, have qualified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evaluated events subsequent to September 30, 2021 through November 4, 2021.</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October 18, 2021, Credit Sesame, Inc. prepaid its outstanding principal balance of $41,047,728. In addition, we received cash proceeds of $2,140,678 in conjunction with ETP, prepayment fees, and interest for total proceeds of $43,188,406.</w:t>
      </w:r>
    </w:p>
    <w:p>
      <w:pPr>
        <w:spacing w:after="0" w:line="146" w:lineRule="exact"/>
        <w:rPr>
          <w:sz w:val="20"/>
          <w:szCs w:val="20"/>
          <w:color w:val="auto"/>
        </w:rPr>
      </w:pPr>
    </w:p>
    <w:p>
      <w:pPr>
        <w:ind w:left="60" w:firstLine="603"/>
        <w:spacing w:after="0" w:line="277" w:lineRule="auto"/>
        <w:rPr>
          <w:sz w:val="20"/>
          <w:szCs w:val="20"/>
          <w:color w:val="auto"/>
        </w:rPr>
      </w:pPr>
      <w:r>
        <w:rPr>
          <w:rFonts w:ascii="Arial" w:cs="Arial" w:eastAsia="Arial" w:hAnsi="Arial"/>
          <w:sz w:val="18"/>
          <w:szCs w:val="18"/>
          <w:color w:val="auto"/>
        </w:rPr>
        <w:t>On October 19, 2021, we entered into an amendment to the Credit Agreement to make certain immaterial clarifications to the terms of the Credit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25, 2021, we closed our IPO, issuing 6,850,000 shares of our common stock at a public offering price of $14.60 per share. Net of underwriting fees, we received total net cash proceeds of $94.0 million, before expenses. We have granted the underwriters an option to purchase up to an additional 1,027,500 shares of common stock from, at the public offering price, less the sales load payable by us, on or before November 19, 2021. Our common stock began trading on the Nasdaq Global Select Market under the symbol “RWAY” on October 21, 2021.</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IPO, the Board approved an amended and restated dividend reinvestment plan (the “New DRIP”) which became effective on October 25, 2021, concurrent with the IPO. Pursuant to the New DRIP, among other changes, with respect to each cash dividend or distribution, the Board reserves the right to either issue new shares of common stock or purchase shares of common stock in the open market for the accounts of Participants (as defined in the New DRIP). If newly issued shares are used to implement the New DRIP, the number of shares to be issued to a shareholder will be determined by dividing the total dollar amount of the distribution payable to such Participant by the market price per share of our common stock at the close of regular trading of the Nasdaq Global Select Market on the Payment Date (as defined in the New DRIP), or if no sale is reported for such day, the average of the reported bid and asked prices. However, if the market price per share on the Payment Date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exceeds the most recently computed net asset value per share). If shares are purchased in the open market to implement the New DRIP, the number of shares to be issued to a Participant shall be determined by dividing the dollar amount of the distribution payable to such Participant by the weighted average price per share for all shares of common stock purchased by the plan administrator in the open market in connection with the dividend or distribution.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26, 2021, we funded an investment of $8,775,000 to Marley Spoon AG.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28, 2021, we declared a dividend of $0.25 per share payable on November 22, 2021 to shareholders of record as of November 8, 2021.</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September 30, 2021, 93.5%, or $508,030,189 (at cost), of our debt portfolio investments bore interest at variable rates, which are U.S. Prime Rate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$6,411,873 and decrease our investment income by a maximum of $0, due to certain floors, on an annual basis. In a low interest rate environment, debt investments with interest rate floors substantially in excess of current prevailing interest rates may be more likely to experience early termination.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subject to a LIBOR rate floor of 0.50%, plus 3.00%.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5, 2021, the United Kingdom’s Financial Conduct Authority (the “FCA”), which regulates LIBOR, announced that</w:t>
      </w:r>
    </w:p>
    <w:p>
      <w:pPr>
        <w:spacing w:after="0" w:line="35" w:lineRule="exact"/>
        <w:rPr>
          <w:sz w:val="20"/>
          <w:szCs w:val="20"/>
          <w:color w:val="auto"/>
        </w:rPr>
      </w:pPr>
    </w:p>
    <w:p>
      <w:pPr>
        <w:jc w:val="both"/>
        <w:ind w:firstLine="8"/>
        <w:spacing w:after="0" w:line="286" w:lineRule="auto"/>
        <w:tabs>
          <w:tab w:leader="none" w:pos="223" w:val="left"/>
        </w:tabs>
        <w:numPr>
          <w:ilvl w:val="0"/>
          <w:numId w:val="42"/>
        </w:numPr>
        <w:rPr>
          <w:rFonts w:ascii="Arial" w:cs="Arial" w:eastAsia="Arial" w:hAnsi="Arial"/>
          <w:sz w:val="16"/>
          <w:szCs w:val="16"/>
          <w:color w:val="auto"/>
        </w:rPr>
      </w:pPr>
      <w:r>
        <w:rPr>
          <w:rFonts w:ascii="Arial" w:cs="Arial" w:eastAsia="Arial" w:hAnsi="Arial"/>
          <w:sz w:val="16"/>
          <w:szCs w:val="16"/>
          <w:color w:val="auto"/>
        </w:rPr>
        <w:t>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On July 29, 2021, the ARCC formally recommended SOFR as its preferred alternative replacement rate for LIBOR. SOFR is a measure of</w:t>
      </w:r>
    </w:p>
    <w:p>
      <w:pPr>
        <w:sectPr>
          <w:pgSz w:w="11900" w:h="16838" w:orient="portrait"/>
          <w:cols w:equalWidth="0" w:num="1">
            <w:col w:w="9920"/>
          </w:cols>
          <w:pgMar w:left="980" w:top="517" w:right="99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borrowing cash overnight, collateralized by U.S. Treasury securities, and is based on directly observable U.S. Treasury-backed repurchase transactions.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 The global COVID-19 pandemic may also adversely impact the timing of many firms’ LIBOR transition planning. We continue to assess the potential impact of the COVID-19 pandemic on our LIBOR transition plans.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September 30, 2021 to the risk factors discussed in “Risk Factors” in Part I, Item 1A of our annual report on Form 10-K for the fiscal year ended December 31, 2020, filed with the SEC on March 11,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interest rates of our term loans to our portfolio companies that extend beyond 2021 might be subject to change based on recent regulatory changes.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5, 2021, the United Kingdom’s Financial Conduct Authority (the “FCA”), which regulates LIBOR, announced that</w:t>
      </w:r>
    </w:p>
    <w:p>
      <w:pPr>
        <w:spacing w:after="0" w:line="35" w:lineRule="exact"/>
        <w:rPr>
          <w:sz w:val="20"/>
          <w:szCs w:val="20"/>
          <w:color w:val="auto"/>
        </w:rPr>
      </w:pPr>
    </w:p>
    <w:p>
      <w:pPr>
        <w:jc w:val="both"/>
        <w:ind w:firstLine="8"/>
        <w:spacing w:after="0" w:line="267" w:lineRule="auto"/>
        <w:tabs>
          <w:tab w:leader="none" w:pos="223" w:val="left"/>
        </w:tabs>
        <w:numPr>
          <w:ilvl w:val="0"/>
          <w:numId w:val="43"/>
        </w:numPr>
        <w:rPr>
          <w:rFonts w:ascii="Arial" w:cs="Arial" w:eastAsia="Arial" w:hAnsi="Arial"/>
          <w:sz w:val="17"/>
          <w:szCs w:val="17"/>
          <w:color w:val="auto"/>
        </w:rPr>
      </w:pPr>
      <w:r>
        <w:rPr>
          <w:rFonts w:ascii="Arial" w:cs="Arial" w:eastAsia="Arial" w:hAnsi="Arial"/>
          <w:sz w:val="17"/>
          <w:szCs w:val="17"/>
          <w:color w:val="auto"/>
        </w:rPr>
        <w:t>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On July 29, 2021, the ARCC formally recommended SOFR as its preferred alternative replacement rate for LIBOR. SOFR is a measure of the cost of borrowing cash overnight, collateralized by U.S. Treasury securities, and is based on directly observable U.S. Treasury-backed repurchase transactions.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if LIBOR ceases to exist, we may need to renegotiate the credit agreements extending beyond 2021 with our portfolio companies that utilize LIBOR as a factor in determining the interest rate, in order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if LIBOR ceases to exist, we may need to renegotiate certain terms of the Financing Facilities. If we are unable to do so, amounts drawn under the Financing Facilities may bear interest at a higher rate, which would increase the cost of our borrowings and, in turn, affect our results of operations.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6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cannot predict how new tax legislation will affect us, our investments, or our stockholders, and any such legislation could adversely affect our business.</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17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Any shares owned by our affiliates prior to our IPO, as defined in the Securities Act of 1933, as amended (the “Securities Act”), are subject to the public information, manner of sale and volume limitations of Rule 144 under the Securities Act. The remaining shares of our common stock that were outstanding upon the completion of the IPO are “restricted securities” under the meaning of Rule 144</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promulgated under the Securities Act and may only be sold if such sale is registered under the Securities Act or exempt from registration, including the exemption under Rule 144.</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Each of our directors, executive officers and certain of our shareholders have agreed that they will not transfer their shares in accordance with the transfer restrictions provided for in the lock-up agreement with the underwriters for a period of 180 days after the date of the prospectus related to the offering, October 20, 2021 (the “Prospectus”), subject to certain exceptions.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each of the directors, executive officers and certain shareholders are subject to additional transfer restrictions following the 180 day lock-up period (as described in more detail below). First, each of our directors and officers and certain shareholders have agreed that they will not transfer their shares in accordance with the transfer restrictions provided for in the lock-up agreement with the underwriters for an additional 185 days beginning immediately after the expiration of the 180 day lock-up period (365 days in total from the date of the Prospectus), subject to certain exceptions.</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OCM and certain of its affiliates have also agreed, without the consent of the Company, that they will not transfer their shares in accordance with the transfer restrictions provided for in the lock-up agreement with the underwriters for an additional 270 days beginning immediately after the expiration of the 180 day lock-up period (450 days in total from the date of the Prospectus), provided, however that (i) 4,800,124 or 25% of the shares of ourcommon stock held by OCM and certain of its affiliates prior to this offering will not be subject to any transfer restrictions on the first day following the expiration of the initial 180 day lock-up period, (ii) an additional 4,800,124 or 25% of the shares of the Company’s common stock held by OCM and certain of its affiliates prior to this offering will not be subject to any transfer restrictions on the 90th day following the expiration of the initial 180 day lock-up period, (iii) an additional 4,800,124 or 25% of the shares of the Company’s common stock held by OCM and certain of its affiliates prior to this offering will not be subject to any transfer restrictions on the 180th day following the expiration of the initial 180 day lock-up period, and (iv) the remaining 4,800,124 or 25% of the shares of the Company’s common stock held by OCM and certain of its affiliates prior to this offering will not be subject to any transfer restrictions on the 270th day following the expiration of the initial 180 day lock-up period.</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other institutional shareholders holding in the aggregate approximately 27.23% of the outstanding shares of our common stock have agreed, without the consent of the Company, that they will not transfer their shares in accordance with the transfer restrictions provided for in the lock-up agreement with the underwriters for an additional 185 days beginning immediately after the expiration of the 180 day lock-up period (365 days in total from the date of the Prospectus), provided, however that</w:t>
      </w:r>
    </w:p>
    <w:p>
      <w:pPr>
        <w:spacing w:after="0" w:line="2" w:lineRule="exact"/>
        <w:rPr>
          <w:sz w:val="20"/>
          <w:szCs w:val="20"/>
          <w:color w:val="auto"/>
        </w:rPr>
      </w:pPr>
    </w:p>
    <w:p>
      <w:pPr>
        <w:jc w:val="both"/>
        <w:ind w:firstLine="8"/>
        <w:spacing w:after="0" w:line="270" w:lineRule="auto"/>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33% of the shares of the Company’s common stock held by certain institutional shareholders prior to this offering will not be subject to any transfer restrictions on the first day following the expiration of the initial 180 day lock-up period, (ii) an additional 33% of the shares of the Company’s common stock held by certain institutional shareholders prior to this offering will not be subject to any transfer restrictions on the 90th day following the expiration of the initial 180 day lock-up period, and (iii) the remaining 33% of the shares of the Company’s common stock held by certain institutional shareholders prior to this offering will not be subject to any transfer restrictions on the 185th day following the expiration of the initial 180 day lock-up period.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 its sole discretion, may release the securities subject to any of the transfer restrictions described above, in whole or in part at any time during the subsequent restricted periods.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the IPO and the expiration of applicable lock-up periods with the underwriters and subsequent transfer restriction periods with the Company for our directors, officers and certain of our stockholders of the outstanding shares of our common stock, and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value of our common stock may fluctuate significantly.</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market value and liquidity, if any, of the market for shares of our common stock may be significantly affected by numerous factors, some of which are beyond our control and may not be directly related to our operating performance. These factors include:</w:t>
      </w:r>
    </w:p>
    <w:p>
      <w:pPr>
        <w:spacing w:after="0" w:line="124" w:lineRule="exact"/>
        <w:rPr>
          <w:sz w:val="20"/>
          <w:szCs w:val="20"/>
          <w:color w:val="auto"/>
        </w:rPr>
      </w:pPr>
    </w:p>
    <w:p>
      <w:pPr>
        <w:ind w:left="660" w:hanging="328"/>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changes in the value of our portfolio of investments and derivative instruments as a result of changes in market factors, such as interest rate shifts, and also portfolio specific performance, such as portfolio company defaults, among other reasons;</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that exceed our net investment income and net income as reported according to GAAP;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departure of our Adviser or certain of its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19"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We expect our investments to be concentrated in technology-related industries, some of which are subject to extensive government regulation, which exposes us to the risk of significant loss if any of these industry sectors experiences a downturn.</w:t>
      </w:r>
    </w:p>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Given the experience of RGC’s senior investment professionals within the technology space, a number of the companies in which we intend to invest operate in technology-related sectors. As such, our investments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2021, our investments in healthcare technology represented 28.26%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spacing w:after="0" w:line="200" w:lineRule="exact"/>
        <w:rPr>
          <w:sz w:val="20"/>
          <w:szCs w:val="20"/>
          <w:color w:val="auto"/>
        </w:rPr>
      </w:pPr>
    </w:p>
    <w:p>
      <w:pPr>
        <w:spacing w:after="0" w:line="204"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i w:val="1"/>
          <w:iCs w:val="1"/>
          <w:color w:val="auto"/>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spacing w:after="0" w:line="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5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11" w:lineRule="exact"/>
        <w:rPr>
          <w:sz w:val="20"/>
          <w:szCs w:val="20"/>
          <w:color w:val="auto"/>
        </w:rPr>
      </w:pPr>
    </w:p>
    <w:p>
      <w:pPr>
        <w:spacing w:after="0"/>
        <w:tabs>
          <w:tab w:leader="none" w:pos="3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05">
        <w:r>
          <w:rPr>
            <w:rFonts w:ascii="Arial" w:cs="Arial" w:eastAsia="Arial" w:hAnsi="Arial"/>
            <w:sz w:val="16"/>
            <w:szCs w:val="16"/>
            <w:u w:val="single" w:color="auto"/>
            <w:color w:val="0000EE"/>
          </w:rPr>
          <w:t xml:space="preserve">Articles of Amendment and Restatement </w:t>
        </w:r>
      </w:hyperlink>
      <w:r>
        <w:rPr>
          <w:rFonts w:ascii="Arial" w:cs="Arial" w:eastAsia="Arial" w:hAnsi="Arial"/>
          <w:sz w:val="23"/>
          <w:szCs w:val="23"/>
          <w:u w:val="single" w:color="auto"/>
          <w:color w:val="0000EE"/>
          <w:vertAlign w:val="superscript"/>
        </w:rPr>
        <w:t>(1)</w:t>
      </w:r>
    </w:p>
    <w:p>
      <w:pPr>
        <w:spacing w:after="0" w:line="168" w:lineRule="exact"/>
        <w:rPr>
          <w:sz w:val="20"/>
          <w:szCs w:val="20"/>
          <w:color w:val="auto"/>
        </w:rPr>
      </w:pPr>
    </w:p>
    <w:p>
      <w:pPr>
        <w:spacing w:after="0"/>
        <w:tabs>
          <w:tab w:leader="none" w:pos="3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06">
        <w:r>
          <w:rPr>
            <w:rFonts w:ascii="Arial" w:cs="Arial" w:eastAsia="Arial" w:hAnsi="Arial"/>
            <w:sz w:val="16"/>
            <w:szCs w:val="16"/>
            <w:u w:val="single" w:color="auto"/>
            <w:color w:val="0000EE"/>
          </w:rPr>
          <w:t xml:space="preserve">Articles of Amendment </w:t>
        </w:r>
      </w:hyperlink>
      <w:r>
        <w:rPr>
          <w:rFonts w:ascii="Arial" w:cs="Arial" w:eastAsia="Arial" w:hAnsi="Arial"/>
          <w:sz w:val="23"/>
          <w:szCs w:val="23"/>
          <w:u w:val="single" w:color="auto"/>
          <w:color w:val="0000EE"/>
          <w:vertAlign w:val="superscript"/>
        </w:rPr>
        <w:t>(2)</w:t>
      </w:r>
    </w:p>
    <w:p>
      <w:pPr>
        <w:spacing w:after="0" w:line="168" w:lineRule="exact"/>
        <w:rPr>
          <w:sz w:val="20"/>
          <w:szCs w:val="20"/>
          <w:color w:val="auto"/>
        </w:rPr>
      </w:pPr>
    </w:p>
    <w:p>
      <w:pPr>
        <w:spacing w:after="0"/>
        <w:tabs>
          <w:tab w:leader="none" w:pos="380" w:val="left"/>
        </w:tabs>
        <w:rPr>
          <w:rFonts w:ascii="Arial" w:cs="Arial" w:eastAsia="Arial" w:hAnsi="Arial"/>
          <w:sz w:val="15"/>
          <w:szCs w:val="15"/>
          <w:u w:val="single" w:color="auto"/>
          <w:color w:val="0000EE"/>
        </w:rPr>
      </w:pPr>
      <w:r>
        <w:rPr>
          <w:rFonts w:ascii="Arial" w:cs="Arial" w:eastAsia="Arial" w:hAnsi="Arial"/>
          <w:sz w:val="18"/>
          <w:szCs w:val="18"/>
          <w:color w:val="auto"/>
        </w:rPr>
        <w:t>3.3</w:t>
      </w:r>
      <w:r>
        <w:rPr>
          <w:sz w:val="20"/>
          <w:szCs w:val="20"/>
          <w:color w:val="auto"/>
        </w:rPr>
        <w:tab/>
      </w:r>
      <w:hyperlink r:id="rId106">
        <w:r>
          <w:rPr>
            <w:rFonts w:ascii="Arial" w:cs="Arial" w:eastAsia="Arial" w:hAnsi="Arial"/>
            <w:sz w:val="15"/>
            <w:szCs w:val="15"/>
            <w:u w:val="single" w:color="auto"/>
            <w:color w:val="0000EE"/>
          </w:rPr>
          <w:t xml:space="preserve">Second Amended and Restated Bylaws </w:t>
        </w:r>
      </w:hyperlink>
      <w:r>
        <w:rPr>
          <w:rFonts w:ascii="Arial" w:cs="Arial" w:eastAsia="Arial" w:hAnsi="Arial"/>
          <w:sz w:val="21"/>
          <w:szCs w:val="21"/>
          <w:u w:val="single" w:color="auto"/>
          <w:color w:val="0000EE"/>
          <w:vertAlign w:val="superscript"/>
        </w:rPr>
        <w:t>(2)</w:t>
      </w:r>
    </w:p>
    <w:p>
      <w:pPr>
        <w:spacing w:after="0" w:line="191"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10.1 </w:t>
      </w:r>
      <w:hyperlink r:id="rId107">
        <w:r>
          <w:rPr>
            <w:rFonts w:ascii="Arial" w:cs="Arial" w:eastAsia="Arial" w:hAnsi="Arial"/>
            <w:sz w:val="17"/>
            <w:szCs w:val="17"/>
            <w:u w:val="single" w:color="auto"/>
            <w:color w:val="0000EE"/>
          </w:rPr>
          <w:t>Trademark License Agreement by and between Runway Growth Capital LLC and the Company, dated September 23, 2021.</w:t>
        </w:r>
      </w:hyperlink>
      <w:r>
        <w:rPr>
          <w:rFonts w:ascii="Arial" w:cs="Arial" w:eastAsia="Arial" w:hAnsi="Arial"/>
          <w:sz w:val="25"/>
          <w:szCs w:val="25"/>
          <w:u w:val="single" w:color="auto"/>
          <w:color w:val="0000EE"/>
          <w:vertAlign w:val="superscript"/>
        </w:rPr>
        <w:t>(3)</w:t>
      </w:r>
    </w:p>
    <w:p>
      <w:pPr>
        <w:spacing w:after="0" w:line="145" w:lineRule="exact"/>
        <w:rPr>
          <w:sz w:val="20"/>
          <w:szCs w:val="20"/>
          <w:color w:val="auto"/>
        </w:rPr>
      </w:pPr>
    </w:p>
    <w:p>
      <w:pPr>
        <w:ind w:left="400" w:right="60" w:hanging="391"/>
        <w:spacing w:after="0" w:line="26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108">
        <w:r>
          <w:rPr>
            <w:rFonts w:ascii="Arial" w:cs="Arial" w:eastAsia="Arial" w:hAnsi="Arial"/>
            <w:sz w:val="18"/>
            <w:szCs w:val="18"/>
            <w:u w:val="single" w:color="auto"/>
            <w:color w:val="0000EE"/>
          </w:rPr>
          <w:t>Fourth Amendment to Credit Agreement, dated as of August 3, 2021, among Runway Growth Credit Fund Inc., as borrower; the</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financial institutions party thereto as lenders; KeyBank National Association, as administrative agent and lender; CIBC Bank USA,</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as documentation agent and lender; MUFG Union Bank, N.A. as co-documentation agent and lender; and U.S. Bank National</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 xml:space="preserve">Association, as paying agent </w:t>
        </w:r>
        <w:r>
          <w:rPr>
            <w:rFonts w:ascii="Arial" w:cs="Arial" w:eastAsia="Arial" w:hAnsi="Arial"/>
            <w:sz w:val="26"/>
            <w:szCs w:val="26"/>
            <w:u w:val="single" w:color="auto"/>
            <w:color w:val="0000EE"/>
            <w:vertAlign w:val="superscript"/>
          </w:rPr>
          <w:t>(4)</w:t>
        </w:r>
      </w:hyperlink>
    </w:p>
    <w:p>
      <w:pPr>
        <w:spacing w:after="0" w:line="53"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10.3 </w:t>
      </w:r>
      <w:hyperlink r:id="rId109">
        <w:r>
          <w:rPr>
            <w:rFonts w:ascii="Arial" w:cs="Arial" w:eastAsia="Arial" w:hAnsi="Arial"/>
            <w:sz w:val="18"/>
            <w:szCs w:val="18"/>
            <w:u w:val="single" w:color="auto"/>
            <w:color w:val="0000EE"/>
          </w:rPr>
          <w:t>Amended and Restated Dividend Reinvestment Plan</w:t>
        </w:r>
        <w:r>
          <w:rPr>
            <w:rFonts w:ascii="Arial" w:cs="Arial" w:eastAsia="Arial" w:hAnsi="Arial"/>
            <w:sz w:val="18"/>
            <w:szCs w:val="18"/>
            <w:u w:val="single" w:color="auto"/>
            <w:color w:val="auto"/>
          </w:rPr>
          <w:t xml:space="preserve"> </w:t>
        </w:r>
      </w:hyperlink>
      <w:r>
        <w:rPr>
          <w:rFonts w:ascii="Arial" w:cs="Arial" w:eastAsia="Arial" w:hAnsi="Arial"/>
          <w:sz w:val="26"/>
          <w:szCs w:val="26"/>
          <w:u w:val="single" w:color="auto"/>
          <w:color w:val="0000EE"/>
          <w:vertAlign w:val="superscript"/>
        </w:rPr>
        <w:t>(5)</w:t>
      </w:r>
    </w:p>
    <w:p>
      <w:pPr>
        <w:spacing w:after="0" w:line="133"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6">
        <w:r>
          <w:rPr>
            <w:rFonts w:ascii="Arial" w:cs="Arial" w:eastAsia="Arial" w:hAnsi="Arial"/>
            <w:sz w:val="18"/>
            <w:szCs w:val="18"/>
            <w:u w:val="single" w:color="auto"/>
            <w:color w:val="0000EE"/>
          </w:rPr>
          <w:t>Certification of Chief Executive Officer pursuant to Rule 13a-14 of the Securities Exchange Act of 1934, as amended*</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7">
        <w:r>
          <w:rPr>
            <w:rFonts w:ascii="Arial" w:cs="Arial" w:eastAsia="Arial" w:hAnsi="Arial"/>
            <w:sz w:val="18"/>
            <w:szCs w:val="18"/>
            <w:u w:val="single" w:color="auto"/>
            <w:color w:val="0000EE"/>
          </w:rPr>
          <w:t>Certification of Chief Financial Officer pursuant to Rule 13a-14 of the Securities Exchange Act of 1934, as amended*</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78">
        <w:r>
          <w:rPr>
            <w:rFonts w:ascii="Arial" w:cs="Arial" w:eastAsia="Arial" w:hAnsi="Arial"/>
            <w:sz w:val="18"/>
            <w:szCs w:val="18"/>
            <w:u w:val="single" w:color="auto"/>
            <w:color w:val="0000EE"/>
          </w:rPr>
          <w:t>Certification of Chief Executive Officer pursuant to Section 906 of the Sarbanes-Oxley Act of 2002*</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79">
        <w:r>
          <w:rPr>
            <w:rFonts w:ascii="Arial" w:cs="Arial" w:eastAsia="Arial" w:hAnsi="Arial"/>
            <w:sz w:val="18"/>
            <w:szCs w:val="18"/>
            <w:u w:val="single" w:color="auto"/>
            <w:color w:val="0000EE"/>
          </w:rPr>
          <w:t>Certification of Chief Financial Officer pursuant to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84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5" w:lineRule="exact"/>
        <w:rPr>
          <w:rFonts w:ascii="Arial" w:cs="Arial" w:eastAsia="Arial" w:hAnsi="Arial"/>
          <w:sz w:val="18"/>
          <w:szCs w:val="18"/>
          <w:u w:val="single" w:color="auto"/>
          <w:color w:val="0000EE"/>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EE"/>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August 19,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September 23,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5,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October 27, 2021.</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5"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4, 2021</w:t>
            </w:r>
          </w:p>
        </w:tc>
        <w:tc>
          <w:tcPr>
            <w:tcW w:w="6580" w:type="dxa"/>
            <w:vAlign w:val="bottom"/>
            <w:gridSpan w:val="2"/>
          </w:tcPr>
          <w:p>
            <w:pPr>
              <w:ind w:left="1740"/>
              <w:spacing w:after="0"/>
              <w:rPr>
                <w:sz w:val="20"/>
                <w:szCs w:val="20"/>
                <w:color w:val="auto"/>
              </w:rPr>
            </w:pPr>
            <w:r>
              <w:rPr>
                <w:rFonts w:ascii="Arial" w:cs="Arial" w:eastAsia="Arial" w:hAnsi="Arial"/>
                <w:sz w:val="18"/>
                <w:szCs w:val="18"/>
                <w:b w:val="1"/>
                <w:bCs w:val="1"/>
                <w:color w:val="auto"/>
              </w:rPr>
              <w:t>RUNWAY GROWTH FINANCE CORP.</w:t>
            </w:r>
          </w:p>
        </w:tc>
        <w:tc>
          <w:tcPr>
            <w:tcW w:w="0" w:type="dxa"/>
            <w:vAlign w:val="bottom"/>
          </w:tcPr>
          <w:p>
            <w:pPr>
              <w:spacing w:after="0"/>
              <w:rPr>
                <w:sz w:val="1"/>
                <w:szCs w:val="1"/>
                <w:color w:val="auto"/>
              </w:rPr>
            </w:pPr>
          </w:p>
        </w:tc>
      </w:tr>
      <w:tr>
        <w:trPr>
          <w:trHeight w:val="216"/>
        </w:trPr>
        <w:tc>
          <w:tcPr>
            <w:tcW w:w="3340" w:type="dxa"/>
            <w:vAlign w:val="bottom"/>
            <w:vMerge w:val="continue"/>
          </w:tcPr>
          <w:p>
            <w:pPr>
              <w:spacing w:after="0"/>
              <w:rPr>
                <w:sz w:val="18"/>
                <w:szCs w:val="18"/>
                <w:color w:val="auto"/>
              </w:rPr>
            </w:pPr>
          </w:p>
        </w:tc>
        <w:tc>
          <w:tcPr>
            <w:tcW w:w="6580" w:type="dxa"/>
            <w:vAlign w:val="bottom"/>
            <w:gridSpan w:val="2"/>
            <w:vMerge w:val="restart"/>
          </w:tcPr>
          <w:p>
            <w:pPr>
              <w:ind w:left="1740"/>
              <w:spacing w:after="0"/>
              <w:rPr>
                <w:sz w:val="20"/>
                <w:szCs w:val="20"/>
                <w:color w:val="auto"/>
              </w:rPr>
            </w:pPr>
            <w:r>
              <w:rPr>
                <w:rFonts w:ascii="Arial" w:cs="Arial" w:eastAsia="Arial" w:hAnsi="Arial"/>
                <w:sz w:val="18"/>
                <w:szCs w:val="18"/>
                <w:color w:val="auto"/>
              </w:rPr>
              <w:t>By: /s/ R. David Spreng</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6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President, Chief Executive Officer and Chairman of the Board</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 Directors</w:t>
            </w: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November 4, 2021</w:t>
            </w:r>
          </w:p>
        </w:tc>
        <w:tc>
          <w:tcPr>
            <w:tcW w:w="6580" w:type="dxa"/>
            <w:vAlign w:val="bottom"/>
            <w:gridSpan w:val="2"/>
          </w:tcPr>
          <w:p>
            <w:pPr>
              <w:ind w:left="1740"/>
              <w:spacing w:after="0"/>
              <w:rPr>
                <w:sz w:val="20"/>
                <w:szCs w:val="20"/>
                <w:color w:val="auto"/>
              </w:rPr>
            </w:pPr>
            <w:r>
              <w:rPr>
                <w:rFonts w:ascii="Arial" w:cs="Arial" w:eastAsia="Arial" w:hAnsi="Arial"/>
                <w:sz w:val="18"/>
                <w:szCs w:val="18"/>
                <w:color w:val="auto"/>
              </w:rPr>
              <w:t>By: /s/ Thomas B. Raterman</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4"/>
        </w:trPr>
        <w:tc>
          <w:tcPr>
            <w:tcW w:w="3340" w:type="dxa"/>
            <w:vAlign w:val="bottom"/>
          </w:tcPr>
          <w:p>
            <w:pPr>
              <w:spacing w:after="0"/>
              <w:rPr>
                <w:sz w:val="24"/>
                <w:szCs w:val="24"/>
                <w:color w:val="auto"/>
              </w:rPr>
            </w:pPr>
          </w:p>
        </w:tc>
        <w:tc>
          <w:tcPr>
            <w:tcW w:w="202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Chief Executive Officer of Runway Growth Finance Corp.</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pursuant to Rule 13a-14(a) and 15d-14(a) under the Exchange Act,</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700" w:hanging="368"/>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Finance Corp.;</w:t>
      </w:r>
    </w:p>
    <w:p>
      <w:pPr>
        <w:spacing w:after="0" w:line="225" w:lineRule="exact"/>
        <w:rPr>
          <w:rFonts w:ascii="Arial" w:cs="Arial" w:eastAsia="Arial" w:hAnsi="Arial"/>
          <w:sz w:val="18"/>
          <w:szCs w:val="18"/>
          <w:color w:val="auto"/>
        </w:rPr>
      </w:pPr>
    </w:p>
    <w:p>
      <w:pPr>
        <w:ind w:left="340" w:right="160" w:hanging="8"/>
        <w:spacing w:after="0" w:line="26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8"/>
        <w:spacing w:after="0" w:line="263"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991" w:val="left"/>
        </w:tabs>
        <w:numPr>
          <w:ilvl w:val="2"/>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279"/>
        <w:spacing w:after="0" w:line="311" w:lineRule="auto"/>
        <w:tabs>
          <w:tab w:leader="none" w:pos="1001" w:val="left"/>
        </w:tabs>
        <w:numPr>
          <w:ilvl w:val="2"/>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279"/>
        <w:spacing w:after="0" w:line="263" w:lineRule="auto"/>
        <w:tabs>
          <w:tab w:leader="none" w:pos="991" w:val="left"/>
        </w:tabs>
        <w:numPr>
          <w:ilvl w:val="2"/>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1001" w:val="left"/>
        </w:tabs>
        <w:numPr>
          <w:ilvl w:val="2"/>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80" w:firstLine="37"/>
        <w:spacing w:after="0" w:line="263" w:lineRule="auto"/>
        <w:tabs>
          <w:tab w:leader="none" w:pos="6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2028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Certification of Chief Financial Officer of Runway Growth Finance Corp.</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pursuant to Rule 13a-14(a) and 15d-14(a) under the Exchange Act,</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700" w:hanging="323"/>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Finance Corp.;</w:t>
      </w:r>
    </w:p>
    <w:p>
      <w:pPr>
        <w:spacing w:after="0" w:line="225" w:lineRule="exact"/>
        <w:rPr>
          <w:rFonts w:ascii="Arial" w:cs="Arial" w:eastAsia="Arial" w:hAnsi="Arial"/>
          <w:sz w:val="18"/>
          <w:szCs w:val="18"/>
          <w:color w:val="auto"/>
        </w:rPr>
      </w:pPr>
    </w:p>
    <w:p>
      <w:pPr>
        <w:ind w:left="340" w:right="160" w:firstLine="37"/>
        <w:spacing w:after="0" w:line="26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firstLine="37"/>
        <w:spacing w:after="0" w:line="26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firstLine="37"/>
        <w:spacing w:after="0" w:line="263" w:lineRule="auto"/>
        <w:tabs>
          <w:tab w:leader="none" w:pos="6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9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980" w:right="420" w:hanging="279"/>
        <w:spacing w:after="0" w:line="311" w:lineRule="auto"/>
        <w:tabs>
          <w:tab w:leader="none" w:pos="10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980" w:right="280" w:hanging="279"/>
        <w:spacing w:after="0" w:line="263" w:lineRule="auto"/>
        <w:tabs>
          <w:tab w:leader="none" w:pos="9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10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firstLine="37"/>
        <w:spacing w:after="0" w:line="263" w:lineRule="auto"/>
        <w:tabs>
          <w:tab w:leader="none" w:pos="6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0999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quarter ended September 30, 2021 (the “Report”) of Runway Growth Finance Corp. (the “Registrant”), as filed with the Securities and Exchange Commission on the date hereof, I, R. David Spreng, the Chief Executive Officer of the Registrant, hereby certify, to the best of my knowledge, that:</w:t>
      </w:r>
    </w:p>
    <w:p>
      <w:pPr>
        <w:spacing w:after="0" w:line="197" w:lineRule="exact"/>
        <w:rPr>
          <w:sz w:val="20"/>
          <w:szCs w:val="20"/>
          <w:color w:val="auto"/>
        </w:rPr>
      </w:pPr>
    </w:p>
    <w:p>
      <w:pPr>
        <w:ind w:left="980" w:right="520" w:hanging="279"/>
        <w:spacing w:after="0" w:line="277" w:lineRule="auto"/>
        <w:tabs>
          <w:tab w:leader="none" w:pos="1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980" w:right="560" w:hanging="279"/>
        <w:spacing w:after="0" w:line="277" w:lineRule="auto"/>
        <w:tabs>
          <w:tab w:leader="none" w:pos="10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R. David Spreng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quarter ended September 30, 2021 (the “Report”) of Runway Growth Finance Corp. (the “Registrant”), as filed with the Securities and Exchange Commission on the date hereof, I, Thomas B. Raterman, the Chief Financial Officer of the Registrant, hereby certify, to the best of my knowledge, that:</w:t>
      </w:r>
    </w:p>
    <w:p>
      <w:pPr>
        <w:spacing w:after="0" w:line="184" w:lineRule="exact"/>
        <w:rPr>
          <w:sz w:val="20"/>
          <w:szCs w:val="20"/>
          <w:color w:val="auto"/>
        </w:rPr>
      </w:pPr>
    </w:p>
    <w:p>
      <w:pPr>
        <w:ind w:left="1040" w:right="440" w:hanging="339"/>
        <w:spacing w:after="0" w:line="277" w:lineRule="auto"/>
        <w:tabs>
          <w:tab w:leader="none" w:pos="10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40" w:right="520" w:hanging="339"/>
        <w:spacing w:after="0" w:line="277" w:lineRule="auto"/>
        <w:tabs>
          <w:tab w:leader="none" w:pos="10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B. Raterman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lowerRoman"/>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Roman"/>
      <w:start w:val="3"/>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bullet"/>
      <w:start w:val="1"/>
    </w:lvl>
  </w:abstractNum>
  <w:abstractNum w:abstractNumId="26">
    <w:nsid w:val="5E884ADC"/>
    <w:multiLevelType w:val="hybridMultilevel"/>
    <w:lvl w:ilvl="0">
      <w:lvlJc w:val="left"/>
      <w:lvlText w:val="2"/>
      <w:numFmt w:val="bullet"/>
      <w:start w:val="1"/>
    </w:lvl>
  </w:abstractNum>
  <w:abstractNum w:abstractNumId="27">
    <w:nsid w:val="51EAD36B"/>
    <w:multiLevelType w:val="hybridMultilevel"/>
    <w:lvl w:ilvl="0">
      <w:lvlJc w:val="left"/>
      <w:lvlText w:val="3"/>
      <w:numFmt w:val="bullet"/>
      <w:start w:val="1"/>
    </w:lvl>
  </w:abstractNum>
  <w:abstractNum w:abstractNumId="28">
    <w:nsid w:val="2D517796"/>
    <w:multiLevelType w:val="hybridMultilevel"/>
    <w:lvl w:ilvl="0">
      <w:lvlJc w:val="left"/>
      <w:lvlText w:val="4"/>
      <w:numFmt w:val="bullet"/>
      <w:start w:val="1"/>
    </w:lvl>
  </w:abstractNum>
  <w:abstractNum w:abstractNumId="29">
    <w:nsid w:val="580BD78F"/>
    <w:multiLevelType w:val="hybridMultilevel"/>
    <w:lvl w:ilvl="0">
      <w:lvlJc w:val="left"/>
      <w:lvlText w:val="5"/>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2"/>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lowerRoman"/>
      <w:start w:val="2"/>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05" Type="http://schemas.openxmlformats.org/officeDocument/2006/relationships/hyperlink" Target="https://www.sec.gov/Archives/edgar/data/1653384/000114420416140270/v454968_ex3-1.htm" TargetMode="External"/><Relationship Id="rId106" Type="http://schemas.openxmlformats.org/officeDocument/2006/relationships/hyperlink" Target="https://www.sec.gov/Archives/edgar/data/0001653384/000165338421000016/rgc-20210819x8k.htm" TargetMode="External"/><Relationship Id="rId107" Type="http://schemas.openxmlformats.org/officeDocument/2006/relationships/hyperlink" Target="https://www.sec.gov/Archives/edgar/data/0001653384/000165338421000019/rgc-20210923x8k.htm" TargetMode="External"/><Relationship Id="rId108" Type="http://schemas.openxmlformats.org/officeDocument/2006/relationships/hyperlink" Target="https://www.sec.gov/Archives/edgar/data/0001653384/000155837021010525/rgc-20210630x10q.htm" TargetMode="External"/><Relationship Id="rId109" Type="http://schemas.openxmlformats.org/officeDocument/2006/relationships/hyperlink" Target="https://www.sec.gov/Archives/edgar/data/0001653384/000165338421000025/rgc-20211027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2021-11-04T15:27:35Z</dcterms:created>
  <dcterms:modified xsi:type="dcterms:W3CDTF">2021-11-04T15:27:35Z</dcterms:modified>
</cp:coreProperties>
</file>