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548005</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608965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 w:lineRule="exact"/>
        <w:rPr>
          <w:sz w:val="24"/>
          <w:szCs w:val="24"/>
          <w:color w:val="auto"/>
        </w:rPr>
      </w:pPr>
    </w:p>
    <w:p>
      <w:pPr>
        <w:ind w:left="3720" w:right="520" w:hanging="2730"/>
        <w:spacing w:after="0" w:line="345" w:lineRule="auto"/>
        <w:tabs>
          <w:tab w:leader="none" w:pos="21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75" w:lineRule="exact"/>
        <w:rPr>
          <w:sz w:val="24"/>
          <w:szCs w:val="24"/>
          <w:color w:val="auto"/>
        </w:rPr>
      </w:pPr>
    </w:p>
    <w:p>
      <w:pPr>
        <w:ind w:left="4060" w:right="520" w:hanging="3070"/>
        <w:spacing w:after="0" w:line="334" w:lineRule="auto"/>
        <w:tabs>
          <w:tab w:leader="none" w:pos="2127"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814-01180</w:t>
      </w:r>
    </w:p>
    <w:p>
      <w:pPr>
        <w:jc w:val="center"/>
        <w:spacing w:after="0"/>
        <w:rPr>
          <w:sz w:val="20"/>
          <w:szCs w:val="20"/>
          <w:color w:val="auto"/>
        </w:rPr>
      </w:pPr>
      <w:r>
        <w:rPr>
          <w:rFonts w:ascii="Times New Roman" w:cs="Times New Roman" w:eastAsia="Times New Roman" w:hAnsi="Times New Roman"/>
          <w:sz w:val="29"/>
          <w:szCs w:val="29"/>
          <w:b w:val="1"/>
          <w:bCs w:val="1"/>
          <w:color w:val="auto"/>
        </w:rPr>
        <w:t>Runway Growth Finance Corp.</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54"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3940" w:type="dxa"/>
            <w:vAlign w:val="bottom"/>
          </w:tcPr>
          <w:p>
            <w:pPr>
              <w:jc w:val="center"/>
              <w:ind w:right="1402"/>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370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47-5049745</w:t>
            </w:r>
          </w:p>
        </w:tc>
      </w:tr>
      <w:tr>
        <w:trPr>
          <w:trHeight w:val="203"/>
        </w:trPr>
        <w:tc>
          <w:tcPr>
            <w:tcW w:w="3940" w:type="dxa"/>
            <w:vAlign w:val="bottom"/>
          </w:tcPr>
          <w:p>
            <w:pPr>
              <w:jc w:val="center"/>
              <w:ind w:right="1402"/>
              <w:spacing w:after="0"/>
              <w:rPr>
                <w:sz w:val="20"/>
                <w:szCs w:val="20"/>
                <w:color w:val="auto"/>
              </w:rPr>
            </w:pPr>
            <w:r>
              <w:rPr>
                <w:rFonts w:ascii="Times New Roman" w:cs="Times New Roman" w:eastAsia="Times New Roman" w:hAnsi="Times New Roman"/>
                <w:sz w:val="16"/>
                <w:szCs w:val="16"/>
                <w:color w:val="auto"/>
                <w:w w:val="97"/>
              </w:rPr>
              <w:t>(State of incorporation)</w:t>
            </w:r>
          </w:p>
        </w:tc>
        <w:tc>
          <w:tcPr>
            <w:tcW w:w="3700" w:type="dxa"/>
            <w:vAlign w:val="bottom"/>
          </w:tcPr>
          <w:p>
            <w:pPr>
              <w:jc w:val="center"/>
              <w:ind w:left="136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35"/>
        </w:trPr>
        <w:tc>
          <w:tcPr>
            <w:tcW w:w="3940" w:type="dxa"/>
            <w:vAlign w:val="bottom"/>
          </w:tcPr>
          <w:p>
            <w:pPr>
              <w:jc w:val="center"/>
              <w:ind w:right="1382"/>
              <w:spacing w:after="0"/>
              <w:rPr>
                <w:sz w:val="20"/>
                <w:szCs w:val="20"/>
                <w:color w:val="auto"/>
              </w:rPr>
            </w:pPr>
            <w:r>
              <w:rPr>
                <w:rFonts w:ascii="Times New Roman" w:cs="Times New Roman" w:eastAsia="Times New Roman" w:hAnsi="Times New Roman"/>
                <w:sz w:val="16"/>
                <w:szCs w:val="16"/>
                <w:b w:val="1"/>
                <w:bCs w:val="1"/>
                <w:color w:val="auto"/>
                <w:w w:val="97"/>
              </w:rPr>
              <w:t>205 N. Michigan Ave., Suite 4200</w:t>
            </w:r>
          </w:p>
        </w:tc>
        <w:tc>
          <w:tcPr>
            <w:tcW w:w="3700" w:type="dxa"/>
            <w:vAlign w:val="bottom"/>
          </w:tcPr>
          <w:p>
            <w:pPr>
              <w:spacing w:after="0"/>
              <w:rPr>
                <w:sz w:val="24"/>
                <w:szCs w:val="24"/>
                <w:color w:val="auto"/>
              </w:rPr>
            </w:pPr>
          </w:p>
        </w:tc>
      </w:tr>
      <w:tr>
        <w:trPr>
          <w:trHeight w:val="182"/>
        </w:trPr>
        <w:tc>
          <w:tcPr>
            <w:tcW w:w="3940" w:type="dxa"/>
            <w:vAlign w:val="bottom"/>
          </w:tcPr>
          <w:p>
            <w:pPr>
              <w:jc w:val="center"/>
              <w:ind w:right="1402"/>
              <w:spacing w:after="0" w:line="182" w:lineRule="exact"/>
              <w:rPr>
                <w:sz w:val="20"/>
                <w:szCs w:val="20"/>
                <w:color w:val="auto"/>
              </w:rPr>
            </w:pPr>
            <w:r>
              <w:rPr>
                <w:rFonts w:ascii="Times New Roman" w:cs="Times New Roman" w:eastAsia="Times New Roman" w:hAnsi="Times New Roman"/>
                <w:sz w:val="16"/>
                <w:szCs w:val="16"/>
                <w:b w:val="1"/>
                <w:bCs w:val="1"/>
                <w:color w:val="auto"/>
                <w:w w:val="96"/>
              </w:rPr>
              <w:t>Chicago, IL</w:t>
            </w:r>
          </w:p>
        </w:tc>
        <w:tc>
          <w:tcPr>
            <w:tcW w:w="3700" w:type="dxa"/>
            <w:vAlign w:val="bottom"/>
          </w:tcPr>
          <w:p>
            <w:pPr>
              <w:jc w:val="right"/>
              <w:ind w:right="862"/>
              <w:spacing w:after="0" w:line="182" w:lineRule="exact"/>
              <w:rPr>
                <w:sz w:val="20"/>
                <w:szCs w:val="20"/>
                <w:color w:val="auto"/>
              </w:rPr>
            </w:pPr>
            <w:r>
              <w:rPr>
                <w:rFonts w:ascii="Times New Roman" w:cs="Times New Roman" w:eastAsia="Times New Roman" w:hAnsi="Times New Roman"/>
                <w:sz w:val="16"/>
                <w:szCs w:val="16"/>
                <w:b w:val="1"/>
                <w:bCs w:val="1"/>
                <w:color w:val="auto"/>
              </w:rPr>
              <w:t>60601</w:t>
            </w:r>
          </w:p>
        </w:tc>
      </w:tr>
      <w:tr>
        <w:trPr>
          <w:trHeight w:val="203"/>
        </w:trPr>
        <w:tc>
          <w:tcPr>
            <w:tcW w:w="3940" w:type="dxa"/>
            <w:vAlign w:val="bottom"/>
          </w:tcPr>
          <w:p>
            <w:pPr>
              <w:jc w:val="center"/>
              <w:ind w:right="138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700" w:type="dxa"/>
            <w:vAlign w:val="bottom"/>
          </w:tcPr>
          <w:p>
            <w:pPr>
              <w:jc w:val="center"/>
              <w:ind w:left="138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(312) 698-6902</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3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65"/>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480" w:type="dxa"/>
            <w:vAlign w:val="bottom"/>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180"/>
        </w:trPr>
        <w:tc>
          <w:tcPr>
            <w:tcW w:w="41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Common Stock, par value $0.01 per share</w:t>
            </w:r>
          </w:p>
        </w:tc>
        <w:tc>
          <w:tcPr>
            <w:tcW w:w="23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8"/>
              </w:rPr>
              <w:t>RWAY</w:t>
            </w:r>
          </w:p>
        </w:tc>
        <w:tc>
          <w:tcPr>
            <w:tcW w:w="3480" w:type="dxa"/>
            <w:vAlign w:val="bottom"/>
          </w:tcPr>
          <w:p>
            <w:pPr>
              <w:jc w:val="center"/>
              <w:ind w:left="482"/>
              <w:spacing w:after="0" w:line="180" w:lineRule="exact"/>
              <w:rPr>
                <w:sz w:val="20"/>
                <w:szCs w:val="20"/>
                <w:color w:val="auto"/>
              </w:rPr>
            </w:pPr>
            <w:r>
              <w:rPr>
                <w:rFonts w:ascii="Times New Roman" w:cs="Times New Roman" w:eastAsia="Times New Roman" w:hAnsi="Times New Roman"/>
                <w:sz w:val="16"/>
                <w:szCs w:val="16"/>
                <w:color w:val="auto"/>
                <w:w w:val="96"/>
              </w:rPr>
              <w:t>Nasdaq Global Select Market LLC</w:t>
            </w:r>
          </w:p>
        </w:tc>
      </w:tr>
      <w:tr>
        <w:trPr>
          <w:trHeight w:val="180"/>
        </w:trPr>
        <w:tc>
          <w:tcPr>
            <w:tcW w:w="41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7.50% Notes due 2027</w:t>
            </w:r>
          </w:p>
        </w:tc>
        <w:tc>
          <w:tcPr>
            <w:tcW w:w="23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5"/>
              </w:rPr>
              <w:t>RWAYL</w:t>
            </w:r>
          </w:p>
        </w:tc>
        <w:tc>
          <w:tcPr>
            <w:tcW w:w="3480" w:type="dxa"/>
            <w:vAlign w:val="bottom"/>
          </w:tcPr>
          <w:p>
            <w:pPr>
              <w:jc w:val="center"/>
              <w:ind w:left="482"/>
              <w:spacing w:after="0" w:line="180" w:lineRule="exact"/>
              <w:rPr>
                <w:sz w:val="20"/>
                <w:szCs w:val="20"/>
                <w:color w:val="auto"/>
              </w:rPr>
            </w:pPr>
            <w:r>
              <w:rPr>
                <w:rFonts w:ascii="Times New Roman" w:cs="Times New Roman" w:eastAsia="Times New Roman" w:hAnsi="Times New Roman"/>
                <w:sz w:val="16"/>
                <w:szCs w:val="16"/>
                <w:color w:val="auto"/>
                <w:w w:val="96"/>
              </w:rPr>
              <w:t>Nasdaq Global Select Market LLC</w:t>
            </w:r>
          </w:p>
        </w:tc>
      </w:tr>
      <w:tr>
        <w:trPr>
          <w:trHeight w:val="203"/>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8.00% Notes due 2027</w:t>
            </w:r>
          </w:p>
        </w:tc>
        <w:tc>
          <w:tcPr>
            <w:tcW w:w="232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5"/>
              </w:rPr>
              <w:t>RWAYZ</w:t>
            </w:r>
          </w:p>
        </w:tc>
        <w:tc>
          <w:tcPr>
            <w:tcW w:w="348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6"/>
              </w:rPr>
              <w:t>Nasdaq Global Select Market LLC</w:t>
            </w:r>
          </w:p>
        </w:tc>
      </w:tr>
    </w:tbl>
    <w:p>
      <w:pPr>
        <w:spacing w:after="0" w:line="133" w:lineRule="exact"/>
        <w:rPr>
          <w:sz w:val="24"/>
          <w:szCs w:val="24"/>
          <w:color w:val="auto"/>
        </w:rPr>
      </w:pPr>
    </w:p>
    <w:p>
      <w:pPr>
        <w:jc w:val="both"/>
        <w:ind w:right="60" w:firstLine="348"/>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7" w:lineRule="exact"/>
        <w:rPr>
          <w:sz w:val="24"/>
          <w:szCs w:val="24"/>
          <w:color w:val="auto"/>
        </w:rPr>
      </w:pPr>
    </w:p>
    <w:p>
      <w:pPr>
        <w:jc w:val="both"/>
        <w:ind w:right="80" w:firstLine="348"/>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8" w:lineRule="exact"/>
        <w:rPr>
          <w:sz w:val="24"/>
          <w:szCs w:val="24"/>
          <w:color w:val="auto"/>
        </w:rPr>
      </w:pPr>
    </w:p>
    <w:p>
      <w:pPr>
        <w:ind w:firstLine="348"/>
        <w:spacing w:after="0" w:line="188"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ectPr>
          <w:pgSz w:w="11900" w:h="16840" w:orient="portrait"/>
          <w:cols w:equalWidth="0" w:num="1">
            <w:col w:w="10580"/>
          </w:cols>
          <w:pgMar w:left="660" w:top="555" w:right="660" w:bottom="1440" w:gutter="0" w:footer="0" w:header="0"/>
        </w:sectPr>
      </w:pPr>
    </w:p>
    <w:p>
      <w:pPr>
        <w:spacing w:after="0" w:line="1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337" w:lineRule="exact"/>
        <w:rPr>
          <w:sz w:val="24"/>
          <w:szCs w:val="24"/>
          <w:color w:val="auto"/>
        </w:rPr>
      </w:pPr>
    </w:p>
    <w:p>
      <w:pPr>
        <w:sectPr>
          <w:pgSz w:w="11900" w:h="16840" w:orient="portrait"/>
          <w:cols w:equalWidth="0" w:num="2">
            <w:col w:w="4560" w:space="720"/>
            <w:col w:w="5300"/>
          </w:cols>
          <w:pgMar w:left="660" w:top="555" w:right="660" w:bottom="1440" w:gutter="0" w:footer="0" w:header="0"/>
          <w:type w:val="continuous"/>
        </w:sectPr>
      </w:pPr>
    </w:p>
    <w:p>
      <w:pPr>
        <w:ind w:right="440" w:firstLine="348"/>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60" w:right="2280"/>
        <w:spacing w:after="0" w:line="251"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issuer had 37,347,428 shares of common stock, $0.01 par value per share, outstanding as of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911225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93345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230505</wp:posOffset>
            </wp:positionV>
            <wp:extent cx="6707505"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3048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type w:val="continuous"/>
        </w:sectPr>
      </w:pPr>
    </w:p>
    <w:bookmarkStart w:id="1" w:name="page2"/>
    <w:bookmarkEnd w:id="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9" w:lineRule="exact"/>
        <w:rPr>
          <w:sz w:val="20"/>
          <w:szCs w:val="20"/>
          <w:color w:val="auto"/>
        </w:rPr>
      </w:pPr>
    </w:p>
    <w:p>
      <w:pPr>
        <w:jc w:val="center"/>
        <w:ind w:right="-19"/>
        <w:spacing w:after="0" w:line="184" w:lineRule="exact"/>
        <w:rPr>
          <w:sz w:val="20"/>
          <w:szCs w:val="20"/>
          <w:color w:val="auto"/>
        </w:rPr>
      </w:pPr>
      <w:r>
        <w:rPr>
          <w:rFonts w:ascii="Times New Roman" w:cs="Times New Roman" w:eastAsia="Times New Roman" w:hAnsi="Times New Roman"/>
          <w:sz w:val="16"/>
          <w:szCs w:val="16"/>
          <w:b w:val="1"/>
          <w:bCs w:val="1"/>
          <w:color w:val="auto"/>
        </w:rPr>
        <w:t>FORM 10</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Q FOR THE QUARTER ENDED March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gridSpan w:val="7"/>
          </w:tcPr>
          <w:p>
            <w:pPr>
              <w:ind w:left="20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NO.</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0" w:type="dxa"/>
            <w:vAlign w:val="bottom"/>
            <w:tcBorders>
              <w:bottom w:val="single" w:sz="8" w:color="0000EE"/>
            </w:tcBorders>
            <w:gridSpan w:val="3"/>
            <w:shd w:val="clear" w:color="auto" w:fill="CCEEFF"/>
          </w:tcPr>
          <w:p>
            <w:pPr>
              <w:spacing w:after="0" w:line="156" w:lineRule="exact"/>
              <w:rPr>
                <w:rFonts w:ascii="Times New Roman" w:cs="Times New Roman" w:eastAsia="Times New Roman" w:hAnsi="Times New Roman"/>
                <w:sz w:val="16"/>
                <w:szCs w:val="16"/>
                <w:b w:val="1"/>
                <w:bCs w:val="1"/>
                <w:color w:val="auto"/>
                <w:w w:val="93"/>
              </w:rPr>
            </w:pPr>
            <w:hyperlink w:anchor="page3">
              <w:r>
                <w:rPr>
                  <w:rFonts w:ascii="Times New Roman" w:cs="Times New Roman" w:eastAsia="Times New Roman" w:hAnsi="Times New Roman"/>
                  <w:sz w:val="16"/>
                  <w:szCs w:val="16"/>
                  <w:b w:val="1"/>
                  <w:bCs w:val="1"/>
                  <w:color w:val="auto"/>
                  <w:w w:val="93"/>
                </w:rPr>
                <w:t>PART I.</w:t>
              </w:r>
            </w:hyperlink>
          </w:p>
        </w:tc>
        <w:tc>
          <w:tcPr>
            <w:tcW w:w="520" w:type="dxa"/>
            <w:vAlign w:val="bottom"/>
            <w:tcBorders>
              <w:bottom w:val="single" w:sz="8" w:color="CCEEFF"/>
            </w:tcBorders>
            <w:gridSpan w:val="4"/>
            <w:shd w:val="clear" w:color="auto" w:fill="CCEEFF"/>
          </w:tcPr>
          <w:p>
            <w:pPr>
              <w:spacing w:after="0"/>
              <w:rPr>
                <w:sz w:val="13"/>
                <w:szCs w:val="13"/>
                <w:color w:val="auto"/>
              </w:rPr>
            </w:pPr>
          </w:p>
        </w:tc>
        <w:tc>
          <w:tcPr>
            <w:tcW w:w="2080" w:type="dxa"/>
            <w:vAlign w:val="bottom"/>
            <w:tcBorders>
              <w:bottom w:val="single" w:sz="8" w:color="0000EE"/>
            </w:tcBorders>
            <w:gridSpan w:val="8"/>
            <w:shd w:val="clear" w:color="auto" w:fill="CCEEFF"/>
          </w:tcPr>
          <w:p>
            <w:pPr>
              <w:spacing w:after="0" w:line="156" w:lineRule="exact"/>
              <w:rPr>
                <w:rFonts w:ascii="Times New Roman" w:cs="Times New Roman" w:eastAsia="Times New Roman" w:hAnsi="Times New Roman"/>
                <w:sz w:val="16"/>
                <w:szCs w:val="16"/>
                <w:b w:val="1"/>
                <w:bCs w:val="1"/>
                <w:color w:val="auto"/>
                <w:w w:val="96"/>
              </w:rPr>
            </w:pPr>
            <w:hyperlink w:anchor="page3">
              <w:r>
                <w:rPr>
                  <w:rFonts w:ascii="Times New Roman" w:cs="Times New Roman" w:eastAsia="Times New Roman" w:hAnsi="Times New Roman"/>
                  <w:sz w:val="16"/>
                  <w:szCs w:val="16"/>
                  <w:b w:val="1"/>
                  <w:bCs w:val="1"/>
                  <w:color w:val="auto"/>
                  <w:w w:val="96"/>
                </w:rPr>
                <w:t>FINANCIAL INFORMATION</w:t>
              </w:r>
            </w:hyperlink>
          </w:p>
        </w:tc>
        <w:tc>
          <w:tcPr>
            <w:tcW w:w="6060" w:type="dxa"/>
            <w:vAlign w:val="bottom"/>
            <w:tcBorders>
              <w:bottom w:val="single" w:sz="8" w:color="CCEEFF"/>
            </w:tcBorders>
            <w:gridSpan w:val="12"/>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700" w:type="dxa"/>
            <w:vAlign w:val="bottom"/>
            <w:gridSpan w:val="25"/>
            <w:shd w:val="clear" w:color="auto" w:fill="CCEEFF"/>
          </w:tcPr>
          <w:p>
            <w:pPr>
              <w:spacing w:after="0" w:line="156" w:lineRule="exact"/>
              <w:rPr>
                <w:rFonts w:ascii="Times New Roman" w:cs="Times New Roman" w:eastAsia="Times New Roman" w:hAnsi="Times New Roman"/>
                <w:sz w:val="16"/>
                <w:szCs w:val="16"/>
                <w:color w:val="auto"/>
              </w:rPr>
            </w:pPr>
            <w:hyperlink w:anchor="page3">
              <w:r>
                <w:rPr>
                  <w:rFonts w:ascii="Times New Roman" w:cs="Times New Roman" w:eastAsia="Times New Roman" w:hAnsi="Times New Roman"/>
                  <w:sz w:val="16"/>
                  <w:szCs w:val="16"/>
                  <w:color w:val="auto"/>
                </w:rPr>
                <w:t xml:space="preserve">Item 1.  </w:t>
              </w:r>
              <w:r>
                <w:rPr>
                  <w:rFonts w:ascii="Times New Roman" w:cs="Times New Roman" w:eastAsia="Times New Roman" w:hAnsi="Times New Roman"/>
                  <w:sz w:val="16"/>
                  <w:szCs w:val="16"/>
                  <w:color w:val="0000FF"/>
                </w:rPr>
                <w:t>Consolidated Financial Statements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Consolidated Statements of Assets and Liabilities as of March 31, 2025 (unaudited) and December 31, 2024</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4">
              <w:r>
                <w:rPr>
                  <w:rFonts w:ascii="Times New Roman" w:cs="Times New Roman" w:eastAsia="Times New Roman" w:hAnsi="Times New Roman"/>
                  <w:sz w:val="16"/>
                  <w:szCs w:val="16"/>
                  <w:color w:val="0000FF"/>
                </w:rPr>
                <w:t>Statements of Operations for the three months ended March 31, 2025 and 2024 (unaudited)</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5">
              <w:r>
                <w:rPr>
                  <w:rFonts w:ascii="Times New Roman" w:cs="Times New Roman" w:eastAsia="Times New Roman" w:hAnsi="Times New Roman"/>
                  <w:sz w:val="16"/>
                  <w:szCs w:val="16"/>
                  <w:color w:val="0000FF"/>
                </w:rPr>
                <w:t>Statements of Changes in Net Assets for the three months ended March 31, 2025 and 2024 (unaudited)</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6">
              <w:r>
                <w:rPr>
                  <w:rFonts w:ascii="Times New Roman" w:cs="Times New Roman" w:eastAsia="Times New Roman" w:hAnsi="Times New Roman"/>
                  <w:sz w:val="16"/>
                  <w:szCs w:val="16"/>
                  <w:color w:val="0000FF"/>
                </w:rPr>
                <w:t>Statements of Cash Flows for the three months ended March 31, 2025 and 2024 (unaudited)</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7">
              <w:r>
                <w:rPr>
                  <w:rFonts w:ascii="Times New Roman" w:cs="Times New Roman" w:eastAsia="Times New Roman" w:hAnsi="Times New Roman"/>
                  <w:sz w:val="16"/>
                  <w:szCs w:val="16"/>
                  <w:color w:val="0000FF"/>
                </w:rPr>
                <w:t>Schedule of Investments as of March 31, 2025 (unaudited)</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15">
              <w:r>
                <w:rPr>
                  <w:rFonts w:ascii="Times New Roman" w:cs="Times New Roman" w:eastAsia="Times New Roman" w:hAnsi="Times New Roman"/>
                  <w:sz w:val="16"/>
                  <w:szCs w:val="16"/>
                  <w:color w:val="0000FF"/>
                </w:rPr>
                <w:t>Schedule of Investments as of December 31, 2024</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Notes to Consolidated Financial Statements (unaudited)</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700" w:type="dxa"/>
            <w:vAlign w:val="bottom"/>
            <w:gridSpan w:val="25"/>
            <w:shd w:val="clear" w:color="auto" w:fill="CCEEFF"/>
          </w:tcPr>
          <w:p>
            <w:pPr>
              <w:spacing w:after="0" w:line="156" w:lineRule="exact"/>
              <w:rPr>
                <w:rFonts w:ascii="Times New Roman" w:cs="Times New Roman" w:eastAsia="Times New Roman" w:hAnsi="Times New Roman"/>
                <w:sz w:val="16"/>
                <w:szCs w:val="16"/>
                <w:color w:val="auto"/>
              </w:rPr>
            </w:pPr>
            <w:hyperlink w:anchor="page56">
              <w:r>
                <w:rPr>
                  <w:rFonts w:ascii="Times New Roman" w:cs="Times New Roman" w:eastAsia="Times New Roman" w:hAnsi="Times New Roman"/>
                  <w:sz w:val="16"/>
                  <w:szCs w:val="16"/>
                  <w:color w:val="auto"/>
                </w:rPr>
                <w:t xml:space="preserve">Item 2.  </w:t>
              </w:r>
              <w:r>
                <w:rPr>
                  <w:rFonts w:ascii="Times New Roman" w:cs="Times New Roman" w:eastAsia="Times New Roman" w:hAnsi="Times New Roman"/>
                  <w:sz w:val="16"/>
                  <w:szCs w:val="16"/>
                  <w:color w:val="0000FF"/>
                </w:rPr>
                <w:t>Management’s Discussion and Analysis of Financial Condition and Results of Operations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36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38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520" w:type="dxa"/>
            <w:vAlign w:val="bottom"/>
            <w:tcBorders>
              <w:top w:val="single" w:sz="8" w:color="0000EE"/>
            </w:tcBorders>
            <w:shd w:val="clear" w:color="auto" w:fill="CCEEFF"/>
          </w:tcPr>
          <w:p>
            <w:pPr>
              <w:spacing w:after="0"/>
              <w:rPr>
                <w:sz w:val="14"/>
                <w:szCs w:val="14"/>
                <w:color w:val="auto"/>
              </w:rPr>
            </w:pPr>
          </w:p>
        </w:tc>
        <w:tc>
          <w:tcPr>
            <w:tcW w:w="1080" w:type="dxa"/>
            <w:vAlign w:val="bottom"/>
            <w:tcBorders>
              <w:top w:val="single" w:sz="8" w:color="0000EE"/>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700" w:type="dxa"/>
            <w:vAlign w:val="bottom"/>
            <w:gridSpan w:val="25"/>
            <w:shd w:val="clear" w:color="auto" w:fill="CCEEFF"/>
          </w:tcPr>
          <w:p>
            <w:pPr>
              <w:spacing w:after="0" w:line="156" w:lineRule="exact"/>
              <w:rPr>
                <w:rFonts w:ascii="Times New Roman" w:cs="Times New Roman" w:eastAsia="Times New Roman" w:hAnsi="Times New Roman"/>
                <w:sz w:val="16"/>
                <w:szCs w:val="16"/>
                <w:color w:val="auto"/>
              </w:rPr>
            </w:pPr>
            <w:hyperlink w:anchor="page67">
              <w:r>
                <w:rPr>
                  <w:rFonts w:ascii="Times New Roman" w:cs="Times New Roman" w:eastAsia="Times New Roman" w:hAnsi="Times New Roman"/>
                  <w:sz w:val="16"/>
                  <w:szCs w:val="16"/>
                  <w:color w:val="auto"/>
                </w:rPr>
                <w:t xml:space="preserve">Item 3.  </w:t>
              </w:r>
              <w:r>
                <w:rPr>
                  <w:rFonts w:ascii="Times New Roman" w:cs="Times New Roman" w:eastAsia="Times New Roman" w:hAnsi="Times New Roman"/>
                  <w:sz w:val="16"/>
                  <w:szCs w:val="16"/>
                  <w:color w:val="0000FF"/>
                </w:rPr>
                <w:t>Quantitative and Qualitative Disclosures About Market Risk</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700" w:type="dxa"/>
            <w:vAlign w:val="bottom"/>
            <w:gridSpan w:val="25"/>
            <w:shd w:val="clear" w:color="auto" w:fill="CCEEFF"/>
          </w:tcPr>
          <w:p>
            <w:pPr>
              <w:spacing w:after="0" w:line="156" w:lineRule="exact"/>
              <w:rPr>
                <w:rFonts w:ascii="Times New Roman" w:cs="Times New Roman" w:eastAsia="Times New Roman" w:hAnsi="Times New Roman"/>
                <w:sz w:val="16"/>
                <w:szCs w:val="16"/>
                <w:color w:val="auto"/>
              </w:rPr>
            </w:pPr>
            <w:hyperlink w:anchor="page68">
              <w:r>
                <w:rPr>
                  <w:rFonts w:ascii="Times New Roman" w:cs="Times New Roman" w:eastAsia="Times New Roman" w:hAnsi="Times New Roman"/>
                  <w:sz w:val="16"/>
                  <w:szCs w:val="16"/>
                  <w:color w:val="auto"/>
                </w:rPr>
                <w:t xml:space="preserve">Item 4.  </w:t>
              </w:r>
              <w:r>
                <w:rPr>
                  <w:rFonts w:ascii="Times New Roman" w:cs="Times New Roman" w:eastAsia="Times New Roman" w:hAnsi="Times New Roman"/>
                  <w:sz w:val="16"/>
                  <w:szCs w:val="16"/>
                  <w:color w:val="0000FF"/>
                </w:rPr>
                <w:t>Controls and Procedures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080" w:type="dxa"/>
            <w:vAlign w:val="bottom"/>
            <w:gridSpan w:val="7"/>
            <w:shd w:val="clear" w:color="auto" w:fill="CCEEFF"/>
          </w:tcPr>
          <w:p>
            <w:pPr>
              <w:spacing w:after="0" w:line="156" w:lineRule="exact"/>
              <w:rPr>
                <w:rFonts w:ascii="Times New Roman" w:cs="Times New Roman" w:eastAsia="Times New Roman" w:hAnsi="Times New Roman"/>
                <w:sz w:val="16"/>
                <w:szCs w:val="16"/>
                <w:b w:val="1"/>
                <w:bCs w:val="1"/>
                <w:color w:val="auto"/>
              </w:rPr>
            </w:pPr>
            <w:hyperlink w:anchor="page69">
              <w:r>
                <w:rPr>
                  <w:rFonts w:ascii="Times New Roman" w:cs="Times New Roman" w:eastAsia="Times New Roman" w:hAnsi="Times New Roman"/>
                  <w:sz w:val="16"/>
                  <w:szCs w:val="16"/>
                  <w:b w:val="1"/>
                  <w:bCs w:val="1"/>
                  <w:color w:val="auto"/>
                </w:rPr>
                <w:t>PART II.</w:t>
              </w:r>
            </w:hyperlink>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b w:val="1"/>
                <w:bCs w:val="1"/>
                <w:color w:val="auto"/>
              </w:rPr>
            </w:pPr>
            <w:hyperlink w:anchor="page69">
              <w:r>
                <w:rPr>
                  <w:rFonts w:ascii="Times New Roman" w:cs="Times New Roman" w:eastAsia="Times New Roman" w:hAnsi="Times New Roman"/>
                  <w:sz w:val="16"/>
                  <w:szCs w:val="16"/>
                  <w:b w:val="1"/>
                  <w:bCs w:val="1"/>
                  <w:color w:val="auto"/>
                </w:rPr>
                <w:t>OTHER INFORMATION</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5"/>
            <w:shd w:val="clear" w:color="auto" w:fill="CCEEFF"/>
          </w:tcPr>
          <w:p>
            <w:pPr>
              <w:spacing w:after="0" w:line="156" w:lineRule="exact"/>
              <w:rPr>
                <w:rFonts w:ascii="Times New Roman" w:cs="Times New Roman" w:eastAsia="Times New Roman" w:hAnsi="Times New Roman"/>
                <w:sz w:val="16"/>
                <w:szCs w:val="16"/>
                <w:color w:val="auto"/>
              </w:rPr>
            </w:pPr>
            <w:hyperlink w:anchor="page69">
              <w:r>
                <w:rPr>
                  <w:rFonts w:ascii="Times New Roman" w:cs="Times New Roman" w:eastAsia="Times New Roman" w:hAnsi="Times New Roman"/>
                  <w:sz w:val="16"/>
                  <w:szCs w:val="16"/>
                  <w:color w:val="auto"/>
                </w:rPr>
                <w:t>Item 1.</w:t>
              </w:r>
            </w:hyperlink>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69">
              <w:r>
                <w:rPr>
                  <w:rFonts w:ascii="Times New Roman" w:cs="Times New Roman" w:eastAsia="Times New Roman" w:hAnsi="Times New Roman"/>
                  <w:sz w:val="16"/>
                  <w:szCs w:val="16"/>
                  <w:color w:val="0000FF"/>
                </w:rPr>
                <w:t>Legal Proceedings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gridSpan w:val="6"/>
            <w:shd w:val="clear" w:color="auto" w:fill="CCEEFF"/>
          </w:tcPr>
          <w:p>
            <w:pPr>
              <w:spacing w:after="0" w:line="156" w:lineRule="exact"/>
              <w:rPr>
                <w:rFonts w:ascii="Times New Roman" w:cs="Times New Roman" w:eastAsia="Times New Roman" w:hAnsi="Times New Roman"/>
                <w:sz w:val="16"/>
                <w:szCs w:val="16"/>
                <w:color w:val="auto"/>
              </w:rPr>
            </w:pPr>
            <w:hyperlink w:anchor="page69">
              <w:r>
                <w:rPr>
                  <w:rFonts w:ascii="Times New Roman" w:cs="Times New Roman" w:eastAsia="Times New Roman" w:hAnsi="Times New Roman"/>
                  <w:sz w:val="16"/>
                  <w:szCs w:val="16"/>
                  <w:color w:val="auto"/>
                </w:rPr>
                <w:t>Item 1A.</w:t>
              </w:r>
            </w:hyperlink>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69">
              <w:r>
                <w:rPr>
                  <w:rFonts w:ascii="Times New Roman" w:cs="Times New Roman" w:eastAsia="Times New Roman" w:hAnsi="Times New Roman"/>
                  <w:sz w:val="16"/>
                  <w:szCs w:val="16"/>
                  <w:color w:val="0000FF"/>
                </w:rPr>
                <w:t>Risk Factors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700" w:type="dxa"/>
            <w:vAlign w:val="bottom"/>
            <w:gridSpan w:val="25"/>
            <w:shd w:val="clear" w:color="auto" w:fill="CCEEFF"/>
          </w:tcPr>
          <w:p>
            <w:pPr>
              <w:spacing w:after="0" w:line="156" w:lineRule="exact"/>
              <w:rPr>
                <w:rFonts w:ascii="Times New Roman" w:cs="Times New Roman" w:eastAsia="Times New Roman" w:hAnsi="Times New Roman"/>
                <w:sz w:val="16"/>
                <w:szCs w:val="16"/>
                <w:color w:val="auto"/>
              </w:rPr>
            </w:pPr>
            <w:hyperlink w:anchor="page69">
              <w:r>
                <w:rPr>
                  <w:rFonts w:ascii="Times New Roman" w:cs="Times New Roman" w:eastAsia="Times New Roman" w:hAnsi="Times New Roman"/>
                  <w:sz w:val="16"/>
                  <w:szCs w:val="16"/>
                  <w:color w:val="auto"/>
                </w:rPr>
                <w:t xml:space="preserve">Item 2.  </w:t>
              </w:r>
              <w:r>
                <w:rPr>
                  <w:rFonts w:ascii="Times New Roman" w:cs="Times New Roman" w:eastAsia="Times New Roman" w:hAnsi="Times New Roman"/>
                  <w:sz w:val="16"/>
                  <w:szCs w:val="16"/>
                  <w:color w:val="0000FF"/>
                </w:rPr>
                <w:t>Unregistered Sales of Equity Securities and Use of Proceeds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700" w:type="dxa"/>
            <w:vAlign w:val="bottom"/>
            <w:gridSpan w:val="25"/>
            <w:shd w:val="clear" w:color="auto" w:fill="CCEEFF"/>
          </w:tcPr>
          <w:p>
            <w:pPr>
              <w:spacing w:after="0" w:line="156" w:lineRule="exact"/>
              <w:rPr>
                <w:rFonts w:ascii="Times New Roman" w:cs="Times New Roman" w:eastAsia="Times New Roman" w:hAnsi="Times New Roman"/>
                <w:sz w:val="16"/>
                <w:szCs w:val="16"/>
                <w:color w:val="auto"/>
              </w:rPr>
            </w:pPr>
            <w:hyperlink w:anchor="page69">
              <w:r>
                <w:rPr>
                  <w:rFonts w:ascii="Times New Roman" w:cs="Times New Roman" w:eastAsia="Times New Roman" w:hAnsi="Times New Roman"/>
                  <w:sz w:val="16"/>
                  <w:szCs w:val="16"/>
                  <w:color w:val="auto"/>
                </w:rPr>
                <w:t xml:space="preserve">Item 3.  </w:t>
              </w:r>
              <w:r>
                <w:rPr>
                  <w:rFonts w:ascii="Times New Roman" w:cs="Times New Roman" w:eastAsia="Times New Roman" w:hAnsi="Times New Roman"/>
                  <w:sz w:val="16"/>
                  <w:szCs w:val="16"/>
                  <w:color w:val="0000FF"/>
                </w:rPr>
                <w:t>Defaults Upon Senior Securities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700" w:type="dxa"/>
            <w:vAlign w:val="bottom"/>
            <w:gridSpan w:val="25"/>
            <w:shd w:val="clear" w:color="auto" w:fill="CCEEFF"/>
          </w:tcPr>
          <w:p>
            <w:pPr>
              <w:spacing w:after="0" w:line="156" w:lineRule="exact"/>
              <w:rPr>
                <w:rFonts w:ascii="Times New Roman" w:cs="Times New Roman" w:eastAsia="Times New Roman" w:hAnsi="Times New Roman"/>
                <w:sz w:val="16"/>
                <w:szCs w:val="16"/>
                <w:color w:val="auto"/>
              </w:rPr>
            </w:pPr>
            <w:hyperlink w:anchor="page69">
              <w:r>
                <w:rPr>
                  <w:rFonts w:ascii="Times New Roman" w:cs="Times New Roman" w:eastAsia="Times New Roman" w:hAnsi="Times New Roman"/>
                  <w:sz w:val="16"/>
                  <w:szCs w:val="16"/>
                  <w:color w:val="auto"/>
                </w:rPr>
                <w:t xml:space="preserve">Item 4.  </w:t>
              </w:r>
              <w:r>
                <w:rPr>
                  <w:rFonts w:ascii="Times New Roman" w:cs="Times New Roman" w:eastAsia="Times New Roman" w:hAnsi="Times New Roman"/>
                  <w:sz w:val="16"/>
                  <w:szCs w:val="16"/>
                  <w:color w:val="0000FF"/>
                </w:rPr>
                <w:t>Mine Safety Disclosures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5"/>
            <w:shd w:val="clear" w:color="auto" w:fill="CCEEFF"/>
          </w:tcPr>
          <w:p>
            <w:pPr>
              <w:spacing w:after="0" w:line="156" w:lineRule="exact"/>
              <w:rPr>
                <w:rFonts w:ascii="Times New Roman" w:cs="Times New Roman" w:eastAsia="Times New Roman" w:hAnsi="Times New Roman"/>
                <w:sz w:val="16"/>
                <w:szCs w:val="16"/>
                <w:color w:val="auto"/>
              </w:rPr>
            </w:pPr>
            <w:hyperlink w:anchor="page69">
              <w:r>
                <w:rPr>
                  <w:rFonts w:ascii="Times New Roman" w:cs="Times New Roman" w:eastAsia="Times New Roman" w:hAnsi="Times New Roman"/>
                  <w:sz w:val="16"/>
                  <w:szCs w:val="16"/>
                  <w:color w:val="auto"/>
                </w:rPr>
                <w:t>Item 5.</w:t>
              </w:r>
            </w:hyperlink>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69">
              <w:r>
                <w:rPr>
                  <w:rFonts w:ascii="Times New Roman" w:cs="Times New Roman" w:eastAsia="Times New Roman" w:hAnsi="Times New Roman"/>
                  <w:sz w:val="16"/>
                  <w:szCs w:val="16"/>
                  <w:color w:val="0000FF"/>
                </w:rPr>
                <w:t>Other Information</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5"/>
            <w:shd w:val="clear" w:color="auto" w:fill="CCEEFF"/>
          </w:tcPr>
          <w:p>
            <w:pPr>
              <w:spacing w:after="0" w:line="156" w:lineRule="exact"/>
              <w:rPr>
                <w:rFonts w:ascii="Times New Roman" w:cs="Times New Roman" w:eastAsia="Times New Roman" w:hAnsi="Times New Roman"/>
                <w:sz w:val="16"/>
                <w:szCs w:val="16"/>
                <w:color w:val="auto"/>
              </w:rPr>
            </w:pPr>
            <w:hyperlink w:anchor="page70">
              <w:r>
                <w:rPr>
                  <w:rFonts w:ascii="Times New Roman" w:cs="Times New Roman" w:eastAsia="Times New Roman" w:hAnsi="Times New Roman"/>
                  <w:sz w:val="16"/>
                  <w:szCs w:val="16"/>
                  <w:color w:val="auto"/>
                </w:rPr>
                <w:t>Item 6.</w:t>
              </w:r>
            </w:hyperlink>
          </w:p>
        </w:tc>
        <w:tc>
          <w:tcPr>
            <w:tcW w:w="8140" w:type="dxa"/>
            <w:vAlign w:val="bottom"/>
            <w:gridSpan w:val="20"/>
            <w:shd w:val="clear" w:color="auto" w:fill="CCEEFF"/>
          </w:tcPr>
          <w:p>
            <w:pPr>
              <w:spacing w:after="0" w:line="156" w:lineRule="exact"/>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Exhibits</w:t>
              </w:r>
            </w:hyperlink>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080" w:type="dxa"/>
            <w:vAlign w:val="bottom"/>
            <w:gridSpan w:val="7"/>
            <w:shd w:val="clear" w:color="auto" w:fill="CCEEFF"/>
          </w:tcPr>
          <w:p>
            <w:pPr>
              <w:spacing w:after="0" w:line="156" w:lineRule="exact"/>
              <w:rPr>
                <w:rFonts w:ascii="Times New Roman" w:cs="Times New Roman" w:eastAsia="Times New Roman" w:hAnsi="Times New Roman"/>
                <w:sz w:val="16"/>
                <w:szCs w:val="16"/>
                <w:b w:val="1"/>
                <w:bCs w:val="1"/>
                <w:color w:val="auto"/>
              </w:rPr>
            </w:pPr>
            <w:hyperlink w:anchor="page71">
              <w:r>
                <w:rPr>
                  <w:rFonts w:ascii="Times New Roman" w:cs="Times New Roman" w:eastAsia="Times New Roman" w:hAnsi="Times New Roman"/>
                  <w:sz w:val="16"/>
                  <w:szCs w:val="16"/>
                  <w:b w:val="1"/>
                  <w:bCs w:val="1"/>
                  <w:color w:val="auto"/>
                </w:rPr>
                <w:t>SIGNATURES</w:t>
              </w:r>
            </w:hyperlink>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260"/>
        </w:trPr>
        <w:tc>
          <w:tcPr>
            <w:tcW w:w="20" w:type="dxa"/>
            <w:vAlign w:val="bottom"/>
            <w:tcBorders>
              <w:bottom w:val="single" w:sz="8" w:color="EEEEEE"/>
            </w:tcBorders>
          </w:tcPr>
          <w:p>
            <w:pPr>
              <w:spacing w:after="0"/>
              <w:rPr>
                <w:sz w:val="24"/>
                <w:szCs w:val="24"/>
                <w:color w:val="auto"/>
              </w:rPr>
            </w:pPr>
          </w:p>
        </w:tc>
        <w:tc>
          <w:tcPr>
            <w:tcW w:w="400" w:type="dxa"/>
            <w:vAlign w:val="bottom"/>
            <w:tcBorders>
              <w:top w:val="single" w:sz="8" w:color="0000EE"/>
              <w:bottom w:val="single" w:sz="8" w:color="EEEEEE"/>
            </w:tcBorders>
          </w:tcPr>
          <w:p>
            <w:pPr>
              <w:spacing w:after="0"/>
              <w:rPr>
                <w:sz w:val="24"/>
                <w:szCs w:val="24"/>
                <w:color w:val="auto"/>
              </w:rPr>
            </w:pPr>
          </w:p>
        </w:tc>
        <w:tc>
          <w:tcPr>
            <w:tcW w:w="12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60" w:type="dxa"/>
            <w:vAlign w:val="bottom"/>
            <w:tcBorders>
              <w:top w:val="single" w:sz="8" w:color="0000EE"/>
              <w:bottom w:val="single" w:sz="8" w:color="EEEEEE"/>
            </w:tcBorders>
          </w:tcPr>
          <w:p>
            <w:pPr>
              <w:spacing w:after="0"/>
              <w:rPr>
                <w:sz w:val="24"/>
                <w:szCs w:val="24"/>
                <w:color w:val="auto"/>
              </w:rPr>
            </w:pPr>
          </w:p>
        </w:tc>
        <w:tc>
          <w:tcPr>
            <w:tcW w:w="340" w:type="dxa"/>
            <w:vAlign w:val="bottom"/>
            <w:tcBorders>
              <w:top w:val="single" w:sz="8" w:color="0000EE"/>
              <w:bottom w:val="single" w:sz="8" w:color="EEEEEE"/>
            </w:tcBorders>
          </w:tcPr>
          <w:p>
            <w:pPr>
              <w:spacing w:after="0"/>
              <w:rPr>
                <w:sz w:val="24"/>
                <w:szCs w:val="24"/>
                <w:color w:val="auto"/>
              </w:rPr>
            </w:pPr>
          </w:p>
        </w:tc>
        <w:tc>
          <w:tcPr>
            <w:tcW w:w="8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CCEEFF"/>
              <w:bottom w:val="single" w:sz="8" w:color="EEEEEE"/>
            </w:tcBorders>
          </w:tcPr>
          <w:p>
            <w:pPr>
              <w:spacing w:after="0"/>
              <w:rPr>
                <w:sz w:val="24"/>
                <w:szCs w:val="24"/>
                <w:color w:val="auto"/>
              </w:rPr>
            </w:pPr>
          </w:p>
        </w:tc>
        <w:tc>
          <w:tcPr>
            <w:tcW w:w="520" w:type="dxa"/>
            <w:vAlign w:val="bottom"/>
            <w:tcBorders>
              <w:top w:val="single" w:sz="8" w:color="CCEEFF"/>
              <w:bottom w:val="single" w:sz="8" w:color="EEEEEE"/>
            </w:tcBorders>
          </w:tcPr>
          <w:p>
            <w:pPr>
              <w:spacing w:after="0"/>
              <w:rPr>
                <w:sz w:val="24"/>
                <w:szCs w:val="24"/>
                <w:color w:val="auto"/>
              </w:rPr>
            </w:pPr>
          </w:p>
        </w:tc>
        <w:tc>
          <w:tcPr>
            <w:tcW w:w="260" w:type="dxa"/>
            <w:vAlign w:val="bottom"/>
            <w:tcBorders>
              <w:top w:val="single" w:sz="8" w:color="CCEEFF"/>
              <w:bottom w:val="single" w:sz="8" w:color="EEEEEE"/>
            </w:tcBorders>
          </w:tcPr>
          <w:p>
            <w:pPr>
              <w:spacing w:after="0"/>
              <w:rPr>
                <w:sz w:val="24"/>
                <w:szCs w:val="24"/>
                <w:color w:val="auto"/>
              </w:rPr>
            </w:pPr>
          </w:p>
        </w:tc>
        <w:tc>
          <w:tcPr>
            <w:tcW w:w="360" w:type="dxa"/>
            <w:vAlign w:val="bottom"/>
            <w:tcBorders>
              <w:top w:val="single" w:sz="8" w:color="CCEEFF"/>
              <w:bottom w:val="single" w:sz="8" w:color="EEEEEE"/>
            </w:tcBorders>
          </w:tcPr>
          <w:p>
            <w:pPr>
              <w:spacing w:after="0"/>
              <w:rPr>
                <w:sz w:val="24"/>
                <w:szCs w:val="24"/>
                <w:color w:val="auto"/>
              </w:rPr>
            </w:pPr>
          </w:p>
        </w:tc>
        <w:tc>
          <w:tcPr>
            <w:tcW w:w="20" w:type="dxa"/>
            <w:vAlign w:val="bottom"/>
            <w:tcBorders>
              <w:top w:val="single" w:sz="8" w:color="CCEEFF"/>
              <w:bottom w:val="single" w:sz="8" w:color="EEEEEE"/>
            </w:tcBorders>
          </w:tcPr>
          <w:p>
            <w:pPr>
              <w:spacing w:after="0"/>
              <w:rPr>
                <w:sz w:val="24"/>
                <w:szCs w:val="24"/>
                <w:color w:val="auto"/>
              </w:rPr>
            </w:pPr>
          </w:p>
        </w:tc>
        <w:tc>
          <w:tcPr>
            <w:tcW w:w="380" w:type="dxa"/>
            <w:vAlign w:val="bottom"/>
            <w:tcBorders>
              <w:top w:val="single" w:sz="8" w:color="CCEEFF"/>
              <w:bottom w:val="single" w:sz="8" w:color="EEEEEE"/>
            </w:tcBorders>
          </w:tcPr>
          <w:p>
            <w:pPr>
              <w:spacing w:after="0"/>
              <w:rPr>
                <w:sz w:val="24"/>
                <w:szCs w:val="24"/>
                <w:color w:val="auto"/>
              </w:rPr>
            </w:pPr>
          </w:p>
        </w:tc>
        <w:tc>
          <w:tcPr>
            <w:tcW w:w="220" w:type="dxa"/>
            <w:vAlign w:val="bottom"/>
            <w:tcBorders>
              <w:top w:val="single" w:sz="8" w:color="CCEEFF"/>
              <w:bottom w:val="single" w:sz="8" w:color="EEEEEE"/>
            </w:tcBorders>
          </w:tcPr>
          <w:p>
            <w:pPr>
              <w:spacing w:after="0"/>
              <w:rPr>
                <w:sz w:val="24"/>
                <w:szCs w:val="24"/>
                <w:color w:val="auto"/>
              </w:rPr>
            </w:pPr>
          </w:p>
        </w:tc>
        <w:tc>
          <w:tcPr>
            <w:tcW w:w="260" w:type="dxa"/>
            <w:vAlign w:val="bottom"/>
            <w:tcBorders>
              <w:top w:val="single" w:sz="8" w:color="CCEEFF"/>
              <w:bottom w:val="single" w:sz="8" w:color="EEEEEE"/>
            </w:tcBorders>
          </w:tcPr>
          <w:p>
            <w:pPr>
              <w:spacing w:after="0"/>
              <w:rPr>
                <w:sz w:val="24"/>
                <w:szCs w:val="24"/>
                <w:color w:val="auto"/>
              </w:rPr>
            </w:pPr>
          </w:p>
        </w:tc>
        <w:tc>
          <w:tcPr>
            <w:tcW w:w="60" w:type="dxa"/>
            <w:vAlign w:val="bottom"/>
            <w:tcBorders>
              <w:top w:val="single" w:sz="8" w:color="CCEEFF"/>
              <w:bottom w:val="single" w:sz="8" w:color="EEEEEE"/>
            </w:tcBorders>
          </w:tcPr>
          <w:p>
            <w:pPr>
              <w:spacing w:after="0"/>
              <w:rPr>
                <w:sz w:val="24"/>
                <w:szCs w:val="24"/>
                <w:color w:val="auto"/>
              </w:rPr>
            </w:pPr>
          </w:p>
        </w:tc>
        <w:tc>
          <w:tcPr>
            <w:tcW w:w="80" w:type="dxa"/>
            <w:vAlign w:val="bottom"/>
            <w:tcBorders>
              <w:top w:val="single" w:sz="8" w:color="CCEEFF"/>
              <w:bottom w:val="single" w:sz="8" w:color="EEEEEE"/>
            </w:tcBorders>
          </w:tcPr>
          <w:p>
            <w:pPr>
              <w:spacing w:after="0"/>
              <w:rPr>
                <w:sz w:val="24"/>
                <w:szCs w:val="24"/>
                <w:color w:val="auto"/>
              </w:rPr>
            </w:pPr>
          </w:p>
        </w:tc>
        <w:tc>
          <w:tcPr>
            <w:tcW w:w="1320" w:type="dxa"/>
            <w:vAlign w:val="bottom"/>
            <w:tcBorders>
              <w:top w:val="single" w:sz="8" w:color="CCEEFF"/>
              <w:bottom w:val="single" w:sz="8" w:color="EEEEEE"/>
            </w:tcBorders>
          </w:tcPr>
          <w:p>
            <w:pPr>
              <w:spacing w:after="0"/>
              <w:rPr>
                <w:sz w:val="24"/>
                <w:szCs w:val="24"/>
                <w:color w:val="auto"/>
              </w:rPr>
            </w:pPr>
          </w:p>
        </w:tc>
        <w:tc>
          <w:tcPr>
            <w:tcW w:w="280" w:type="dxa"/>
            <w:vAlign w:val="bottom"/>
            <w:tcBorders>
              <w:top w:val="single" w:sz="8" w:color="CCEEFF"/>
              <w:bottom w:val="single" w:sz="8" w:color="EEEEEE"/>
            </w:tcBorders>
          </w:tcPr>
          <w:p>
            <w:pPr>
              <w:spacing w:after="0"/>
              <w:rPr>
                <w:sz w:val="24"/>
                <w:szCs w:val="24"/>
                <w:color w:val="auto"/>
              </w:rPr>
            </w:pPr>
          </w:p>
        </w:tc>
        <w:tc>
          <w:tcPr>
            <w:tcW w:w="20" w:type="dxa"/>
            <w:vAlign w:val="bottom"/>
            <w:tcBorders>
              <w:top w:val="single" w:sz="8" w:color="CCEEFF"/>
              <w:bottom w:val="single" w:sz="8" w:color="EEEEEE"/>
            </w:tcBorders>
          </w:tcPr>
          <w:p>
            <w:pPr>
              <w:spacing w:after="0"/>
              <w:rPr>
                <w:sz w:val="24"/>
                <w:szCs w:val="24"/>
                <w:color w:val="auto"/>
              </w:rPr>
            </w:pPr>
          </w:p>
        </w:tc>
        <w:tc>
          <w:tcPr>
            <w:tcW w:w="220" w:type="dxa"/>
            <w:vAlign w:val="bottom"/>
            <w:tcBorders>
              <w:top w:val="single" w:sz="8" w:color="CCEEFF"/>
              <w:bottom w:val="single" w:sz="8" w:color="EEEEEE"/>
            </w:tcBorders>
          </w:tcPr>
          <w:p>
            <w:pPr>
              <w:spacing w:after="0"/>
              <w:rPr>
                <w:sz w:val="24"/>
                <w:szCs w:val="24"/>
                <w:color w:val="auto"/>
              </w:rPr>
            </w:pPr>
          </w:p>
        </w:tc>
        <w:tc>
          <w:tcPr>
            <w:tcW w:w="520" w:type="dxa"/>
            <w:vAlign w:val="bottom"/>
            <w:tcBorders>
              <w:top w:val="single" w:sz="8" w:color="CCEEFF"/>
              <w:bottom w:val="single" w:sz="8" w:color="EEEEEE"/>
            </w:tcBorders>
          </w:tcPr>
          <w:p>
            <w:pPr>
              <w:spacing w:after="0"/>
              <w:rPr>
                <w:sz w:val="24"/>
                <w:szCs w:val="24"/>
                <w:color w:val="auto"/>
              </w:rPr>
            </w:pPr>
          </w:p>
        </w:tc>
        <w:tc>
          <w:tcPr>
            <w:tcW w:w="1080" w:type="dxa"/>
            <w:vAlign w:val="bottom"/>
            <w:tcBorders>
              <w:top w:val="single" w:sz="8" w:color="CCEEFF"/>
              <w:bottom w:val="single" w:sz="8" w:color="EEEEEE"/>
            </w:tcBorders>
          </w:tcPr>
          <w:p>
            <w:pPr>
              <w:spacing w:after="0"/>
              <w:rPr>
                <w:sz w:val="24"/>
                <w:szCs w:val="24"/>
                <w:color w:val="auto"/>
              </w:rPr>
            </w:pPr>
          </w:p>
        </w:tc>
        <w:tc>
          <w:tcPr>
            <w:tcW w:w="960" w:type="dxa"/>
            <w:vAlign w:val="bottom"/>
            <w:tcBorders>
              <w:top w:val="single" w:sz="8" w:color="CCEEFF"/>
              <w:bottom w:val="single" w:sz="8" w:color="EEEEEE"/>
            </w:tcBorders>
          </w:tcPr>
          <w:p>
            <w:pPr>
              <w:spacing w:after="0"/>
              <w:rPr>
                <w:sz w:val="24"/>
                <w:szCs w:val="24"/>
                <w:color w:val="auto"/>
              </w:rPr>
            </w:pPr>
          </w:p>
        </w:tc>
        <w:tc>
          <w:tcPr>
            <w:tcW w:w="40" w:type="dxa"/>
            <w:vAlign w:val="bottom"/>
            <w:tcBorders>
              <w:top w:val="single" w:sz="8" w:color="CCEEFF"/>
              <w:bottom w:val="single" w:sz="8" w:color="EEEEEE"/>
            </w:tcBorders>
          </w:tcPr>
          <w:p>
            <w:pPr>
              <w:spacing w:after="0"/>
              <w:rPr>
                <w:sz w:val="24"/>
                <w:szCs w:val="24"/>
                <w:color w:val="auto"/>
              </w:rPr>
            </w:pPr>
          </w:p>
        </w:tc>
        <w:tc>
          <w:tcPr>
            <w:tcW w:w="160" w:type="dxa"/>
            <w:vAlign w:val="bottom"/>
            <w:tcBorders>
              <w:top w:val="single" w:sz="8" w:color="CCEEFF"/>
              <w:bottom w:val="single" w:sz="8" w:color="EEEEEE"/>
            </w:tcBorders>
          </w:tcPr>
          <w:p>
            <w:pPr>
              <w:spacing w:after="0"/>
              <w:rPr>
                <w:sz w:val="24"/>
                <w:szCs w:val="24"/>
                <w:color w:val="auto"/>
              </w:rPr>
            </w:pPr>
          </w:p>
        </w:tc>
        <w:tc>
          <w:tcPr>
            <w:tcW w:w="520" w:type="dxa"/>
            <w:vAlign w:val="bottom"/>
            <w:tcBorders>
              <w:top w:val="single" w:sz="8" w:color="CCEEFF"/>
              <w:bottom w:val="single" w:sz="8" w:color="EEEEEE"/>
            </w:tcBorders>
          </w:tcPr>
          <w:p>
            <w:pPr>
              <w:spacing w:after="0"/>
              <w:rPr>
                <w:sz w:val="24"/>
                <w:szCs w:val="24"/>
                <w:color w:val="auto"/>
              </w:rPr>
            </w:pPr>
          </w:p>
        </w:tc>
        <w:tc>
          <w:tcPr>
            <w:tcW w:w="860" w:type="dxa"/>
            <w:vAlign w:val="bottom"/>
            <w:tcBorders>
              <w:top w:val="single" w:sz="8" w:color="CCEEFF"/>
              <w:bottom w:val="single" w:sz="8" w:color="EEEEEE"/>
            </w:tcBorders>
          </w:tcPr>
          <w:p>
            <w:pPr>
              <w:spacing w:after="0"/>
              <w:rPr>
                <w:sz w:val="24"/>
                <w:szCs w:val="24"/>
                <w:color w:val="auto"/>
              </w:rPr>
            </w:pPr>
          </w:p>
        </w:tc>
        <w:tc>
          <w:tcPr>
            <w:tcW w:w="1320" w:type="dxa"/>
            <w:vAlign w:val="bottom"/>
            <w:tcBorders>
              <w:top w:val="single" w:sz="8" w:color="CCEEFF"/>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 w:name="page3"/>
    <w:bookmarkEnd w:id="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Consolidated Statements of Assets and Liabilities</w:t>
      </w:r>
    </w:p>
    <w:p>
      <w:pPr>
        <w:ind w:left="370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Non-control/non-affiliate investments at fair value (cost of $1,039,965 and $1,038,135, respectively)</w:t>
            </w:r>
          </w:p>
        </w:tc>
        <w:tc>
          <w:tcPr>
            <w:tcW w:w="200" w:type="dxa"/>
            <w:vAlign w:val="bottom"/>
            <w:tcBorders>
              <w:bottom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997,359</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1,005,328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Affiliate investments at fair value (cost of $4,551 and $59,198, respectively)</w:t>
            </w: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64,572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Control investments at fair value (cost of $6,550 and $6,550, respectively)</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investments at fair value (cost of $1,051,066 and $1,103,883, respectively)</w:t>
            </w: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1,004,233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1,076,840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18,356</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fees receivable</w:t>
            </w: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1,032,896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1,091,355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Debt:</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Credit facility</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253,000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2026 Notes</w:t>
            </w:r>
          </w:p>
        </w:tc>
        <w:tc>
          <w:tcPr>
            <w:tcW w:w="20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2027 Notes</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Unamortized deferred financing costs</w:t>
            </w:r>
          </w:p>
        </w:tc>
        <w:tc>
          <w:tcPr>
            <w:tcW w:w="200" w:type="dxa"/>
            <w:vAlign w:val="bottom"/>
          </w:tcPr>
          <w:p>
            <w:pPr>
              <w:spacing w:after="0"/>
              <w:rPr>
                <w:sz w:val="13"/>
                <w:szCs w:val="1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(8,043)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debt, less unamortized deferred financing costs</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492,207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552,332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payable</w:t>
            </w:r>
          </w:p>
        </w:tc>
        <w:tc>
          <w:tcPr>
            <w:tcW w:w="20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13,445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payable</w:t>
            </w:r>
          </w:p>
        </w:tc>
        <w:tc>
          <w:tcPr>
            <w:tcW w:w="20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14,045</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14,106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Interest payable</w:t>
            </w: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529,606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576,486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Commitments and contingencies (Note 8)</w:t>
            </w:r>
          </w:p>
        </w:tc>
        <w:tc>
          <w:tcPr>
            <w:tcW w:w="2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 par value</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557,992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557,992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Accumulated undistributed (overdistributed) earnings</w:t>
            </w:r>
          </w:p>
        </w:tc>
        <w:tc>
          <w:tcPr>
            <w:tcW w:w="20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(55,075)</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(43,496)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net assets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503,290</w:t>
            </w:r>
          </w:p>
        </w:tc>
        <w:tc>
          <w:tcPr>
            <w:tcW w:w="140" w:type="dxa"/>
            <w:vAlign w:val="bottom"/>
          </w:tcPr>
          <w:p>
            <w:pPr>
              <w:spacing w:after="0"/>
              <w:rPr>
                <w:sz w:val="13"/>
                <w:szCs w:val="13"/>
                <w:color w:val="auto"/>
              </w:rPr>
            </w:pPr>
          </w:p>
        </w:tc>
        <w:tc>
          <w:tcPr>
            <w:tcW w:w="26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514,869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7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Shares of common stock outstanding ($0.01 par value, 100,000,000 shares authorized)</w:t>
            </w: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asset value per share</w:t>
            </w: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1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 w:name="page4"/>
    <w:bookmarkEnd w:id="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2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2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From non-control/non-affiliate investments: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30,109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34,455</w:t>
            </w:r>
          </w:p>
        </w:tc>
      </w:tr>
      <w:tr>
        <w:trPr>
          <w:trHeight w:val="156"/>
        </w:trPr>
        <w:tc>
          <w:tcPr>
            <w:tcW w:w="6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4,207</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Dividend income</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Fee income</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From affiliate investments: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Fee income</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income</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investment income</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35,398</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40,009</w:t>
            </w:r>
          </w:p>
        </w:tc>
      </w:tr>
      <w:tr>
        <w:trPr>
          <w:trHeight w:val="156"/>
        </w:trPr>
        <w:tc>
          <w:tcPr>
            <w:tcW w:w="6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Management fees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4,009</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3,952</w:t>
            </w: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Incentive fees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4,668</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Interest and other debt financing expenses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10,287</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10,860</w:t>
            </w:r>
          </w:p>
        </w:tc>
      </w:tr>
      <w:tr>
        <w:trPr>
          <w:trHeight w:val="156"/>
        </w:trPr>
        <w:tc>
          <w:tcPr>
            <w:tcW w:w="6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Professional fees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Administration agreement expenses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Insurance expense</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Tax expense</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expenses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19,799</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21,345</w:t>
            </w:r>
          </w:p>
        </w:tc>
      </w:tr>
      <w:tr>
        <w:trPr>
          <w:trHeight w:val="156"/>
        </w:trPr>
        <w:tc>
          <w:tcPr>
            <w:tcW w:w="6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15,599</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18,664</w:t>
            </w:r>
          </w:p>
        </w:tc>
      </w:tr>
      <w:tr>
        <w:trPr>
          <w:trHeight w:val="192"/>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realized and net change in unrealized gain (loss) on investments</w:t>
            </w:r>
          </w:p>
        </w:tc>
        <w:tc>
          <w:tcPr>
            <w:tcW w:w="10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56"/>
        </w:trPr>
        <w:tc>
          <w:tcPr>
            <w:tcW w:w="6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realized gain (loss) on non-control/non-affiliate investments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(2,886)</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realized gain (loss) on affiliate investments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r>
      <w:tr>
        <w:trPr>
          <w:trHeight w:val="156"/>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change in unrealized gain (loss) on non-control/non-affiliate investments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(9,799)</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(5,065)</w:t>
            </w:r>
          </w:p>
        </w:tc>
      </w:tr>
      <w:tr>
        <w:trPr>
          <w:trHeight w:val="156"/>
        </w:trPr>
        <w:tc>
          <w:tcPr>
            <w:tcW w:w="6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change in unrealized gain (loss) on affiliate investments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(9,925)</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(1,552)</w:t>
            </w:r>
          </w:p>
        </w:tc>
      </w:tr>
      <w:tr>
        <w:trPr>
          <w:trHeight w:val="156"/>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change in unrealized gain (loss) on control investments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(66)</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r>
      <w:tr>
        <w:trPr>
          <w:trHeight w:val="156"/>
        </w:trPr>
        <w:tc>
          <w:tcPr>
            <w:tcW w:w="6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(19,790)</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(6,617)</w:t>
            </w:r>
          </w:p>
        </w:tc>
      </w:tr>
      <w:tr>
        <w:trPr>
          <w:trHeight w:val="15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(13,733)</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(6,617)</w:t>
            </w:r>
          </w:p>
        </w:tc>
      </w:tr>
      <w:tr>
        <w:trPr>
          <w:trHeight w:val="156"/>
        </w:trPr>
        <w:tc>
          <w:tcPr>
            <w:tcW w:w="622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1,866</w:t>
            </w:r>
          </w:p>
        </w:tc>
        <w:tc>
          <w:tcPr>
            <w:tcW w:w="180" w:type="dxa"/>
            <w:vAlign w:val="bottom"/>
          </w:tcPr>
          <w:p>
            <w:pPr>
              <w:spacing w:after="0"/>
              <w:rPr>
                <w:sz w:val="13"/>
                <w:szCs w:val="13"/>
                <w:color w:val="auto"/>
              </w:rPr>
            </w:pPr>
          </w:p>
        </w:tc>
        <w:tc>
          <w:tcPr>
            <w:tcW w:w="2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12,047</w:t>
            </w:r>
          </w:p>
        </w:tc>
        <w:tc>
          <w:tcPr>
            <w:tcW w:w="80" w:type="dxa"/>
            <w:vAlign w:val="bottom"/>
          </w:tcPr>
          <w:p>
            <w:pPr>
              <w:spacing w:after="0"/>
              <w:rPr>
                <w:sz w:val="13"/>
                <w:szCs w:val="13"/>
                <w:color w:val="auto"/>
              </w:rPr>
            </w:pPr>
          </w:p>
        </w:tc>
      </w:tr>
      <w:tr>
        <w:trPr>
          <w:trHeight w:val="20"/>
        </w:trPr>
        <w:tc>
          <w:tcPr>
            <w:tcW w:w="6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62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 (basic and diluted)</w:t>
            </w:r>
          </w:p>
        </w:tc>
        <w:tc>
          <w:tcPr>
            <w:tcW w:w="10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0.42</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0.46</w:t>
            </w:r>
          </w:p>
        </w:tc>
        <w:tc>
          <w:tcPr>
            <w:tcW w:w="80" w:type="dxa"/>
            <w:vAlign w:val="bottom"/>
            <w:shd w:val="clear" w:color="auto" w:fill="CFF0FC"/>
          </w:tcPr>
          <w:p>
            <w:pPr>
              <w:spacing w:after="0"/>
              <w:rPr>
                <w:sz w:val="11"/>
                <w:szCs w:val="11"/>
                <w:color w:val="auto"/>
              </w:rPr>
            </w:pPr>
          </w:p>
        </w:tc>
      </w:tr>
      <w:tr>
        <w:trPr>
          <w:trHeight w:val="156"/>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 per common share (basic and diluted)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0.30</w:t>
            </w:r>
          </w:p>
        </w:tc>
      </w:tr>
      <w:tr>
        <w:trPr>
          <w:trHeight w:val="15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40,392,255</w:t>
            </w:r>
          </w:p>
        </w:tc>
        <w:tc>
          <w:tcPr>
            <w:tcW w:w="80" w:type="dxa"/>
            <w:vAlign w:val="bottom"/>
            <w:shd w:val="clear" w:color="auto" w:fill="CFF0FC"/>
          </w:tcPr>
          <w:p>
            <w:pPr>
              <w:spacing w:after="0"/>
              <w:rPr>
                <w:sz w:val="13"/>
                <w:szCs w:val="13"/>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 w:name="page5"/>
    <w:bookmarkEnd w:id="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Undistributed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 Shares</w:t>
            </w:r>
          </w:p>
        </w:tc>
        <w:tc>
          <w:tcPr>
            <w:tcW w:w="100" w:type="dxa"/>
            <w:vAlign w:val="bottom"/>
          </w:tcPr>
          <w:p>
            <w:pPr>
              <w:spacing w:after="0"/>
              <w:rPr>
                <w:sz w:val="15"/>
                <w:szCs w:val="15"/>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20" w:type="dxa"/>
            <w:vAlign w:val="bottom"/>
          </w:tcPr>
          <w:p>
            <w:pPr>
              <w:spacing w:after="0"/>
              <w:rPr>
                <w:sz w:val="15"/>
                <w:szCs w:val="15"/>
                <w:color w:val="auto"/>
              </w:rPr>
            </w:pPr>
          </w:p>
        </w:tc>
        <w:tc>
          <w:tcPr>
            <w:tcW w:w="13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6"/>
              </w:rPr>
              <w:t xml:space="preserve">Treasury Stock </w:t>
            </w:r>
            <w:r>
              <w:rPr>
                <w:rFonts w:ascii="Times New Roman" w:cs="Times New Roman" w:eastAsia="Times New Roman" w:hAnsi="Times New Roman"/>
                <w:sz w:val="16"/>
                <w:szCs w:val="16"/>
                <w:b w:val="1"/>
                <w:bCs w:val="1"/>
                <w:color w:val="auto"/>
                <w:w w:val="96"/>
                <w:vertAlign w:val="superscript"/>
              </w:rPr>
              <w:t>(2)</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(Overdistributed)</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Total Net</w:t>
            </w:r>
          </w:p>
        </w:tc>
        <w:tc>
          <w:tcPr>
            <w:tcW w:w="0" w:type="dxa"/>
            <w:vAlign w:val="bottom"/>
          </w:tcPr>
          <w:p>
            <w:pPr>
              <w:spacing w:after="0"/>
              <w:rPr>
                <w:sz w:val="1"/>
                <w:szCs w:val="1"/>
                <w:color w:val="auto"/>
              </w:rPr>
            </w:pPr>
          </w:p>
        </w:tc>
      </w:tr>
      <w:tr>
        <w:trPr>
          <w:trHeight w:val="144"/>
        </w:trPr>
        <w:tc>
          <w:tcPr>
            <w:tcW w:w="3300" w:type="dxa"/>
            <w:vAlign w:val="bottom"/>
            <w:vMerge w:val="continue"/>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1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557,992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(43,496)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514,869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15,599</w:t>
            </w:r>
          </w:p>
        </w:tc>
        <w:tc>
          <w:tcPr>
            <w:tcW w:w="1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15,599</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6,057</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(19,790)</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(19,790)</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(13,445)</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(13,445)</w:t>
            </w:r>
          </w:p>
        </w:tc>
        <w:tc>
          <w:tcPr>
            <w:tcW w:w="0" w:type="dxa"/>
            <w:vAlign w:val="bottom"/>
          </w:tcPr>
          <w:p>
            <w:pPr>
              <w:spacing w:after="0"/>
              <w:rPr>
                <w:sz w:val="1"/>
                <w:szCs w:val="1"/>
                <w:color w:val="auto"/>
              </w:rPr>
            </w:pPr>
          </w:p>
        </w:tc>
      </w:tr>
      <w:tr>
        <w:trPr>
          <w:trHeight w:val="156"/>
        </w:trPr>
        <w:tc>
          <w:tcPr>
            <w:tcW w:w="330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Balances at March 31, 2025</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37,347,428</w:t>
            </w:r>
          </w:p>
        </w:tc>
        <w:tc>
          <w:tcPr>
            <w:tcW w:w="120" w:type="dxa"/>
            <w:vAlign w:val="bottom"/>
          </w:tcPr>
          <w:p>
            <w:pPr>
              <w:spacing w:after="0"/>
              <w:rPr>
                <w:sz w:val="13"/>
                <w:szCs w:val="13"/>
                <w:color w:val="auto"/>
              </w:rPr>
            </w:pPr>
          </w:p>
        </w:tc>
        <w:tc>
          <w:tcPr>
            <w:tcW w:w="400" w:type="dxa"/>
            <w:vAlign w:val="bottom"/>
            <w:gridSpan w:val="2"/>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373</w:t>
            </w:r>
          </w:p>
        </w:tc>
        <w:tc>
          <w:tcPr>
            <w:tcW w:w="220" w:type="dxa"/>
            <w:vAlign w:val="bottom"/>
          </w:tcPr>
          <w:p>
            <w:pPr>
              <w:spacing w:after="0"/>
              <w:rPr>
                <w:sz w:val="13"/>
                <w:szCs w:val="13"/>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557,992</w:t>
            </w:r>
          </w:p>
        </w:tc>
        <w:tc>
          <w:tcPr>
            <w:tcW w:w="220" w:type="dxa"/>
            <w:vAlign w:val="bottom"/>
          </w:tcPr>
          <w:p>
            <w:pPr>
              <w:spacing w:after="0"/>
              <w:rPr>
                <w:sz w:val="13"/>
                <w:szCs w:val="13"/>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(55,075</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503,290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Undistributed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 Shares</w:t>
            </w:r>
          </w:p>
        </w:tc>
        <w:tc>
          <w:tcPr>
            <w:tcW w:w="100" w:type="dxa"/>
            <w:vAlign w:val="bottom"/>
          </w:tcPr>
          <w:p>
            <w:pPr>
              <w:spacing w:after="0"/>
              <w:rPr>
                <w:sz w:val="15"/>
                <w:szCs w:val="15"/>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20" w:type="dxa"/>
            <w:vAlign w:val="bottom"/>
          </w:tcPr>
          <w:p>
            <w:pPr>
              <w:spacing w:after="0"/>
              <w:rPr>
                <w:sz w:val="15"/>
                <w:szCs w:val="15"/>
                <w:color w:val="auto"/>
              </w:rPr>
            </w:pPr>
          </w:p>
        </w:tc>
        <w:tc>
          <w:tcPr>
            <w:tcW w:w="13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6"/>
              </w:rPr>
              <w:t xml:space="preserve">Treasury Stock </w:t>
            </w:r>
            <w:r>
              <w:rPr>
                <w:rFonts w:ascii="Times New Roman" w:cs="Times New Roman" w:eastAsia="Times New Roman" w:hAnsi="Times New Roman"/>
                <w:sz w:val="16"/>
                <w:szCs w:val="16"/>
                <w:b w:val="1"/>
                <w:bCs w:val="1"/>
                <w:color w:val="auto"/>
                <w:w w:val="96"/>
                <w:vertAlign w:val="superscript"/>
              </w:rPr>
              <w:t>(2)</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(Overdistributed)</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Total Net</w:t>
            </w:r>
          </w:p>
        </w:tc>
        <w:tc>
          <w:tcPr>
            <w:tcW w:w="0" w:type="dxa"/>
            <w:vAlign w:val="bottom"/>
          </w:tcPr>
          <w:p>
            <w:pPr>
              <w:spacing w:after="0"/>
              <w:rPr>
                <w:sz w:val="1"/>
                <w:szCs w:val="1"/>
                <w:color w:val="auto"/>
              </w:rPr>
            </w:pPr>
          </w:p>
        </w:tc>
      </w:tr>
      <w:tr>
        <w:trPr>
          <w:trHeight w:val="144"/>
        </w:trPr>
        <w:tc>
          <w:tcPr>
            <w:tcW w:w="3300" w:type="dxa"/>
            <w:vAlign w:val="bottom"/>
            <w:vMerge w:val="continue"/>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1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(10,816)</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605,110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(47,637)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547,071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18,664</w:t>
            </w:r>
          </w:p>
        </w:tc>
        <w:tc>
          <w:tcPr>
            <w:tcW w:w="1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18,664</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(6,617)</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(6,617)</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 xml:space="preserve">Acquisition of treasury stock </w:t>
            </w:r>
            <w:r>
              <w:rPr>
                <w:rFonts w:ascii="Times New Roman" w:cs="Times New Roman" w:eastAsia="Times New Roman" w:hAnsi="Times New Roman"/>
                <w:sz w:val="16"/>
                <w:szCs w:val="16"/>
                <w:color w:val="auto"/>
                <w:vertAlign w:val="superscript"/>
              </w:rPr>
              <w:t>(2)</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(887,096)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(10,609)</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(10,609)</w:t>
            </w:r>
          </w:p>
        </w:tc>
        <w:tc>
          <w:tcPr>
            <w:tcW w:w="0" w:type="dxa"/>
            <w:vAlign w:val="bottom"/>
          </w:tcPr>
          <w:p>
            <w:pPr>
              <w:spacing w:after="0"/>
              <w:rPr>
                <w:sz w:val="1"/>
                <w:szCs w:val="1"/>
                <w:color w:val="auto"/>
              </w:rPr>
            </w:pPr>
          </w:p>
        </w:tc>
      </w:tr>
      <w:tr>
        <w:trPr>
          <w:trHeight w:val="156"/>
        </w:trPr>
        <w:tc>
          <w:tcPr>
            <w:tcW w:w="3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(19,040)</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(19,040)</w:t>
            </w:r>
          </w:p>
        </w:tc>
        <w:tc>
          <w:tcPr>
            <w:tcW w:w="0" w:type="dxa"/>
            <w:vAlign w:val="bottom"/>
          </w:tcPr>
          <w:p>
            <w:pPr>
              <w:spacing w:after="0"/>
              <w:rPr>
                <w:sz w:val="1"/>
                <w:szCs w:val="1"/>
                <w:color w:val="auto"/>
              </w:rPr>
            </w:pPr>
          </w:p>
        </w:tc>
      </w:tr>
      <w:tr>
        <w:trPr>
          <w:trHeight w:val="156"/>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Shares retired</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reclassification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at March 31, 2024</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39,622,162</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vMerge w:val="restart"/>
            <w:shd w:val="clear" w:color="auto" w:fill="CFF0FC"/>
          </w:tcPr>
          <w:p>
            <w:pPr>
              <w:jc w:val="right"/>
              <w:ind w:right="180"/>
              <w:spacing w:after="0" w:line="268" w:lineRule="exact"/>
              <w:rPr>
                <w:sz w:val="20"/>
                <w:szCs w:val="20"/>
                <w:color w:val="auto"/>
              </w:rPr>
            </w:pPr>
            <w:r>
              <w:rPr>
                <w:rFonts w:ascii="Times New Roman" w:cs="Times New Roman" w:eastAsia="Times New Roman" w:hAnsi="Times New Roman"/>
                <w:sz w:val="13"/>
                <w:szCs w:val="13"/>
                <w:color w:val="auto"/>
              </w:rPr>
              <w:t>(21,425</w:t>
            </w:r>
            <w:r>
              <w:rPr>
                <w:rFonts w:ascii="Times New Roman" w:cs="Times New Roman" w:eastAsia="Times New Roman" w:hAnsi="Times New Roman"/>
                <w:sz w:val="26"/>
                <w:szCs w:val="26"/>
                <w:color w:val="auto"/>
                <w:vertAlign w:val="superscript"/>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605,108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vMerge w:val="restart"/>
            <w:shd w:val="clear" w:color="auto" w:fill="CFF0FC"/>
          </w:tcPr>
          <w:p>
            <w:pPr>
              <w:jc w:val="right"/>
              <w:ind w:right="160"/>
              <w:spacing w:after="0" w:line="268" w:lineRule="exact"/>
              <w:rPr>
                <w:sz w:val="20"/>
                <w:szCs w:val="20"/>
                <w:color w:val="auto"/>
              </w:rPr>
            </w:pPr>
            <w:r>
              <w:rPr>
                <w:rFonts w:ascii="Times New Roman" w:cs="Times New Roman" w:eastAsia="Times New Roman" w:hAnsi="Times New Roman"/>
                <w:sz w:val="13"/>
                <w:szCs w:val="13"/>
                <w:color w:val="auto"/>
              </w:rPr>
              <w:t>(54,628</w:t>
            </w:r>
            <w:r>
              <w:rPr>
                <w:rFonts w:ascii="Times New Roman" w:cs="Times New Roman" w:eastAsia="Times New Roman" w:hAnsi="Times New Roman"/>
                <w:sz w:val="26"/>
                <w:szCs w:val="26"/>
                <w:color w:val="auto"/>
                <w:vertAlign w:val="superscript"/>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529,469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00" w:type="dxa"/>
            <w:vAlign w:val="bottom"/>
            <w:vMerge w:val="continue"/>
            <w:shd w:val="clear" w:color="auto" w:fill="CFF0FC"/>
          </w:tcPr>
          <w:p>
            <w:pPr>
              <w:spacing w:after="0"/>
              <w:rPr>
                <w:sz w:val="11"/>
                <w:szCs w:val="11"/>
                <w:color w:val="auto"/>
              </w:rPr>
            </w:pPr>
          </w:p>
        </w:tc>
        <w:tc>
          <w:tcPr>
            <w:tcW w:w="11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4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2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Number of shares is shown net of cumulative share repurchases of 4,033,150 and 1,758,441 shares as of March 31, 2025 and March 31, 2024, respectively.</w:t>
      </w:r>
    </w:p>
    <w:p>
      <w:pPr>
        <w:spacing w:after="0" w:line="39" w:lineRule="exact"/>
        <w:rPr>
          <w:sz w:val="20"/>
          <w:szCs w:val="20"/>
          <w:color w:val="auto"/>
        </w:rPr>
      </w:pPr>
    </w:p>
    <w:p>
      <w:pPr>
        <w:ind w:left="360" w:right="480"/>
        <w:spacing w:after="0" w:line="223"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Prior to December 31, 2024, the Company reported repurchases of common stock as a separate financial statement line item labeled as "Treasury stock" within "Total net assets" and labeled any related activity as "Acquisition of treasury stock." As of December 31, 2024 and going forward, any shares that were repurchased by the Company are to be returned to unissued common shares and amounts repurchased are presented as a deduction from "Common stock, par value" and "Additional paid-in capital." For more information, refer to "Repurchases of Common Stock" in "Note 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Summary of Significant Accounting Policies."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 w:name="page6"/>
    <w:bookmarkEnd w:id="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8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w:t>
            </w:r>
          </w:p>
        </w:tc>
        <w:tc>
          <w:tcPr>
            <w:tcW w:w="240" w:type="dxa"/>
            <w:vAlign w:val="bottom"/>
          </w:tcPr>
          <w:p>
            <w:pPr>
              <w:spacing w:after="0"/>
              <w:rPr>
                <w:sz w:val="13"/>
                <w:szCs w:val="13"/>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12,047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Adjustments to reconcile net increase in net assets resulting from operations to net cash provided by (used in) operating activities:</w:t>
            </w: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4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(15,320)</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(24,642)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Payment-in-kind interest</w:t>
            </w:r>
          </w:p>
        </w:tc>
        <w:tc>
          <w:tcPr>
            <w:tcW w:w="3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(3,260)</w:t>
            </w: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(4,176)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Sales or repayments of investments</w:t>
            </w:r>
          </w:p>
        </w:tc>
        <w:tc>
          <w:tcPr>
            <w:tcW w:w="34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78,643</w:t>
            </w:r>
          </w:p>
        </w:tc>
        <w:tc>
          <w:tcPr>
            <w:tcW w:w="3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34,862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Sales or maturities of U.S. Treasury Bills</w:t>
            </w:r>
          </w:p>
        </w:tc>
        <w:tc>
          <w:tcPr>
            <w:tcW w:w="34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42,029</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6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3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4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(6,057)</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3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19,790</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fixed income premiums or accretion of discounts and end-of-term payments</w:t>
            </w:r>
          </w:p>
        </w:tc>
        <w:tc>
          <w:tcPr>
            <w:tcW w:w="34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(1,189)</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(Increase) decrease in interest and fees receivable</w:t>
            </w:r>
          </w:p>
        </w:tc>
        <w:tc>
          <w:tcPr>
            <w:tcW w:w="3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(589)</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decrease in other assets</w:t>
            </w:r>
          </w:p>
        </w:tc>
        <w:tc>
          <w:tcPr>
            <w:tcW w:w="34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(954)</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Increase (decrease) in incentive fees payable</w:t>
            </w:r>
          </w:p>
        </w:tc>
        <w:tc>
          <w:tcPr>
            <w:tcW w:w="3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(61)</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(decrease) in interest payable</w:t>
            </w:r>
          </w:p>
        </w:tc>
        <w:tc>
          <w:tcPr>
            <w:tcW w:w="34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(87)</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Increase (decrease) in accrued expenses and other liabilities</w:t>
            </w:r>
          </w:p>
        </w:tc>
        <w:tc>
          <w:tcPr>
            <w:tcW w:w="3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(52)</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34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73,562</w:t>
            </w:r>
          </w:p>
        </w:tc>
        <w:tc>
          <w:tcPr>
            <w:tcW w:w="3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68,598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Payments of deferred financing costs</w:t>
            </w:r>
          </w:p>
        </w:tc>
        <w:tc>
          <w:tcPr>
            <w:tcW w:w="34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(2,957)</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3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17,000</w:t>
            </w: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340" w:type="dxa"/>
            <w:vAlign w:val="bottom"/>
          </w:tcPr>
          <w:p>
            <w:pPr>
              <w:spacing w:after="0"/>
              <w:rPr>
                <w:sz w:val="13"/>
                <w:szCs w:val="13"/>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(75,000)</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(10,609)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3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(19,040)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3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(60,957)</w:t>
            </w: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(64,653)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34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12,605</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340" w:type="dxa"/>
            <w:vAlign w:val="bottom"/>
          </w:tcPr>
          <w:p>
            <w:pPr>
              <w:jc w:val="right"/>
              <w:ind w:right="1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18,356</w:t>
            </w:r>
          </w:p>
        </w:tc>
        <w:tc>
          <w:tcPr>
            <w:tcW w:w="380" w:type="dxa"/>
            <w:vAlign w:val="bottom"/>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6,915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0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and non-cash financing cash flow information:</w:t>
            </w:r>
          </w:p>
        </w:tc>
        <w:tc>
          <w:tcPr>
            <w:tcW w:w="34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Taxes paid</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240" w:type="dxa"/>
            <w:vAlign w:val="bottom"/>
          </w:tcPr>
          <w:p>
            <w:pPr>
              <w:spacing w:after="0"/>
              <w:rPr>
                <w:sz w:val="13"/>
                <w:szCs w:val="13"/>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Interest paid</w:t>
            </w: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8,986</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declared but not yet paid</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13,445</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 w:name="page7"/>
    <w:bookmarkEnd w:id="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2000" w:type="dxa"/>
            <w:vAlign w:val="bottom"/>
          </w:tcPr>
          <w:p>
            <w:pPr>
              <w:spacing w:after="0"/>
              <w:rPr>
                <w:sz w:val="12"/>
                <w:szCs w:val="12"/>
                <w:color w:val="auto"/>
              </w:rPr>
            </w:pPr>
          </w:p>
        </w:tc>
        <w:tc>
          <w:tcPr>
            <w:tcW w:w="1020" w:type="dxa"/>
            <w:vAlign w:val="bottom"/>
          </w:tcPr>
          <w:p>
            <w:pPr>
              <w:ind w:left="2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860" w:type="dxa"/>
            <w:vAlign w:val="bottom"/>
          </w:tcPr>
          <w:p>
            <w:pPr>
              <w:ind w:left="6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2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2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860" w:type="dxa"/>
            <w:vAlign w:val="bottom"/>
          </w:tcPr>
          <w:p>
            <w:pPr>
              <w:ind w:left="52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2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Airship Group,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SOFR+3.75%, 9.08% floor,</w:t>
            </w:r>
          </w:p>
        </w:tc>
        <w:tc>
          <w:tcPr>
            <w:tcW w:w="9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6/15/2028</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49,499</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49,008</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50,003</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3.00% PIK, 3.25% ETP</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Blueshift Labs,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SOFR+6.25%, 11.25% floor,</w:t>
            </w:r>
          </w:p>
        </w:tc>
        <w:tc>
          <w:tcPr>
            <w:tcW w:w="9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12/19/2023</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12/15/2028</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26,148</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25,906</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23,242</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2.00% PIK, 1.50% ETP</w:t>
            </w:r>
          </w:p>
        </w:tc>
        <w:tc>
          <w:tcPr>
            <w:tcW w:w="9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spacing w:after="0"/>
              <w:rPr>
                <w:sz w:val="12"/>
                <w:szCs w:val="12"/>
                <w:color w:val="auto"/>
              </w:rPr>
            </w:pP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SOFR+6.25%, 11.25% floor,</w:t>
            </w:r>
          </w:p>
        </w:tc>
        <w:tc>
          <w:tcPr>
            <w:tcW w:w="9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503</w:t>
            </w:r>
          </w:p>
        </w:tc>
        <w:tc>
          <w:tcPr>
            <w:tcW w:w="102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503</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938</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 (22)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2.00% PIK</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Circadence Corporation</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SOFR+9.50%, 12.26% floor,</w:t>
            </w:r>
          </w:p>
        </w:tc>
        <w:tc>
          <w:tcPr>
            <w:tcW w:w="9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12/20/2018</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12/15/2025</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23,752</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25,102</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20,321</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spacing w:after="0"/>
              <w:rPr>
                <w:sz w:val="12"/>
                <w:szCs w:val="12"/>
                <w:color w:val="auto"/>
              </w:rPr>
            </w:pP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7.50% ETP</w:t>
            </w:r>
          </w:p>
        </w:tc>
        <w:tc>
          <w:tcPr>
            <w:tcW w:w="9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FiscalNote,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PRIME+5.00%, 9.00% floor,</w:t>
            </w:r>
          </w:p>
        </w:tc>
        <w:tc>
          <w:tcPr>
            <w:tcW w:w="9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10/19/2020</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7/15/2027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25,689</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26,129</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25,657</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1.00% PIK, 5.75% ETP</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(14)</w:t>
            </w: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Piano Software,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SOFR+7.25%, 11.25% floor,</w:t>
            </w:r>
          </w:p>
        </w:tc>
        <w:tc>
          <w:tcPr>
            <w:tcW w:w="9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43,000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42,048</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42,096</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1.50% ETP</w:t>
            </w:r>
          </w:p>
        </w:tc>
        <w:tc>
          <w:tcPr>
            <w:tcW w:w="9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Snap! Mobile,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SOFR+7.50%, 12.10% floor,</w:t>
            </w:r>
          </w:p>
        </w:tc>
        <w:tc>
          <w:tcPr>
            <w:tcW w:w="9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9/30/2028</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18,000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17,571</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17,717</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3.83% ETP</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VTX Intermediate Holdings,</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SOFR+7.00%, 8.00% floor,</w:t>
            </w:r>
          </w:p>
        </w:tc>
        <w:tc>
          <w:tcPr>
            <w:tcW w:w="9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9/24/2029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35,092</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34,807</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34,823</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Inc. (dba VertexOne)</w:t>
            </w:r>
          </w:p>
        </w:tc>
        <w:tc>
          <w:tcPr>
            <w:tcW w:w="1020" w:type="dxa"/>
            <w:vAlign w:val="bottom"/>
            <w:shd w:val="clear" w:color="auto" w:fill="CFF0FC"/>
          </w:tcPr>
          <w:p>
            <w:pPr>
              <w:spacing w:after="0"/>
              <w:rPr>
                <w:sz w:val="14"/>
                <w:szCs w:val="14"/>
                <w:color w:val="auto"/>
              </w:rPr>
            </w:pP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1.00% PIK, 3.00% ETP</w:t>
            </w:r>
          </w:p>
        </w:tc>
        <w:tc>
          <w:tcPr>
            <w:tcW w:w="9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spacing w:after="0"/>
              <w:rPr>
                <w:sz w:val="12"/>
                <w:szCs w:val="12"/>
                <w:color w:val="auto"/>
              </w:rPr>
            </w:pP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Second Lien</w:t>
            </w:r>
          </w:p>
        </w:tc>
        <w:tc>
          <w:tcPr>
            <w:tcW w:w="18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FIXED 12.50% PIK, 31.05%</w:t>
            </w:r>
          </w:p>
        </w:tc>
        <w:tc>
          <w:tcPr>
            <w:tcW w:w="9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9/24/2029</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6,000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5,746</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5,803</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ETP</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- 43.83%*</w:t>
            </w:r>
          </w:p>
        </w:tc>
        <w:tc>
          <w:tcPr>
            <w:tcW w:w="18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226,820</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220,600</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20" w:type="dxa"/>
            <w:vAlign w:val="bottom"/>
            <w:gridSpan w:val="2"/>
          </w:tcPr>
          <w:p>
            <w:pPr>
              <w:spacing w:after="0"/>
              <w:rPr>
                <w:sz w:val="13"/>
                <w:szCs w:val="13"/>
                <w:color w:val="auto"/>
              </w:rPr>
            </w:pPr>
          </w:p>
        </w:tc>
        <w:tc>
          <w:tcPr>
            <w:tcW w:w="1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8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Elevate Services, Inc.</w:t>
            </w:r>
          </w:p>
        </w:tc>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SOFR+7.50%, 12.78% floor</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7/10/2027</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39,000</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38,133</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39,455</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(12)</w:t>
            </w:r>
          </w:p>
        </w:tc>
        <w:tc>
          <w:tcPr>
            <w:tcW w:w="580" w:type="dxa"/>
            <w:vAlign w:val="bottom"/>
          </w:tcPr>
          <w:p>
            <w:pPr>
              <w:spacing w:after="0"/>
              <w:rPr>
                <w:sz w:val="13"/>
                <w:szCs w:val="13"/>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Hurricane Cleanco Limited</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FIXED 6.25%, 6.25% PIK</w:t>
            </w:r>
          </w:p>
        </w:tc>
        <w:tc>
          <w:tcPr>
            <w:tcW w:w="9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11/22/2029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27,941</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27,124</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27,941</w:t>
            </w:r>
          </w:p>
        </w:tc>
        <w:tc>
          <w:tcPr>
            <w:tcW w:w="90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(5) (9) (10)</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(21)</w:t>
            </w: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Interactions Corporation</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SOFR+9.26%, 9.76% floor,</w:t>
            </w:r>
          </w:p>
        </w:tc>
        <w:tc>
          <w:tcPr>
            <w:tcW w:w="9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40,452</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40,395</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3.9375% ETP</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Vesta Payment Solutions,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SOFR+7.00%, 9.00% floor,</w:t>
            </w:r>
          </w:p>
        </w:tc>
        <w:tc>
          <w:tcPr>
            <w:tcW w:w="9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11/29/2022</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11/15/2026</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25,590</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22,246</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6.00% ETP</w:t>
            </w:r>
          </w:p>
        </w:tc>
        <w:tc>
          <w:tcPr>
            <w:tcW w:w="9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88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- 25.84%*</w:t>
            </w: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131,299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130,037</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Brivo,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SOFR+7.25%, 11.29% floor,</w:t>
            </w:r>
          </w:p>
        </w:tc>
        <w:tc>
          <w:tcPr>
            <w:tcW w:w="9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12/27/2024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39,755</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39,766</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2.53% ETP</w:t>
            </w:r>
          </w:p>
        </w:tc>
        <w:tc>
          <w:tcPr>
            <w:tcW w:w="9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88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- 7.90%*</w:t>
            </w: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39,755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39,766</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Equipment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Moximed,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PRIME+5.25%, 8.75% floor,</w:t>
            </w:r>
          </w:p>
        </w:tc>
        <w:tc>
          <w:tcPr>
            <w:tcW w:w="9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7/1/2027</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15,000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15,118</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15,382</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3.50% ETP</w:t>
            </w:r>
          </w:p>
        </w:tc>
        <w:tc>
          <w:tcPr>
            <w:tcW w:w="9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61"/>
        </w:trPr>
        <w:tc>
          <w:tcPr>
            <w:tcW w:w="30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Equipment - 3.06%*</w:t>
            </w: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15,118</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15,382</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 w:name="page8"/>
    <w:bookmarkEnd w:id="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2100" w:type="dxa"/>
            <w:vAlign w:val="bottom"/>
          </w:tcPr>
          <w:p>
            <w:pPr>
              <w:spacing w:after="0"/>
              <w:rPr>
                <w:sz w:val="12"/>
                <w:szCs w:val="12"/>
                <w:color w:val="auto"/>
              </w:rPr>
            </w:pPr>
          </w:p>
        </w:tc>
        <w:tc>
          <w:tcPr>
            <w:tcW w:w="980" w:type="dxa"/>
            <w:vAlign w:val="bottom"/>
          </w:tcPr>
          <w:p>
            <w:pPr>
              <w:ind w:left="1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88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2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9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88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1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9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98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21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EBR Systems, Inc.</w:t>
            </w:r>
          </w:p>
        </w:tc>
        <w:tc>
          <w:tcPr>
            <w:tcW w:w="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PRIME+4.90%, 8.90%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40,188</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40,787</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 (16)</w:t>
            </w:r>
          </w:p>
        </w:tc>
      </w:tr>
      <w:tr>
        <w:trPr>
          <w:trHeight w:val="168"/>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4.50%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1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Mingle Healthcare Solutions,</w:t>
            </w:r>
          </w:p>
        </w:tc>
        <w:tc>
          <w:tcPr>
            <w:tcW w:w="9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SOFR+9.75%, 12.26%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8/15/2018</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12/15/2026</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4,257</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4,887</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2,403</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(26)</w:t>
            </w:r>
          </w:p>
        </w:tc>
      </w:tr>
      <w:tr>
        <w:trPr>
          <w:trHeight w:val="168"/>
        </w:trPr>
        <w:tc>
          <w:tcPr>
            <w:tcW w:w="2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Inc.</w:t>
            </w:r>
          </w:p>
        </w:tc>
        <w:tc>
          <w:tcPr>
            <w:tcW w:w="980" w:type="dxa"/>
            <w:vAlign w:val="bottom"/>
            <w:shd w:val="clear" w:color="auto" w:fill="CFF0FC"/>
          </w:tcPr>
          <w:p>
            <w:pPr>
              <w:spacing w:after="0"/>
              <w:rPr>
                <w:sz w:val="14"/>
                <w:szCs w:val="14"/>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10.50%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1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Nalu Medical, Inc.</w:t>
            </w:r>
          </w:p>
        </w:tc>
        <w:tc>
          <w:tcPr>
            <w:tcW w:w="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PRIME+2.70%, 6.70%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10/12/2022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10/12/2027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21,007</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21,212</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21,985</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 PIK, 4.50%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1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Onward Medical, N.V.</w:t>
            </w:r>
          </w:p>
        </w:tc>
        <w:tc>
          <w:tcPr>
            <w:tcW w:w="9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SOFR+6.50%, 10.75%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6/15/2028</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17,088</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16,730</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16,994</w:t>
            </w:r>
          </w:p>
        </w:tc>
        <w:tc>
          <w:tcPr>
            <w:tcW w:w="90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(8) (9) (11)</w:t>
            </w:r>
          </w:p>
        </w:tc>
      </w:tr>
      <w:tr>
        <w:trPr>
          <w:trHeight w:val="168"/>
        </w:trPr>
        <w:tc>
          <w:tcPr>
            <w:tcW w:w="2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2.50%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(12)</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(17)</w:t>
            </w:r>
          </w:p>
        </w:tc>
      </w:tr>
      <w:tr>
        <w:trPr>
          <w:trHeight w:val="144"/>
        </w:trPr>
        <w:tc>
          <w:tcPr>
            <w:tcW w:w="21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Route 92 Medical, Inc.</w:t>
            </w:r>
          </w:p>
        </w:tc>
        <w:tc>
          <w:tcPr>
            <w:tcW w:w="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SOFR+7.00%, 9.00%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3/31/2025</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3/31/2029</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35,000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34,095</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34,095</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3.95%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1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SetPoint Medical Corporation</w:t>
            </w:r>
          </w:p>
        </w:tc>
        <w:tc>
          <w:tcPr>
            <w:tcW w:w="9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SOFR+5.75%, 9.00%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12/29/2022</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12/1/2027</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25,293</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25,986</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4.00%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30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- 28.26%*</w:t>
            </w:r>
          </w:p>
        </w:tc>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142,405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142,250</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80" w:type="dxa"/>
            <w:vAlign w:val="bottom"/>
            <w:gridSpan w:val="2"/>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21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9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SOFR+8.50% PIK, 9.00%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9/29/2021</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11/15/2025</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3,732</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3,774</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2,574</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(26)</w:t>
            </w:r>
          </w:p>
        </w:tc>
      </w:tr>
      <w:tr>
        <w:trPr>
          <w:trHeight w:val="168"/>
        </w:trPr>
        <w:tc>
          <w:tcPr>
            <w:tcW w:w="2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Snagajob.com, Inc.)</w:t>
            </w:r>
          </w:p>
        </w:tc>
        <w:tc>
          <w:tcPr>
            <w:tcW w:w="980" w:type="dxa"/>
            <w:vAlign w:val="bottom"/>
            <w:shd w:val="clear" w:color="auto" w:fill="CFF0FC"/>
          </w:tcPr>
          <w:p>
            <w:pPr>
              <w:spacing w:after="0"/>
              <w:rPr>
                <w:sz w:val="14"/>
                <w:szCs w:val="14"/>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2.75%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96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- 0.51%*</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3,774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2,574</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80" w:type="dxa"/>
            <w:vAlign w:val="bottom"/>
            <w:gridSpan w:val="2"/>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21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Madison Reed, Inc.</w:t>
            </w:r>
          </w:p>
        </w:tc>
        <w:tc>
          <w:tcPr>
            <w:tcW w:w="9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PRIME+4.75%, 11.00%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12/16/2022</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12/16/2026</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16,289</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16,364</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16,529</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11.00% cash cap, 3.00%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1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SOFR+8.75% PIK, 9.51%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6/30/2021</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43,067</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43,155</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33,527</w:t>
            </w:r>
          </w:p>
        </w:tc>
        <w:tc>
          <w:tcPr>
            <w:tcW w:w="90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(10)</w:t>
            </w:r>
          </w:p>
        </w:tc>
      </w:tr>
      <w:tr>
        <w:trPr>
          <w:trHeight w:val="176"/>
        </w:trPr>
        <w:tc>
          <w:tcPr>
            <w:tcW w:w="2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0.95% ETP</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(18)</w:t>
            </w:r>
          </w:p>
        </w:tc>
      </w:tr>
      <w:tr>
        <w:trPr>
          <w:trHeight w:val="160"/>
        </w:trPr>
        <w:tc>
          <w:tcPr>
            <w:tcW w:w="49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- 9.95%*</w:t>
            </w: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59,519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50,056</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98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21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Bombora, Inc.</w:t>
            </w:r>
          </w:p>
        </w:tc>
        <w:tc>
          <w:tcPr>
            <w:tcW w:w="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SOFR+4.75%, 6.75%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12/26/2023</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1/15/2028</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29,146</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29,133</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29,337</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3.25% PIK, 0.96%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1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CarNow, Inc.</w:t>
            </w:r>
          </w:p>
        </w:tc>
        <w:tc>
          <w:tcPr>
            <w:tcW w:w="9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SOFR+7.25%, 11.75%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3/22/2024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3/22/2029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20,000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17,959</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18,204</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1.60%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1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Skillshare, Inc.</w:t>
            </w:r>
          </w:p>
        </w:tc>
        <w:tc>
          <w:tcPr>
            <w:tcW w:w="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SOFR+6.50%, 10.72%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11/8/2022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11/8/2026</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24,000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24,399</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24,216</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72"/>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3.00%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04"/>
        </w:trPr>
        <w:tc>
          <w:tcPr>
            <w:tcW w:w="2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44"/>
        </w:trPr>
        <w:tc>
          <w:tcPr>
            <w:tcW w:w="21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Synack, Inc.</w:t>
            </w:r>
          </w:p>
        </w:tc>
        <w:tc>
          <w:tcPr>
            <w:tcW w:w="9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SOFR+7.00%, 11.07%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12/29/2023</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12/29/2028</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42,500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42,360</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42,605</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1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Zinnia Corporate Holdings,</w:t>
            </w:r>
          </w:p>
        </w:tc>
        <w:tc>
          <w:tcPr>
            <w:tcW w:w="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SOFR+8.00%, 10.00%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9/23/2024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9/21/2029</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39,262</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39,433</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(12)</w:t>
            </w:r>
          </w:p>
        </w:tc>
        <w:tc>
          <w:tcPr>
            <w:tcW w:w="580" w:type="dxa"/>
            <w:vAlign w:val="bottom"/>
          </w:tcPr>
          <w:p>
            <w:pPr>
              <w:spacing w:after="0"/>
              <w:rPr>
                <w:sz w:val="12"/>
                <w:szCs w:val="12"/>
                <w:color w:val="auto"/>
              </w:rPr>
            </w:pPr>
          </w:p>
        </w:tc>
      </w:tr>
      <w:tr>
        <w:trPr>
          <w:trHeight w:val="168"/>
        </w:trPr>
        <w:tc>
          <w:tcPr>
            <w:tcW w:w="21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LLC</w:t>
            </w:r>
          </w:p>
        </w:tc>
        <w:tc>
          <w:tcPr>
            <w:tcW w:w="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- 30.56%*</w:t>
            </w:r>
          </w:p>
        </w:tc>
        <w:tc>
          <w:tcPr>
            <w:tcW w:w="1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153,113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153,795</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98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21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Kin Insurance, Inc.</w:t>
            </w:r>
          </w:p>
        </w:tc>
        <w:tc>
          <w:tcPr>
            <w:tcW w:w="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PRIME+6.25%, 12.50%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9/26/2022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9/15/2026</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75,000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76,113</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76,871</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3.30%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- 15.27%*</w:t>
            </w:r>
          </w:p>
        </w:tc>
        <w:tc>
          <w:tcPr>
            <w:tcW w:w="1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76,113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76,871</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 w:name="page9"/>
    <w:bookmarkEnd w:id="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980" w:type="dxa"/>
            <w:vAlign w:val="bottom"/>
          </w:tcPr>
          <w:p>
            <w:pPr>
              <w:spacing w:after="0"/>
              <w:rPr>
                <w:sz w:val="12"/>
                <w:szCs w:val="12"/>
                <w:color w:val="auto"/>
              </w:rPr>
            </w:pPr>
          </w:p>
        </w:tc>
        <w:tc>
          <w:tcPr>
            <w:tcW w:w="1040" w:type="dxa"/>
            <w:vAlign w:val="bottom"/>
          </w:tcPr>
          <w:p>
            <w:pPr>
              <w:ind w:left="2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940" w:type="dxa"/>
            <w:vAlign w:val="bottom"/>
          </w:tcPr>
          <w:p>
            <w:pPr>
              <w:ind w:left="6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940" w:type="dxa"/>
            <w:vAlign w:val="bottom"/>
          </w:tcPr>
          <w:p>
            <w:pPr>
              <w:ind w:left="52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04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3PL Central LLC (dba</w:t>
            </w:r>
          </w:p>
        </w:tc>
        <w:tc>
          <w:tcPr>
            <w:tcW w:w="10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SOFR+7.00%, 9.00%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11/9/2022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9/30/2025</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72,290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72,972</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69,942</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Extensiv)</w:t>
            </w:r>
          </w:p>
        </w:tc>
        <w:tc>
          <w:tcPr>
            <w:tcW w:w="104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5.00%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Dejero Labs Inc.</w:t>
            </w:r>
          </w:p>
        </w:tc>
        <w:tc>
          <w:tcPr>
            <w:tcW w:w="10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Second Lien</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SOFR+8.00%, 8.50%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12/22/2021</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12/22/2025</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14,535</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14,805</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14,513</w:t>
            </w:r>
          </w:p>
        </w:tc>
        <w:tc>
          <w:tcPr>
            <w:tcW w:w="90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(7) (9) (10)</w:t>
            </w:r>
          </w:p>
        </w:tc>
      </w:tr>
      <w:tr>
        <w:trPr>
          <w:trHeight w:val="168"/>
        </w:trPr>
        <w:tc>
          <w:tcPr>
            <w:tcW w:w="19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2.00% PIK, 3.00%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w:t>
            </w: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Linxup, LLC</w:t>
            </w:r>
          </w:p>
        </w:tc>
        <w:tc>
          <w:tcPr>
            <w:tcW w:w="10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PRIME+3.25%, 11.75%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11/3/2023</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30,000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29,846</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30,602</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72"/>
        </w:trPr>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2.25%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28"/>
        </w:trPr>
        <w:tc>
          <w:tcPr>
            <w:tcW w:w="3020" w:type="dxa"/>
            <w:vAlign w:val="bottom"/>
            <w:gridSpan w:val="2"/>
          </w:tcPr>
          <w:p>
            <w:pPr>
              <w:spacing w:after="0"/>
              <w:rPr>
                <w:sz w:val="11"/>
                <w:szCs w:val="11"/>
                <w:color w:val="auto"/>
              </w:rPr>
            </w:pPr>
          </w:p>
        </w:tc>
        <w:tc>
          <w:tcPr>
            <w:tcW w:w="1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6"/>
        </w:trPr>
        <w:tc>
          <w:tcPr>
            <w:tcW w:w="3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System Software - 22.86%*</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117,623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115,057</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20" w:type="dxa"/>
            <w:vAlign w:val="bottom"/>
            <w:gridSpan w:val="2"/>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Debt Investments - 188.04%*</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965,539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946,388</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04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Advertising</w:t>
            </w:r>
          </w:p>
        </w:tc>
        <w:tc>
          <w:tcPr>
            <w:tcW w:w="1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Minute Media Inc.</w:t>
            </w:r>
          </w:p>
        </w:tc>
        <w:tc>
          <w:tcPr>
            <w:tcW w:w="1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12/13/2023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1,039</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120</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132</w:t>
            </w:r>
          </w:p>
        </w:tc>
        <w:tc>
          <w:tcPr>
            <w:tcW w:w="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980" w:type="dxa"/>
            <w:vAlign w:val="bottom"/>
          </w:tcPr>
          <w:p>
            <w:pPr>
              <w:spacing w:after="0"/>
              <w:rPr>
                <w:sz w:val="13"/>
                <w:szCs w:val="13"/>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12/13/2023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136</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Advertising - 0.03%*</w:t>
            </w:r>
          </w:p>
        </w:tc>
        <w:tc>
          <w:tcPr>
            <w:tcW w:w="104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136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148</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4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Aria Systems, Inc.</w:t>
            </w:r>
          </w:p>
        </w:tc>
        <w:tc>
          <w:tcPr>
            <w:tcW w:w="1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Series G Preferred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289,419</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285</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FiscalNote, Inc.</w:t>
            </w:r>
          </w:p>
        </w:tc>
        <w:tc>
          <w:tcPr>
            <w:tcW w:w="1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10/19/2020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230,881</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438</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186</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 (19)</w:t>
            </w: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VTX Holdings, LLC</w:t>
            </w:r>
          </w:p>
        </w:tc>
        <w:tc>
          <w:tcPr>
            <w:tcW w:w="10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Series C Preferred Units</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3,015,21</w:t>
            </w:r>
          </w:p>
        </w:tc>
        <w:tc>
          <w:tcPr>
            <w:tcW w:w="102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143</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146</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2"/>
                <w:szCs w:val="12"/>
                <w:color w:val="auto"/>
              </w:rPr>
            </w:pPr>
          </w:p>
        </w:tc>
      </w:tr>
      <w:tr>
        <w:trPr>
          <w:trHeight w:val="168"/>
        </w:trPr>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- 0.12%*</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831</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617</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04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CareCloud, Inc.</w:t>
            </w:r>
          </w:p>
        </w:tc>
        <w:tc>
          <w:tcPr>
            <w:tcW w:w="10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8.75% Series A Cumulative</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1/8/2020</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462,064</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12,132</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8,978</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(19)</w:t>
            </w:r>
          </w:p>
        </w:tc>
        <w:tc>
          <w:tcPr>
            <w:tcW w:w="580" w:type="dxa"/>
            <w:vAlign w:val="bottom"/>
          </w:tcPr>
          <w:p>
            <w:pPr>
              <w:spacing w:after="0"/>
              <w:rPr>
                <w:sz w:val="12"/>
                <w:szCs w:val="12"/>
                <w:color w:val="auto"/>
              </w:rPr>
            </w:pPr>
          </w:p>
        </w:tc>
      </w:tr>
      <w:tr>
        <w:trPr>
          <w:trHeight w:val="156"/>
        </w:trPr>
        <w:tc>
          <w:tcPr>
            <w:tcW w:w="1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Redeemable Perpetual Preferred</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8"/>
        </w:trPr>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- 1.78%*</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12,132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8,978</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20" w:type="dxa"/>
            <w:vAlign w:val="bottom"/>
            <w:gridSpan w:val="2"/>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0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Series C-1 Preferred Stock</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389,048</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36,502</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26,675</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(27)</w:t>
            </w:r>
          </w:p>
        </w:tc>
      </w:tr>
      <w:tr>
        <w:trPr>
          <w:trHeight w:val="168"/>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Snagajob.com, Inc.)</w:t>
            </w: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1980" w:type="dxa"/>
            <w:vAlign w:val="bottom"/>
            <w:shd w:val="clear" w:color="auto" w:fill="CFF0FC"/>
          </w:tcPr>
          <w:p>
            <w:pPr>
              <w:spacing w:after="0"/>
              <w:rPr>
                <w:sz w:val="13"/>
                <w:szCs w:val="13"/>
                <w:color w:val="auto"/>
              </w:rPr>
            </w:pPr>
          </w:p>
        </w:tc>
        <w:tc>
          <w:tcPr>
            <w:tcW w:w="1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Series C-2 Preferred Stock</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11/15/2024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16,963</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(27)</w:t>
            </w:r>
          </w:p>
        </w:tc>
      </w:tr>
      <w:tr>
        <w:trPr>
          <w:trHeight w:val="156"/>
        </w:trPr>
        <w:tc>
          <w:tcPr>
            <w:tcW w:w="496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- 5.30%*</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36,502</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26,675</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0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7/7/2023</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46,004</w:t>
            </w:r>
          </w:p>
        </w:tc>
        <w:tc>
          <w:tcPr>
            <w:tcW w:w="102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410</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33</w:t>
            </w:r>
          </w:p>
        </w:tc>
        <w:tc>
          <w:tcPr>
            <w:tcW w:w="90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(13)</w:t>
            </w:r>
          </w:p>
        </w:tc>
      </w:tr>
      <w:tr>
        <w:trPr>
          <w:trHeight w:val="168"/>
        </w:trPr>
        <w:tc>
          <w:tcPr>
            <w:tcW w:w="19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(18)</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(19) (21)</w:t>
            </w:r>
          </w:p>
        </w:tc>
      </w:tr>
      <w:tr>
        <w:trPr>
          <w:trHeight w:val="156"/>
        </w:trPr>
        <w:tc>
          <w:tcPr>
            <w:tcW w:w="496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- 0.01%*</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410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zSpace, Inc.</w:t>
            </w:r>
          </w:p>
        </w:tc>
        <w:tc>
          <w:tcPr>
            <w:tcW w:w="1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12/31/2020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81,046</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1,119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601</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496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- 0.12%*</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1,119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601</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61"/>
        </w:trPr>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 - 7.36%*</w:t>
            </w: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51,130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37,052</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 w:name="page10"/>
    <w:bookmarkEnd w:id="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2040" w:type="dxa"/>
            <w:vAlign w:val="bottom"/>
          </w:tcPr>
          <w:p>
            <w:pPr>
              <w:spacing w:after="0"/>
              <w:rPr>
                <w:sz w:val="12"/>
                <w:szCs w:val="12"/>
                <w:color w:val="auto"/>
              </w:rPr>
            </w:pPr>
          </w:p>
        </w:tc>
        <w:tc>
          <w:tcPr>
            <w:tcW w:w="960" w:type="dxa"/>
            <w:vAlign w:val="bottom"/>
          </w:tcPr>
          <w:p>
            <w:pPr>
              <w:ind w:left="22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820" w:type="dxa"/>
            <w:vAlign w:val="bottom"/>
          </w:tcPr>
          <w:p>
            <w:pPr>
              <w:ind w:left="6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tcPr>
          <w:p>
            <w:pPr>
              <w:jc w:val="center"/>
              <w:ind w:left="1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96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820" w:type="dxa"/>
            <w:vAlign w:val="bottom"/>
          </w:tcPr>
          <w:p>
            <w:pPr>
              <w:ind w:left="54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9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9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20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3DNA Corp. (dba</w:t>
            </w:r>
          </w:p>
        </w:tc>
        <w:tc>
          <w:tcPr>
            <w:tcW w:w="9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C-1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12/28/2018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12/28/2028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273,164</w:t>
            </w:r>
          </w:p>
        </w:tc>
        <w:tc>
          <w:tcPr>
            <w:tcW w:w="102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104</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2"/>
                <w:szCs w:val="12"/>
                <w:color w:val="auto"/>
              </w:rPr>
            </w:pPr>
          </w:p>
        </w:tc>
      </w:tr>
      <w:tr>
        <w:trPr>
          <w:trHeight w:val="168"/>
        </w:trPr>
        <w:tc>
          <w:tcPr>
            <w:tcW w:w="2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NationBuilder)</w:t>
            </w: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Airship Group, Inc.</w:t>
            </w: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F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6/28/2024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6/28/2034</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519,313</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414</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433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44"/>
        </w:trPr>
        <w:tc>
          <w:tcPr>
            <w:tcW w:w="20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Aria Systems, Inc.</w:t>
            </w:r>
          </w:p>
        </w:tc>
        <w:tc>
          <w:tcPr>
            <w:tcW w:w="9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G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6/29/2018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6/29/2028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2,387,70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1,048</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1,283</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2"/>
                <w:szCs w:val="12"/>
                <w:color w:val="auto"/>
              </w:rPr>
            </w:pPr>
          </w:p>
        </w:tc>
      </w:tr>
      <w:tr>
        <w:trPr>
          <w:trHeight w:val="168"/>
        </w:trPr>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Blueshift Labs, Inc.</w:t>
            </w: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12/19/2023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167</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196</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04"/>
        </w:trPr>
        <w:tc>
          <w:tcPr>
            <w:tcW w:w="204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r>
      <w:tr>
        <w:trPr>
          <w:trHeight w:val="144"/>
        </w:trPr>
        <w:tc>
          <w:tcPr>
            <w:tcW w:w="20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Circadence Corporation</w:t>
            </w:r>
          </w:p>
        </w:tc>
        <w:tc>
          <w:tcPr>
            <w:tcW w:w="9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A-6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12/20/2018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1,538,46</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3,630</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2"/>
                <w:szCs w:val="12"/>
                <w:color w:val="auto"/>
              </w:rPr>
            </w:pPr>
          </w:p>
        </w:tc>
      </w:tr>
      <w:tr>
        <w:trPr>
          <w:trHeight w:val="168"/>
        </w:trPr>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2040" w:type="dxa"/>
            <w:vAlign w:val="bottom"/>
            <w:shd w:val="clear" w:color="auto" w:fill="CFF0FC"/>
          </w:tcPr>
          <w:p>
            <w:pPr>
              <w:spacing w:after="0"/>
              <w:rPr>
                <w:sz w:val="13"/>
                <w:szCs w:val="13"/>
                <w:color w:val="auto"/>
              </w:rPr>
            </w:pP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10/31/2019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10/31/2029</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384,615</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846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204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12/21/2023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304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415</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FiscalNote, Inc.</w:t>
            </w: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Earnout</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7/29/2022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7/29/2027</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127</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 (20)</w:t>
            </w:r>
          </w:p>
        </w:tc>
      </w:tr>
      <w:tr>
        <w:trPr>
          <w:trHeight w:val="156"/>
        </w:trPr>
        <w:tc>
          <w:tcPr>
            <w:tcW w:w="2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Piano Software, Inc.</w:t>
            </w:r>
          </w:p>
        </w:tc>
        <w:tc>
          <w:tcPr>
            <w:tcW w:w="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12/31/2024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12/31/2034</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119,978</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348</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348</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Snap! Mobile, Inc.</w:t>
            </w: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9/30/2024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9/30/2034</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19,140</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345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387</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- 0.61%*</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7,333</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3,080</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Asset Management &amp; Custody Banks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Betterment Holdings, Inc.</w:t>
            </w: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10/6/2023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10/6/2033</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7,680</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204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10/6/2023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10/6/2033</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9,818</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48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Asset Management &amp; Custody Banks - 0.03%*</w:t>
            </w: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138</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Biotechnology</w:t>
            </w:r>
          </w:p>
        </w:tc>
        <w:tc>
          <w:tcPr>
            <w:tcW w:w="9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Mustang Bio, Inc.</w:t>
            </w:r>
          </w:p>
        </w:tc>
        <w:tc>
          <w:tcPr>
            <w:tcW w:w="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9"/>
              </w:rPr>
              <w:t>3/4/2022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3/4/2032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997</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315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(15)</w:t>
            </w:r>
          </w:p>
        </w:tc>
      </w:tr>
      <w:tr>
        <w:trPr>
          <w:trHeight w:val="156"/>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Biotechnology - 0.00%*</w:t>
            </w:r>
          </w:p>
        </w:tc>
        <w:tc>
          <w:tcPr>
            <w:tcW w:w="9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315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Elevate Services, Inc.</w:t>
            </w:r>
          </w:p>
        </w:tc>
        <w:tc>
          <w:tcPr>
            <w:tcW w:w="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7/10/2023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7/10/2033</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248,997</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447</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469</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2040" w:type="dxa"/>
            <w:vAlign w:val="bottom"/>
            <w:shd w:val="clear" w:color="auto" w:fill="CFF0FC"/>
          </w:tcPr>
          <w:p>
            <w:pPr>
              <w:spacing w:after="0"/>
              <w:rPr>
                <w:sz w:val="13"/>
                <w:szCs w:val="13"/>
                <w:color w:val="auto"/>
              </w:rPr>
            </w:pP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7/17/2024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7/17/2034</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236,550</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377</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2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6/24/2022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189,408</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219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44"/>
        </w:trPr>
        <w:tc>
          <w:tcPr>
            <w:tcW w:w="204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Predactiv, Inc. (fka Sharethis,</w:t>
            </w:r>
          </w:p>
        </w:tc>
        <w:tc>
          <w:tcPr>
            <w:tcW w:w="96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D-3 Preferred Stock</w:t>
            </w:r>
          </w:p>
        </w:tc>
        <w:tc>
          <w:tcPr>
            <w:tcW w:w="1040" w:type="dxa"/>
            <w:vAlign w:val="bottom"/>
            <w:shd w:val="clear" w:color="auto" w:fill="CFF0FC"/>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12/3/2018</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12/3/2028</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647,615</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2,162</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73</w:t>
            </w:r>
          </w:p>
        </w:tc>
        <w:tc>
          <w:tcPr>
            <w:tcW w:w="3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2"/>
                <w:szCs w:val="12"/>
                <w:color w:val="auto"/>
              </w:rPr>
            </w:pPr>
          </w:p>
        </w:tc>
      </w:tr>
      <w:tr>
        <w:trPr>
          <w:trHeight w:val="168"/>
        </w:trPr>
        <w:tc>
          <w:tcPr>
            <w:tcW w:w="2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Inc.)</w:t>
            </w:r>
          </w:p>
        </w:tc>
        <w:tc>
          <w:tcPr>
            <w:tcW w:w="9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61"/>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- 0.20%*</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3,205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999</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0" w:name="page11"/>
    <w:bookmarkEnd w:id="1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2000" w:type="dxa"/>
            <w:vAlign w:val="bottom"/>
          </w:tcPr>
          <w:p>
            <w:pPr>
              <w:spacing w:after="0"/>
              <w:rPr>
                <w:sz w:val="12"/>
                <w:szCs w:val="12"/>
                <w:color w:val="auto"/>
              </w:rPr>
            </w:pPr>
          </w:p>
        </w:tc>
        <w:tc>
          <w:tcPr>
            <w:tcW w:w="1000" w:type="dxa"/>
            <w:vAlign w:val="bottom"/>
          </w:tcPr>
          <w:p>
            <w:pPr>
              <w:ind w:left="2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820" w:type="dxa"/>
            <w:vAlign w:val="bottom"/>
          </w:tcPr>
          <w:p>
            <w:pPr>
              <w:ind w:left="6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tcPr>
          <w:p>
            <w:pPr>
              <w:jc w:val="center"/>
              <w:ind w:left="1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2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820" w:type="dxa"/>
            <w:vAlign w:val="bottom"/>
          </w:tcPr>
          <w:p>
            <w:pPr>
              <w:ind w:left="54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Brivo, Inc.</w:t>
            </w:r>
          </w:p>
        </w:tc>
        <w:tc>
          <w:tcPr>
            <w:tcW w:w="1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10/20/2022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10/20/2032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201,000</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98</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274</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spacing w:after="0"/>
              <w:rPr>
                <w:sz w:val="13"/>
                <w:szCs w:val="13"/>
                <w:color w:val="auto"/>
              </w:rPr>
            </w:pP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12/27/2024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12/27/2034</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32,109</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- 0.06%*</w:t>
            </w: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141</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318</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Equipment</w:t>
            </w:r>
          </w:p>
        </w:tc>
        <w:tc>
          <w:tcPr>
            <w:tcW w:w="10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Moximed, Inc.</w:t>
            </w: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6/24/2022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214,285</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175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17</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Equipment - 0.00%*</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175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0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3/30/2021</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5,320</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282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2000" w:type="dxa"/>
            <w:vAlign w:val="bottom"/>
          </w:tcPr>
          <w:p>
            <w:pPr>
              <w:spacing w:after="0"/>
              <w:rPr>
                <w:sz w:val="13"/>
                <w:szCs w:val="1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6/14/2022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1,851</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141</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2000" w:type="dxa"/>
            <w:vAlign w:val="bottom"/>
            <w:shd w:val="clear" w:color="auto" w:fill="CFF0FC"/>
          </w:tcPr>
          <w:p>
            <w:pPr>
              <w:spacing w:after="0"/>
              <w:rPr>
                <w:sz w:val="13"/>
                <w:szCs w:val="13"/>
                <w:color w:val="auto"/>
              </w:rPr>
            </w:pP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9/15/2022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9/15/2032</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1,850</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144</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2000" w:type="dxa"/>
            <w:vAlign w:val="bottom"/>
          </w:tcPr>
          <w:p>
            <w:pPr>
              <w:spacing w:after="0"/>
              <w:rPr>
                <w:sz w:val="13"/>
                <w:szCs w:val="1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Earnout</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9"/>
              </w:rPr>
              <w:t>8/2/2023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8/1/2028</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 (20)</w:t>
            </w: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EBR Systems, Inc.</w:t>
            </w: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6/30/2022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605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762</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(16) (20)</w:t>
            </w: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Mingle Healthcare Solutions,</w:t>
            </w:r>
          </w:p>
        </w:tc>
        <w:tc>
          <w:tcPr>
            <w:tcW w:w="100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CC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8/15/2018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8/15/2028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1,770,97</w:t>
            </w: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2"/>
                <w:szCs w:val="12"/>
                <w:color w:val="auto"/>
              </w:rPr>
            </w:pPr>
          </w:p>
        </w:tc>
      </w:tr>
      <w:tr>
        <w:trPr>
          <w:trHeight w:val="168"/>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Inc.</w:t>
            </w:r>
          </w:p>
        </w:tc>
        <w:tc>
          <w:tcPr>
            <w:tcW w:w="1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492</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Nalu Medical, Inc.</w:t>
            </w: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D-2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10/12/2022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10/12/2032</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91,717</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173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Onward Medical, N.V.</w:t>
            </w:r>
          </w:p>
        </w:tc>
        <w:tc>
          <w:tcPr>
            <w:tcW w:w="100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9/26/2034</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165,338</w:t>
            </w: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(8) (9) (13)</w:t>
            </w:r>
          </w:p>
        </w:tc>
      </w:tr>
      <w:tr>
        <w:trPr>
          <w:trHeight w:val="168"/>
        </w:trPr>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340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329</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(17)</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Route 92 Medical, Inc.</w:t>
            </w: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3/31/2025</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3/31/2035</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833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833</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6/29/2021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6/29/2031</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400,000</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217</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spacing w:after="0"/>
              <w:rPr>
                <w:sz w:val="13"/>
                <w:szCs w:val="13"/>
                <w:color w:val="auto"/>
              </w:rPr>
            </w:pP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12/29/2022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12/29/2032</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600,000</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74</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325</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VERO Biotech LLC</w:t>
            </w:r>
          </w:p>
        </w:tc>
        <w:tc>
          <w:tcPr>
            <w:tcW w:w="1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12/29/2020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12/29/2025</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377</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106</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30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- 0.53%*</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3,475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2,648</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CloudPay, Inc.</w:t>
            </w:r>
          </w:p>
        </w:tc>
        <w:tc>
          <w:tcPr>
            <w:tcW w:w="1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6/30/2020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11,273</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218</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1,275</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2000" w:type="dxa"/>
            <w:vAlign w:val="bottom"/>
            <w:shd w:val="clear" w:color="auto" w:fill="CFF0FC"/>
          </w:tcPr>
          <w:p>
            <w:pPr>
              <w:spacing w:after="0"/>
              <w:rPr>
                <w:sz w:val="13"/>
                <w:szCs w:val="13"/>
                <w:color w:val="auto"/>
              </w:rPr>
            </w:pP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8/17/2021</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3,502</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73</w:t>
            </w:r>
          </w:p>
        </w:tc>
        <w:tc>
          <w:tcPr>
            <w:tcW w:w="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2000" w:type="dxa"/>
            <w:vAlign w:val="bottom"/>
          </w:tcPr>
          <w:p>
            <w:pPr>
              <w:spacing w:after="0"/>
              <w:rPr>
                <w:sz w:val="13"/>
                <w:szCs w:val="1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9/26/2022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5,252</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176</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110</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00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B-1 Preferred Stock</w:t>
            </w:r>
          </w:p>
        </w:tc>
        <w:tc>
          <w:tcPr>
            <w:tcW w:w="1040" w:type="dxa"/>
            <w:vAlign w:val="bottom"/>
            <w:shd w:val="clear" w:color="auto" w:fill="CFF0FC"/>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9/29/2021</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9/29/2031</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763,269</w:t>
            </w:r>
          </w:p>
        </w:tc>
        <w:tc>
          <w:tcPr>
            <w:tcW w:w="102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343</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2"/>
                <w:szCs w:val="12"/>
                <w:color w:val="auto"/>
              </w:rPr>
            </w:pPr>
          </w:p>
        </w:tc>
      </w:tr>
      <w:tr>
        <w:trPr>
          <w:trHeight w:val="168"/>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Snagajob.com, Inc.)</w:t>
            </w:r>
          </w:p>
        </w:tc>
        <w:tc>
          <w:tcPr>
            <w:tcW w:w="100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- 0.29%*</w:t>
            </w: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789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1,458</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Madison Reed, Inc.</w:t>
            </w:r>
          </w:p>
        </w:tc>
        <w:tc>
          <w:tcPr>
            <w:tcW w:w="1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12/16/2022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209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195</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61"/>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- 0.04%*</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195</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 w:name="page12"/>
    <w:bookmarkEnd w:id="1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60" w:type="dxa"/>
            <w:vAlign w:val="bottom"/>
          </w:tcPr>
          <w:p>
            <w:pPr>
              <w:ind w:left="1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760" w:type="dxa"/>
            <w:vAlign w:val="bottom"/>
          </w:tcPr>
          <w:p>
            <w:pPr>
              <w:ind w:left="62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tcPr>
          <w:p>
            <w:pPr>
              <w:jc w:val="center"/>
              <w:ind w:left="1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9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760" w:type="dxa"/>
            <w:vAlign w:val="bottom"/>
          </w:tcPr>
          <w:p>
            <w:pPr>
              <w:ind w:left="48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9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96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Bombora, Inc.</w:t>
            </w: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3/31/2021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3/31/2031</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121,581</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174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127</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12/26/2023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12/26/2033</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48,632</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51</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CarNow, Inc.</w:t>
            </w: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3/22/2024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3/22/2034</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200,000</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2,400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2,593</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INRIX, Inc.</w:t>
            </w: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7/26/2019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7/26/2029</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150,804</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522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353</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8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JWP Holdco LLC (fka</w:t>
            </w:r>
          </w:p>
        </w:tc>
        <w:tc>
          <w:tcPr>
            <w:tcW w:w="9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Common Units</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12/12/2019</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12/12/2029</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167,827</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47</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Longtail Ad Solutions, Inc.)</w:t>
            </w: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Skillshare, Inc.</w:t>
            </w: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11/8/2022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301</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417</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 (20)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Synack, Inc.</w:t>
            </w: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12/29/2023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124,215</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158</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194</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- 0.74%*</w:t>
            </w: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3,645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3,735</w:t>
            </w: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96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Kin Insurance, Inc.</w:t>
            </w: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9/26/2022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62,364</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426</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301</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- 0.06%*</w:t>
            </w: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426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301</w:t>
            </w: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Specialized Consumer Services</w:t>
            </w:r>
          </w:p>
        </w:tc>
        <w:tc>
          <w:tcPr>
            <w:tcW w:w="96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AllClear ID, Inc.</w:t>
            </w: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8/31/2017</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8/31/2027</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870,514</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1,750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Credit Sesame, Inc.</w:t>
            </w: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w w:val="99"/>
              </w:rPr>
              <w:t>1/7/2020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1/7/2030</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191,601</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425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367</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Specialized Consumer Services - 0.07%*</w:t>
            </w: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2,175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367</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9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Dejero Labs Inc.</w:t>
            </w: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5/31/2019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5/31/2029</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333,621</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192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167</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(7) (9) (13)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Linxup, LLC</w:t>
            </w: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11/3/2023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11/3/2033</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253</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239</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 (20)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80" w:type="dxa"/>
            <w:vAlign w:val="bottom"/>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Scale Computing, Inc.</w:t>
            </w:r>
          </w:p>
        </w:tc>
        <w:tc>
          <w:tcPr>
            <w:tcW w:w="9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3/29/2019</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3/29/2029</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9,665,66</w:t>
            </w:r>
          </w:p>
        </w:tc>
        <w:tc>
          <w:tcPr>
            <w:tcW w:w="102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346</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w:t>
            </w: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System Software - 0.08%*</w:t>
            </w: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791</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406</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gridSpan w:val="2"/>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RealWear, Inc.</w:t>
            </w: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10/5/2018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10/5/2028</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73,746</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89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145</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10/5/2018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10/5/2028</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38,705</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47</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12/28/2018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14,749</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12/28/2018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7,742</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6/27/2019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6/27/2029</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81,251</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250</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78</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6/27/2019</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6/27/2029</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42,643</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131</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- 0.05%*</w:t>
            </w: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542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257</w:t>
            </w: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Warrants - 2.76%*</w:t>
            </w:r>
          </w:p>
        </w:tc>
        <w:tc>
          <w:tcPr>
            <w:tcW w:w="96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23,296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13,919</w:t>
            </w: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800" w:type="dxa"/>
            <w:vAlign w:val="bottom"/>
            <w:gridSpan w:val="3"/>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Non-Control/Non-Affiliate Investments - 198.16%*</w:t>
            </w: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1,039,965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997,359</w:t>
            </w: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 w:name="page13"/>
    <w:bookmarkEnd w:id="1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March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ind w:left="1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760" w:type="dxa"/>
            <w:vAlign w:val="bottom"/>
          </w:tcPr>
          <w:p>
            <w:pPr>
              <w:ind w:left="6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60" w:type="dxa"/>
            <w:vAlign w:val="bottom"/>
          </w:tcPr>
          <w:p>
            <w:pPr>
              <w:jc w:val="center"/>
              <w:ind w:left="7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1920" w:type="dxa"/>
            <w:vAlign w:val="bottom"/>
            <w:gridSpan w:val="3"/>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Maturity   Principal ($)</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760" w:type="dxa"/>
            <w:vAlign w:val="bottom"/>
          </w:tcPr>
          <w:p>
            <w:pPr>
              <w:ind w:left="52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6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4"/>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Value ($) </w:t>
            </w:r>
            <w:r>
              <w:rPr>
                <w:rFonts w:ascii="Times New Roman" w:cs="Times New Roman" w:eastAsia="Times New Roman" w:hAnsi="Times New Roman"/>
                <w:sz w:val="16"/>
                <w:szCs w:val="16"/>
                <w:b w:val="1"/>
                <w:bCs w:val="1"/>
                <w:color w:val="auto"/>
                <w:w w:val="99"/>
                <w:vertAlign w:val="superscript"/>
              </w:rPr>
              <w:t>(3)</w:t>
            </w:r>
          </w:p>
        </w:tc>
        <w:tc>
          <w:tcPr>
            <w:tcW w:w="9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Coginiti Corp</w:t>
            </w:r>
          </w:p>
        </w:tc>
        <w:tc>
          <w:tcPr>
            <w:tcW w:w="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06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w w:val="99"/>
              </w:rPr>
              <w:t>3/9/2020</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1,040,160</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 - 0.00%*</w:t>
            </w: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Coginiti Corp</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06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w w:val="99"/>
              </w:rPr>
              <w:t>3/9/2020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3/9/2030</w:t>
            </w:r>
          </w:p>
        </w:tc>
        <w:tc>
          <w:tcPr>
            <w:tcW w:w="96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811,770</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Warrants - 0.00%*</w:t>
            </w: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 - 0.00%*</w:t>
            </w:r>
          </w:p>
        </w:tc>
        <w:tc>
          <w:tcPr>
            <w:tcW w:w="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6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Pivot3, Inc.</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100% Equity Interest</w:t>
            </w:r>
          </w:p>
        </w:tc>
        <w:tc>
          <w:tcPr>
            <w:tcW w:w="106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12/31/2023</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1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- 0.20%*</w:t>
            </w: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Multi-Sector Holdings</w:t>
            </w: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Runway-Cadma I LLC</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50% Equity Interest</w:t>
            </w:r>
          </w:p>
        </w:tc>
        <w:tc>
          <w:tcPr>
            <w:tcW w:w="1060" w:type="dxa"/>
            <w:vAlign w:val="bottom"/>
            <w:shd w:val="clear" w:color="auto" w:fill="CFF0FC"/>
          </w:tcPr>
          <w:p>
            <w:pPr>
              <w:jc w:val="center"/>
              <w:ind w:left="94"/>
              <w:spacing w:after="0"/>
              <w:rPr>
                <w:sz w:val="20"/>
                <w:szCs w:val="20"/>
                <w:color w:val="auto"/>
              </w:rPr>
            </w:pPr>
            <w:r>
              <w:rPr>
                <w:rFonts w:ascii="Times New Roman" w:cs="Times New Roman" w:eastAsia="Times New Roman" w:hAnsi="Times New Roman"/>
                <w:sz w:val="13"/>
                <w:szCs w:val="13"/>
                <w:color w:val="auto"/>
                <w:w w:val="99"/>
              </w:rPr>
              <w:t>3/6/2024</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1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Multi-Sector Holdings - 1.17%*</w:t>
            </w: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 - 1.37%*</w:t>
            </w: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 - 1.37%*</w:t>
            </w: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 Investments - 199.53%*</w:t>
            </w:r>
          </w:p>
        </w:tc>
        <w:tc>
          <w:tcPr>
            <w:tcW w:w="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1,051,066</w:t>
            </w:r>
          </w:p>
        </w:tc>
        <w:tc>
          <w:tcPr>
            <w:tcW w:w="3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1,004,233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3" w:name="page14"/>
    <w:bookmarkEnd w:id="1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March 31,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w:t>
      </w:r>
    </w:p>
    <w:p>
      <w:pPr>
        <w:ind w:left="400" w:right="40"/>
        <w:spacing w:after="0" w:line="222" w:lineRule="auto"/>
        <w:rPr>
          <w:sz w:val="20"/>
          <w:szCs w:val="20"/>
          <w:color w:val="auto"/>
        </w:rPr>
      </w:pPr>
      <w:r>
        <w:rPr>
          <w:rFonts w:ascii="Times New Roman" w:cs="Times New Roman" w:eastAsia="Times New Roman" w:hAnsi="Times New Roman"/>
          <w:sz w:val="13"/>
          <w:szCs w:val="13"/>
          <w:color w:val="auto"/>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March 31, 2025, the U.S. Prime Rate was 7.50%, the 1-Month SOFR was 4.32%, and the 3-Month SOFR was 4.29%.</w:t>
      </w:r>
    </w:p>
    <w:p>
      <w:pPr>
        <w:spacing w:after="0" w:line="185" w:lineRule="auto"/>
        <w:rPr>
          <w:sz w:val="20"/>
          <w:szCs w:val="20"/>
          <w:color w:val="auto"/>
        </w:rPr>
      </w:pPr>
      <w:r>
        <w:rPr>
          <w:rFonts w:ascii="Times New Roman" w:cs="Times New Roman" w:eastAsia="Times New Roman" w:hAnsi="Times New Roman"/>
          <w:sz w:val="6"/>
          <w:szCs w:val="6"/>
          <w:color w:val="auto"/>
        </w:rPr>
        <w:t>(2)</w:t>
      </w:r>
    </w:p>
    <w:p>
      <w:pPr>
        <w:ind w:left="400" w:right="120"/>
        <w:spacing w:after="0" w:line="222" w:lineRule="auto"/>
        <w:rPr>
          <w:sz w:val="20"/>
          <w:szCs w:val="20"/>
          <w:color w:val="auto"/>
        </w:rPr>
      </w:pP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p>
      <w:pPr>
        <w:spacing w:after="0" w:line="185" w:lineRule="auto"/>
        <w:rPr>
          <w:sz w:val="20"/>
          <w:szCs w:val="20"/>
          <w:color w:val="auto"/>
        </w:rPr>
      </w:pPr>
      <w:r>
        <w:rPr>
          <w:rFonts w:ascii="Times New Roman" w:cs="Times New Roman" w:eastAsia="Times New Roman" w:hAnsi="Times New Roman"/>
          <w:sz w:val="6"/>
          <w:szCs w:val="6"/>
          <w:color w:val="auto"/>
        </w:rPr>
        <w:t>(3)</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Investments are held at Fair Value net of the Fair Value of Unfunded Commitments. Refer to "Note 8 – Commitments and Contingencies" for additional detail.</w:t>
      </w:r>
    </w:p>
    <w:p>
      <w:pPr>
        <w:spacing w:after="0" w:line="185" w:lineRule="auto"/>
        <w:rPr>
          <w:sz w:val="20"/>
          <w:szCs w:val="20"/>
          <w:color w:val="auto"/>
        </w:rPr>
      </w:pPr>
      <w:r>
        <w:rPr>
          <w:rFonts w:ascii="Times New Roman" w:cs="Times New Roman" w:eastAsia="Times New Roman" w:hAnsi="Times New Roman"/>
          <w:sz w:val="6"/>
          <w:szCs w:val="6"/>
          <w:color w:val="auto"/>
        </w:rPr>
        <w:t>(4)</w:t>
      </w:r>
    </w:p>
    <w:p>
      <w:pPr>
        <w:ind w:left="400"/>
        <w:spacing w:after="0" w:line="195" w:lineRule="auto"/>
        <w:rPr>
          <w:sz w:val="20"/>
          <w:szCs w:val="20"/>
          <w:color w:val="auto"/>
        </w:rPr>
      </w:pPr>
      <w:r>
        <w:rPr>
          <w:rFonts w:ascii="Times New Roman" w:cs="Times New Roman" w:eastAsia="Times New Roman" w:hAnsi="Times New Roman"/>
          <w:sz w:val="11"/>
          <w:szCs w:val="11"/>
          <w:color w:val="auto"/>
        </w:rPr>
        <w:t>All portfolio companies are domiciled in the United States, unless otherwise noted.</w:t>
      </w:r>
    </w:p>
    <w:p>
      <w:pPr>
        <w:spacing w:after="0" w:line="186" w:lineRule="auto"/>
        <w:rPr>
          <w:sz w:val="20"/>
          <w:szCs w:val="20"/>
          <w:color w:val="auto"/>
        </w:rPr>
      </w:pPr>
      <w:r>
        <w:rPr>
          <w:rFonts w:ascii="Times New Roman" w:cs="Times New Roman" w:eastAsia="Times New Roman" w:hAnsi="Times New Roman"/>
          <w:sz w:val="6"/>
          <w:szCs w:val="6"/>
          <w:color w:val="auto"/>
        </w:rPr>
        <w:t>(5)</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United Kingdom. Fair value of United-Kingdom domiciled investments represents 5.87% of net assets.</w:t>
      </w:r>
    </w:p>
    <w:p>
      <w:pPr>
        <w:spacing w:after="0" w:line="185" w:lineRule="auto"/>
        <w:rPr>
          <w:sz w:val="20"/>
          <w:szCs w:val="20"/>
          <w:color w:val="auto"/>
        </w:rPr>
      </w:pPr>
      <w:r>
        <w:rPr>
          <w:rFonts w:ascii="Times New Roman" w:cs="Times New Roman" w:eastAsia="Times New Roman" w:hAnsi="Times New Roman"/>
          <w:sz w:val="6"/>
          <w:szCs w:val="6"/>
          <w:color w:val="auto"/>
        </w:rPr>
        <w:t>(6)</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Germany. Fair value of Germany domiciled investments represents 6.67% of net assets.</w:t>
      </w:r>
    </w:p>
    <w:p>
      <w:pPr>
        <w:spacing w:after="0" w:line="185" w:lineRule="auto"/>
        <w:rPr>
          <w:sz w:val="20"/>
          <w:szCs w:val="20"/>
          <w:color w:val="auto"/>
        </w:rPr>
      </w:pPr>
      <w:r>
        <w:rPr>
          <w:rFonts w:ascii="Times New Roman" w:cs="Times New Roman" w:eastAsia="Times New Roman" w:hAnsi="Times New Roman"/>
          <w:sz w:val="6"/>
          <w:szCs w:val="6"/>
          <w:color w:val="auto"/>
        </w:rPr>
        <w:t>(7)</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Canada. Fair value of Canadian domiciled investments represents 2.92% of net assets.</w:t>
      </w:r>
    </w:p>
    <w:p>
      <w:pPr>
        <w:spacing w:after="0" w:line="185" w:lineRule="auto"/>
        <w:rPr>
          <w:sz w:val="20"/>
          <w:szCs w:val="20"/>
          <w:color w:val="auto"/>
        </w:rPr>
      </w:pPr>
      <w:r>
        <w:rPr>
          <w:rFonts w:ascii="Times New Roman" w:cs="Times New Roman" w:eastAsia="Times New Roman" w:hAnsi="Times New Roman"/>
          <w:sz w:val="6"/>
          <w:szCs w:val="6"/>
          <w:color w:val="auto"/>
        </w:rPr>
        <w:t>(8)</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Netherlands. Fair value of Dutch domiciled investments represents 3.44% of net assets.</w:t>
      </w:r>
    </w:p>
    <w:p>
      <w:pPr>
        <w:spacing w:after="0" w:line="186" w:lineRule="auto"/>
        <w:rPr>
          <w:sz w:val="20"/>
          <w:szCs w:val="20"/>
          <w:color w:val="auto"/>
        </w:rPr>
      </w:pPr>
      <w:r>
        <w:rPr>
          <w:rFonts w:ascii="Times New Roman" w:cs="Times New Roman" w:eastAsia="Times New Roman" w:hAnsi="Times New Roman"/>
          <w:sz w:val="6"/>
          <w:szCs w:val="6"/>
          <w:color w:val="auto"/>
        </w:rPr>
        <w:t>(9)</w:t>
      </w:r>
    </w:p>
    <w:p>
      <w:pPr>
        <w:jc w:val="both"/>
        <w:ind w:left="400"/>
        <w:spacing w:after="0" w:line="229" w:lineRule="auto"/>
        <w:rPr>
          <w:sz w:val="20"/>
          <w:szCs w:val="20"/>
          <w:color w:val="auto"/>
        </w:rPr>
      </w:pPr>
      <w:r>
        <w:rPr>
          <w:rFonts w:ascii="Times New Roman" w:cs="Times New Roman" w:eastAsia="Times New Roman" w:hAnsi="Times New Roman"/>
          <w:sz w:val="13"/>
          <w:szCs w:val="13"/>
          <w:color w:val="auto"/>
        </w:rPr>
        <w:t>Investment is not a qualifying investment as defined under Section 55(a) of the Investment Company Act of 1940, as amended. The fair value of non-qualifying assets represents 9.78% of total assets as of March 31, 2025. Qualifying assets must represent at least 70% of total assets at the time of acquisition of any additional non- 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86" w:lineRule="auto"/>
        <w:rPr>
          <w:sz w:val="20"/>
          <w:szCs w:val="20"/>
          <w:color w:val="auto"/>
        </w:rPr>
      </w:pPr>
      <w:r>
        <w:rPr>
          <w:rFonts w:ascii="Times New Roman" w:cs="Times New Roman" w:eastAsia="Times New Roman" w:hAnsi="Times New Roman"/>
          <w:sz w:val="6"/>
          <w:szCs w:val="6"/>
          <w:color w:val="auto"/>
        </w:rPr>
        <w:t>(10)</w:t>
      </w:r>
    </w:p>
    <w:p>
      <w:pPr>
        <w:ind w:left="400"/>
        <w:spacing w:after="0" w:line="195" w:lineRule="auto"/>
        <w:rPr>
          <w:sz w:val="20"/>
          <w:szCs w:val="20"/>
          <w:color w:val="auto"/>
        </w:rPr>
      </w:pPr>
      <w:r>
        <w:rPr>
          <w:rFonts w:ascii="Times New Roman" w:cs="Times New Roman" w:eastAsia="Times New Roman" w:hAnsi="Times New Roman"/>
          <w:sz w:val="11"/>
          <w:szCs w:val="11"/>
          <w:color w:val="auto"/>
        </w:rPr>
        <w:t>Represents a PIK security. PIK interest will be accrued and paid at maturity. For any investments denoting a "cash cap", any interest above such cap will be recorded as PIK interest.</w:t>
      </w:r>
    </w:p>
    <w:p>
      <w:pPr>
        <w:spacing w:after="0" w:line="185" w:lineRule="auto"/>
        <w:rPr>
          <w:sz w:val="20"/>
          <w:szCs w:val="20"/>
          <w:color w:val="auto"/>
        </w:rPr>
      </w:pPr>
      <w:r>
        <w:rPr>
          <w:rFonts w:ascii="Times New Roman" w:cs="Times New Roman" w:eastAsia="Times New Roman" w:hAnsi="Times New Roman"/>
          <w:sz w:val="6"/>
          <w:szCs w:val="6"/>
          <w:color w:val="auto"/>
        </w:rPr>
        <w:t>(11)</w:t>
      </w:r>
    </w:p>
    <w:p>
      <w:pPr>
        <w:ind w:left="400"/>
        <w:spacing w:after="0" w:line="195" w:lineRule="auto"/>
        <w:rPr>
          <w:sz w:val="20"/>
          <w:szCs w:val="20"/>
          <w:color w:val="auto"/>
        </w:rPr>
      </w:pPr>
      <w:r>
        <w:rPr>
          <w:rFonts w:ascii="Times New Roman" w:cs="Times New Roman" w:eastAsia="Times New Roman" w:hAnsi="Times New Roman"/>
          <w:sz w:val="11"/>
          <w:szCs w:val="11"/>
          <w:color w:val="auto"/>
        </w:rPr>
        <w:t>Disclosures of end-of-term payments ("ETP") are one-time payments stated as a percentage of principal amount.</w:t>
      </w:r>
    </w:p>
    <w:p>
      <w:pPr>
        <w:spacing w:after="0" w:line="186" w:lineRule="auto"/>
        <w:rPr>
          <w:sz w:val="20"/>
          <w:szCs w:val="20"/>
          <w:color w:val="auto"/>
        </w:rPr>
      </w:pPr>
      <w:r>
        <w:rPr>
          <w:rFonts w:ascii="Times New Roman" w:cs="Times New Roman" w:eastAsia="Times New Roman" w:hAnsi="Times New Roman"/>
          <w:sz w:val="6"/>
          <w:szCs w:val="6"/>
          <w:color w:val="auto"/>
        </w:rPr>
        <w:t>(12)</w:t>
      </w:r>
    </w:p>
    <w:p>
      <w:pPr>
        <w:ind w:left="400"/>
        <w:spacing w:after="0" w:line="195" w:lineRule="auto"/>
        <w:rPr>
          <w:sz w:val="20"/>
          <w:szCs w:val="20"/>
          <w:color w:val="auto"/>
        </w:rPr>
      </w:pPr>
      <w:r>
        <w:rPr>
          <w:rFonts w:ascii="Times New Roman" w:cs="Times New Roman" w:eastAsia="Times New Roman" w:hAnsi="Times New Roman"/>
          <w:sz w:val="11"/>
          <w:szCs w:val="11"/>
          <w:color w:val="auto"/>
        </w:rPr>
        <w:t>The investment is an eligible loan investment in the collateral under the Credit Facility (as defined in "Note 7 – Borrowings").</w:t>
      </w:r>
    </w:p>
    <w:p>
      <w:pPr>
        <w:spacing w:after="0" w:line="185" w:lineRule="auto"/>
        <w:rPr>
          <w:sz w:val="20"/>
          <w:szCs w:val="20"/>
          <w:color w:val="auto"/>
        </w:rPr>
      </w:pPr>
      <w:r>
        <w:rPr>
          <w:rFonts w:ascii="Times New Roman" w:cs="Times New Roman" w:eastAsia="Times New Roman" w:hAnsi="Times New Roman"/>
          <w:sz w:val="6"/>
          <w:szCs w:val="6"/>
          <w:color w:val="auto"/>
        </w:rPr>
        <w:t>(13)</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Investments are non-income producing.</w:t>
      </w:r>
    </w:p>
    <w:p>
      <w:pPr>
        <w:spacing w:after="0" w:line="185" w:lineRule="auto"/>
        <w:rPr>
          <w:sz w:val="20"/>
          <w:szCs w:val="20"/>
          <w:color w:val="auto"/>
        </w:rPr>
      </w:pPr>
      <w:r>
        <w:rPr>
          <w:rFonts w:ascii="Times New Roman" w:cs="Times New Roman" w:eastAsia="Times New Roman" w:hAnsi="Times New Roman"/>
          <w:sz w:val="6"/>
          <w:szCs w:val="6"/>
          <w:color w:val="auto"/>
        </w:rPr>
        <w:t>(14)</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NYSE.</w:t>
      </w:r>
    </w:p>
    <w:p>
      <w:pPr>
        <w:spacing w:after="0" w:line="186" w:lineRule="auto"/>
        <w:rPr>
          <w:sz w:val="20"/>
          <w:szCs w:val="20"/>
          <w:color w:val="auto"/>
        </w:rPr>
      </w:pPr>
      <w:r>
        <w:rPr>
          <w:rFonts w:ascii="Times New Roman" w:cs="Times New Roman" w:eastAsia="Times New Roman" w:hAnsi="Times New Roman"/>
          <w:sz w:val="6"/>
          <w:szCs w:val="6"/>
          <w:color w:val="auto"/>
        </w:rPr>
        <w:t>(15)</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NASDAQ.</w:t>
      </w:r>
    </w:p>
    <w:p>
      <w:pPr>
        <w:spacing w:after="0" w:line="185" w:lineRule="auto"/>
        <w:rPr>
          <w:sz w:val="20"/>
          <w:szCs w:val="20"/>
          <w:color w:val="auto"/>
        </w:rPr>
      </w:pPr>
      <w:r>
        <w:rPr>
          <w:rFonts w:ascii="Times New Roman" w:cs="Times New Roman" w:eastAsia="Times New Roman" w:hAnsi="Times New Roman"/>
          <w:sz w:val="6"/>
          <w:szCs w:val="6"/>
          <w:color w:val="auto"/>
        </w:rPr>
        <w:t>(16)</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Australian Stock Exchange.</w:t>
      </w:r>
    </w:p>
    <w:p>
      <w:pPr>
        <w:spacing w:after="0" w:line="185" w:lineRule="auto"/>
        <w:rPr>
          <w:sz w:val="20"/>
          <w:szCs w:val="20"/>
          <w:color w:val="auto"/>
        </w:rPr>
      </w:pPr>
      <w:r>
        <w:rPr>
          <w:rFonts w:ascii="Times New Roman" w:cs="Times New Roman" w:eastAsia="Times New Roman" w:hAnsi="Times New Roman"/>
          <w:sz w:val="6"/>
          <w:szCs w:val="6"/>
          <w:color w:val="auto"/>
        </w:rPr>
        <w:t>(17)</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Euronext.</w:t>
      </w:r>
    </w:p>
    <w:p>
      <w:pPr>
        <w:spacing w:after="0" w:line="186" w:lineRule="auto"/>
        <w:rPr>
          <w:sz w:val="20"/>
          <w:szCs w:val="20"/>
          <w:color w:val="auto"/>
        </w:rPr>
      </w:pPr>
      <w:r>
        <w:rPr>
          <w:rFonts w:ascii="Times New Roman" w:cs="Times New Roman" w:eastAsia="Times New Roman" w:hAnsi="Times New Roman"/>
          <w:sz w:val="6"/>
          <w:szCs w:val="6"/>
          <w:color w:val="auto"/>
        </w:rPr>
        <w:t>(18)</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Deutsche Borse Xetra.</w:t>
      </w:r>
    </w:p>
    <w:p>
      <w:pPr>
        <w:spacing w:after="0" w:line="185" w:lineRule="auto"/>
        <w:rPr>
          <w:sz w:val="20"/>
          <w:szCs w:val="20"/>
          <w:color w:val="auto"/>
        </w:rPr>
      </w:pPr>
      <w:r>
        <w:rPr>
          <w:rFonts w:ascii="Times New Roman" w:cs="Times New Roman" w:eastAsia="Times New Roman" w:hAnsi="Times New Roman"/>
          <w:sz w:val="6"/>
          <w:szCs w:val="6"/>
          <w:color w:val="auto"/>
        </w:rPr>
        <w:t>(19)</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not a "restricted security" under the Securities Act.</w:t>
      </w:r>
    </w:p>
    <w:p>
      <w:pPr>
        <w:spacing w:after="0" w:line="185" w:lineRule="auto"/>
        <w:rPr>
          <w:sz w:val="20"/>
          <w:szCs w:val="20"/>
          <w:color w:val="auto"/>
        </w:rPr>
      </w:pPr>
      <w:r>
        <w:rPr>
          <w:rFonts w:ascii="Times New Roman" w:cs="Times New Roman" w:eastAsia="Times New Roman" w:hAnsi="Times New Roman"/>
          <w:sz w:val="6"/>
          <w:szCs w:val="6"/>
          <w:color w:val="auto"/>
        </w:rPr>
        <w:t>(20)</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either a cash success fee payable or earnout of shares based on the consummation of certain trigger events.</w:t>
      </w:r>
    </w:p>
    <w:p>
      <w:pPr>
        <w:spacing w:after="0" w:line="185" w:lineRule="auto"/>
        <w:rPr>
          <w:sz w:val="20"/>
          <w:szCs w:val="20"/>
          <w:color w:val="auto"/>
        </w:rPr>
      </w:pPr>
      <w:r>
        <w:rPr>
          <w:rFonts w:ascii="Times New Roman" w:cs="Times New Roman" w:eastAsia="Times New Roman" w:hAnsi="Times New Roman"/>
          <w:sz w:val="6"/>
          <w:szCs w:val="6"/>
          <w:color w:val="auto"/>
        </w:rPr>
        <w:t>(21)</w:t>
      </w:r>
    </w:p>
    <w:p>
      <w:pPr>
        <w:jc w:val="both"/>
        <w:ind w:left="400" w:right="200"/>
        <w:spacing w:after="0" w:line="222" w:lineRule="auto"/>
        <w:rPr>
          <w:sz w:val="20"/>
          <w:szCs w:val="20"/>
          <w:color w:val="auto"/>
        </w:rPr>
      </w:pPr>
      <w:r>
        <w:rPr>
          <w:rFonts w:ascii="Times New Roman" w:cs="Times New Roman" w:eastAsia="Times New Roman" w:hAnsi="Times New Roman"/>
          <w:sz w:val="13"/>
          <w:szCs w:val="13"/>
          <w:color w:val="auto"/>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spacing w:after="0" w:line="185" w:lineRule="auto"/>
        <w:rPr>
          <w:sz w:val="20"/>
          <w:szCs w:val="20"/>
          <w:color w:val="auto"/>
        </w:rPr>
      </w:pPr>
      <w:r>
        <w:rPr>
          <w:rFonts w:ascii="Times New Roman" w:cs="Times New Roman" w:eastAsia="Times New Roman" w:hAnsi="Times New Roman"/>
          <w:sz w:val="6"/>
          <w:szCs w:val="6"/>
          <w:color w:val="auto"/>
        </w:rPr>
        <w:t>(22)</w:t>
      </w:r>
    </w:p>
    <w:p>
      <w:pPr>
        <w:ind w:left="400" w:right="140"/>
        <w:spacing w:after="0" w:line="207" w:lineRule="auto"/>
        <w:rPr>
          <w:sz w:val="20"/>
          <w:szCs w:val="20"/>
          <w:color w:val="auto"/>
        </w:rPr>
      </w:pPr>
      <w:r>
        <w:rPr>
          <w:rFonts w:ascii="Times New Roman" w:cs="Times New Roman" w:eastAsia="Times New Roman" w:hAnsi="Times New Roman"/>
          <w:sz w:val="13"/>
          <w:szCs w:val="13"/>
          <w:color w:val="auto"/>
        </w:rPr>
        <w:t>Investment represents a security with a tiered fee that increases quarterly, dependent upon the timing of repayment. Such fees are recorded in "Fee income" on the Consolidated Statements of Operations.</w:t>
      </w:r>
    </w:p>
    <w:p>
      <w:pPr>
        <w:spacing w:after="0" w:line="188" w:lineRule="auto"/>
        <w:rPr>
          <w:sz w:val="20"/>
          <w:szCs w:val="20"/>
          <w:color w:val="auto"/>
        </w:rPr>
      </w:pPr>
      <w:r>
        <w:rPr>
          <w:rFonts w:ascii="Times New Roman" w:cs="Times New Roman" w:eastAsia="Times New Roman" w:hAnsi="Times New Roman"/>
          <w:sz w:val="6"/>
          <w:szCs w:val="6"/>
          <w:color w:val="auto"/>
        </w:rPr>
        <w:t>(23)</w:t>
      </w:r>
    </w:p>
    <w:p>
      <w:pPr>
        <w:ind w:left="400" w:right="160"/>
        <w:spacing w:after="0" w:line="207" w:lineRule="auto"/>
        <w:rPr>
          <w:sz w:val="20"/>
          <w:szCs w:val="20"/>
          <w:color w:val="auto"/>
        </w:rPr>
      </w:pPr>
      <w:r>
        <w:rPr>
          <w:rFonts w:ascii="Times New Roman" w:cs="Times New Roman" w:eastAsia="Times New Roman" w:hAnsi="Times New Roman"/>
          <w:sz w:val="13"/>
          <w:szCs w:val="13"/>
          <w:color w:val="auto"/>
        </w:rPr>
        <w:t>The assets recovered on the senior secured term loan to Pivot3, Inc. were contributed to P3 Holdco LLC by the Company, a wholly owned subsidiary of the Company. For more information, refer to "Note 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Summary of Significant Accounting Policies, Principles of Consolidation".</w:t>
      </w:r>
    </w:p>
    <w:p>
      <w:pPr>
        <w:spacing w:after="0" w:line="186" w:lineRule="auto"/>
        <w:rPr>
          <w:sz w:val="20"/>
          <w:szCs w:val="20"/>
          <w:color w:val="auto"/>
        </w:rPr>
      </w:pPr>
      <w:r>
        <w:rPr>
          <w:rFonts w:ascii="Times New Roman" w:cs="Times New Roman" w:eastAsia="Times New Roman" w:hAnsi="Times New Roman"/>
          <w:sz w:val="6"/>
          <w:szCs w:val="6"/>
          <w:color w:val="auto"/>
        </w:rPr>
        <w:t>(24)</w:t>
      </w:r>
    </w:p>
    <w:p>
      <w:pPr>
        <w:ind w:left="400" w:right="380"/>
        <w:spacing w:after="0" w:line="207" w:lineRule="auto"/>
        <w:rPr>
          <w:sz w:val="20"/>
          <w:szCs w:val="20"/>
          <w:color w:val="auto"/>
        </w:rPr>
      </w:pPr>
      <w:r>
        <w:rPr>
          <w:rFonts w:ascii="Times New Roman" w:cs="Times New Roman" w:eastAsia="Times New Roman" w:hAnsi="Times New Roman"/>
          <w:sz w:val="13"/>
          <w:szCs w:val="13"/>
          <w:color w:val="auto"/>
        </w:rPr>
        <w:t>Affiliate portfolio company as defined under the 1940 Act in which the Company owns between 5% and 25% (inclusive) of the investment's voting securities and does not have rights to maintain greater than 50% representation on the board.</w:t>
      </w:r>
    </w:p>
    <w:p>
      <w:pPr>
        <w:spacing w:after="0" w:line="188" w:lineRule="auto"/>
        <w:rPr>
          <w:sz w:val="20"/>
          <w:szCs w:val="20"/>
          <w:color w:val="auto"/>
        </w:rPr>
      </w:pPr>
      <w:r>
        <w:rPr>
          <w:rFonts w:ascii="Times New Roman" w:cs="Times New Roman" w:eastAsia="Times New Roman" w:hAnsi="Times New Roman"/>
          <w:sz w:val="6"/>
          <w:szCs w:val="6"/>
          <w:color w:val="auto"/>
        </w:rPr>
        <w:t>(25)</w:t>
      </w:r>
    </w:p>
    <w:p>
      <w:pPr>
        <w:ind w:left="400" w:right="360"/>
        <w:spacing w:after="0" w:line="246" w:lineRule="auto"/>
        <w:rPr>
          <w:sz w:val="20"/>
          <w:szCs w:val="20"/>
          <w:color w:val="auto"/>
        </w:rPr>
      </w:pPr>
      <w:r>
        <w:rPr>
          <w:rFonts w:ascii="Times New Roman" w:cs="Times New Roman" w:eastAsia="Times New Roman" w:hAnsi="Times New Roman"/>
          <w:sz w:val="13"/>
          <w:szCs w:val="13"/>
          <w:color w:val="auto"/>
        </w:rPr>
        <w:t>Control portfolio company, as defined under the 1940 Act, in which the Company owns more than 25% of the investment’s voting securities or has greater than 50% representation on its board.</w:t>
      </w:r>
    </w:p>
    <w:p>
      <w:pPr>
        <w:spacing w:after="0" w:line="186" w:lineRule="auto"/>
        <w:rPr>
          <w:sz w:val="20"/>
          <w:szCs w:val="20"/>
          <w:color w:val="auto"/>
        </w:rPr>
      </w:pPr>
      <w:r>
        <w:rPr>
          <w:rFonts w:ascii="Times New Roman" w:cs="Times New Roman" w:eastAsia="Times New Roman" w:hAnsi="Times New Roman"/>
          <w:sz w:val="6"/>
          <w:szCs w:val="6"/>
          <w:color w:val="auto"/>
        </w:rPr>
        <w:t>(26)</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on non-accrual status as of March 31, 2025 and is therefore considered non-income producing.</w:t>
      </w:r>
    </w:p>
    <w:p>
      <w:pPr>
        <w:spacing w:after="0" w:line="185" w:lineRule="auto"/>
        <w:rPr>
          <w:sz w:val="20"/>
          <w:szCs w:val="20"/>
          <w:color w:val="auto"/>
        </w:rPr>
      </w:pPr>
      <w:r>
        <w:rPr>
          <w:rFonts w:ascii="Times New Roman" w:cs="Times New Roman" w:eastAsia="Times New Roman" w:hAnsi="Times New Roman"/>
          <w:sz w:val="6"/>
          <w:szCs w:val="6"/>
          <w:color w:val="auto"/>
        </w:rPr>
        <w:t>(27)</w:t>
      </w:r>
    </w:p>
    <w:p>
      <w:pPr>
        <w:ind w:left="400"/>
        <w:spacing w:after="0" w:line="195" w:lineRule="auto"/>
        <w:rPr>
          <w:sz w:val="20"/>
          <w:szCs w:val="20"/>
          <w:color w:val="auto"/>
        </w:rPr>
      </w:pPr>
      <w:r>
        <w:rPr>
          <w:rFonts w:ascii="Times New Roman" w:cs="Times New Roman" w:eastAsia="Times New Roman" w:hAnsi="Times New Roman"/>
          <w:sz w:val="11"/>
          <w:szCs w:val="11"/>
          <w:color w:val="auto"/>
        </w:rPr>
        <w:t>JobGet Holdings, Inc. (fka Snagajob.com, Inc.) has the right of first refusal on sale of preferred stock.</w:t>
      </w:r>
    </w:p>
    <w:p>
      <w:pPr>
        <w:spacing w:after="0" w:line="186" w:lineRule="auto"/>
        <w:rPr>
          <w:sz w:val="20"/>
          <w:szCs w:val="20"/>
          <w:color w:val="auto"/>
        </w:rPr>
      </w:pPr>
      <w:r>
        <w:rPr>
          <w:rFonts w:ascii="Times New Roman" w:cs="Times New Roman" w:eastAsia="Times New Roman" w:hAnsi="Times New Roman"/>
          <w:sz w:val="6"/>
          <w:szCs w:val="6"/>
          <w:color w:val="auto"/>
        </w:rPr>
        <w:t>*</w:t>
      </w:r>
    </w:p>
    <w:p>
      <w:pPr>
        <w:ind w:left="400"/>
        <w:spacing w:after="0"/>
        <w:rPr>
          <w:sz w:val="20"/>
          <w:szCs w:val="20"/>
          <w:color w:val="auto"/>
        </w:rPr>
      </w:pPr>
      <w:r>
        <w:rPr>
          <w:rFonts w:ascii="Times New Roman" w:cs="Times New Roman" w:eastAsia="Times New Roman" w:hAnsi="Times New Roman"/>
          <w:sz w:val="13"/>
          <w:szCs w:val="13"/>
          <w:color w:val="auto"/>
        </w:rPr>
        <w:t>Fair value as a percentage of net assets.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4" w:name="page15"/>
    <w:bookmarkEnd w:id="1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spacing w:after="0"/>
              <w:rPr>
                <w:sz w:val="12"/>
                <w:szCs w:val="12"/>
                <w:color w:val="auto"/>
              </w:rPr>
            </w:pPr>
          </w:p>
        </w:tc>
        <w:tc>
          <w:tcPr>
            <w:tcW w:w="106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82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8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Airship Group,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SOFR+3.75%, 9.08% floor,</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6/15/2028</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49,129</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48,508</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49,442</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3.00% PIK, 3.25%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Blueshift Labs,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SOFR+6.25%, 11.25%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12/19/2023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12/15/2028</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26,018</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25,743</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23,664</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2.00% PIK, 1.50%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186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Bridge Loan</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12/12/2024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12/15/2028</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500</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455</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(23)</w:t>
            </w: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Circadence Corporation</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SOFR+9.50%, 12.26%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12/20/2018</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12/15/2025</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23,752</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25,102</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20,492</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spacing w:after="0"/>
              <w:rPr>
                <w:sz w:val="12"/>
                <w:szCs w:val="12"/>
                <w:color w:val="auto"/>
              </w:rPr>
            </w:pP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7.50%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FiscalNote,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PRIME+5.00%, 9.00% floor,</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10/19/2020</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7/15/2027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36,908</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37,411</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36,252</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 PIK, 5.75%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(14)</w:t>
            </w: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Piano Software,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SOFR+7.25%, 11.25%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43,000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42,008</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42,008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1.50%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Snap! Mobile,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SOFR+7.50%, 12.10% floor,</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9/30/2024</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9/30/2028</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18,000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17,511</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17,511</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3.83%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VTX Intermediate</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SOFR+7.00%, 8.00%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9/24/2029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35,000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34,664</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34,244</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56"/>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Holdings, Inc. (dba</w:t>
            </w:r>
          </w:p>
        </w:tc>
        <w:tc>
          <w:tcPr>
            <w:tcW w:w="1080" w:type="dxa"/>
            <w:vAlign w:val="bottom"/>
            <w:shd w:val="clear" w:color="auto" w:fill="CFF0FC"/>
          </w:tcPr>
          <w:p>
            <w:pPr>
              <w:spacing w:after="0"/>
              <w:rPr>
                <w:sz w:val="13"/>
                <w:szCs w:val="13"/>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1.00% PIK, 3.00% ETP</w:t>
            </w: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VertexOne)</w:t>
            </w: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spacing w:after="0"/>
              <w:rPr>
                <w:sz w:val="12"/>
                <w:szCs w:val="12"/>
                <w:color w:val="auto"/>
              </w:rPr>
            </w:pP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Second Lien</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FIXED 12.50% PIK, 31.05%</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9/24/2029</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6,000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5,749</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5,749</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Application Software - 44.64%*</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237,196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229,817</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Elevate Services, Inc.</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SOFR+7.50%, 12.78% floor</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7/10/2023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7/10/2027</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26,000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25,316</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26,274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(12)</w:t>
            </w: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Hurricane Cleanco Limited</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FIXED 6.25%, 6.25% PIK</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11/22/2029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26,643</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26,692</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26,643</w:t>
            </w:r>
          </w:p>
        </w:tc>
        <w:tc>
          <w:tcPr>
            <w:tcW w:w="92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(5) (9) (10)</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(22)</w:t>
            </w: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Interactions Corporation</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SOFR+9.26%, 9.76% floor,</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40,347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40,238</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3.9375%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Vesta Payment Solutions,</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SOFR+7.00%, 9.00%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11/29/2022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11/15/2026</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25,465</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21,747</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spacing w:after="0"/>
              <w:rPr>
                <w:sz w:val="12"/>
                <w:szCs w:val="12"/>
                <w:color w:val="auto"/>
              </w:rPr>
            </w:pP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w:t>
            </w: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5.00%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- 22.32%*</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117,820</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114,902</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Brivo,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SOFR+7.25%, 11.29%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12/27/2024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39,708</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39,708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2.53%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- 7.71%*</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39,708</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39,708</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Healthcare Equipment</w:t>
            </w:r>
          </w:p>
        </w:tc>
        <w:tc>
          <w:tcPr>
            <w:tcW w:w="1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Moximed,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PRIME+5.25%, 8.75%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7/1/2027</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15,000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15,078</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15,358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3.50%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61"/>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Healthcare Equipment - 2.98%*</w:t>
            </w: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15,078</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15,358</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5" w:name="page16"/>
    <w:bookmarkEnd w:id="1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0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spacing w:after="0"/>
              <w:rPr>
                <w:sz w:val="12"/>
                <w:szCs w:val="12"/>
                <w:color w:val="auto"/>
              </w:rPr>
            </w:pPr>
          </w:p>
        </w:tc>
        <w:tc>
          <w:tcPr>
            <w:tcW w:w="106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90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08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EBR Systems,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PRIME+4.90%, 8.90%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40,037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40,511</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 (16)</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4.50%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Mingle Healthcare</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SOFR+9.75%, 12.26%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8/15/2018</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12/15/2026</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4,322</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4,952</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2,148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(27)</w:t>
            </w: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Solutions, Inc.</w:t>
            </w: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10.50%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Nalu Medical,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PRIME+2.70%, 6.70%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10/12/2022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10/12/2027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20,902</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21,047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21,431</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 PIK, 4.50%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Onward Medical, N.V.</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SOFR+6.50%, 10.75%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6/15/2028</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17,088</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16,682</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16,786</w:t>
            </w:r>
          </w:p>
        </w:tc>
        <w:tc>
          <w:tcPr>
            <w:tcW w:w="92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(8) (9) (11)</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2.50%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(17)</w:t>
            </w: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Route 92 Medical,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SOFR+8.48%, 8.98%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8/17/2021</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7/1/2026</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35,000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34,983</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35,682</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3.95%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SetPoint Medical</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SOFR+5.75%, 9.00%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12/1/2027</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25,236</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25,817</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Corporation</w:t>
            </w: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4.00%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Healthcare Technology - 27.65%*</w:t>
            </w: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142,937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142,375</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SOFR+8.50% PIK, 9.00%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9/29/2021</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11/15/2025</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3,732</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3,774</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3,431</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(27)</w:t>
            </w: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Snagajob.com, Inc.)</w:t>
            </w: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- 0.67%*</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3,774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3,431</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Madison Reed,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PRIME+4.75%, 11.00%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12/16/2022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12/16/2026</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16,234</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16,235</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16,383</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11.00% cash cap, 3.00%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SOFR+8.50% PIK, 9.26%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6/30/2021</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38,809</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38,807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34,120</w:t>
            </w:r>
          </w:p>
        </w:tc>
        <w:tc>
          <w:tcPr>
            <w:tcW w:w="9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(10)</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(18)</w:t>
            </w:r>
          </w:p>
        </w:tc>
      </w:tr>
      <w:tr>
        <w:trPr>
          <w:trHeight w:val="156"/>
        </w:trPr>
        <w:tc>
          <w:tcPr>
            <w:tcW w:w="48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- 9.81%*</w:t>
            </w: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55,042</w:t>
            </w:r>
          </w:p>
        </w:tc>
        <w:tc>
          <w:tcPr>
            <w:tcW w:w="10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50,503</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Bombora,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SOFR+4.75%, 6.75%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12/26/2023</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1/15/2028</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28,911</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28,876</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29,058</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3.25% PIK, 0.96%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CarNow,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SOFR+7.25%, 11.75%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3/22/2024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3/22/2029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20,000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17,791</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17,658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1.60%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Skillshare,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SOFR+6.50%, 10.72%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11/8/2022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11/8/2026</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27,600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27,875</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27,555</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3.00%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Synack,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SOFR+7.00%, 11.07%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12/29/2028</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42,500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42,331</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42,520</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Zinnia Corporate Holdings,</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SOFR+8.00%, 10.00%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9/23/2024</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9/21/2029</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39,244</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39,244</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580" w:type="dxa"/>
            <w:vAlign w:val="bottom"/>
          </w:tcPr>
          <w:p>
            <w:pPr>
              <w:spacing w:after="0"/>
              <w:rPr>
                <w:sz w:val="12"/>
                <w:szCs w:val="12"/>
                <w:color w:val="auto"/>
              </w:rPr>
            </w:pPr>
          </w:p>
        </w:tc>
      </w:tr>
      <w:tr>
        <w:trPr>
          <w:trHeight w:val="168"/>
        </w:trPr>
        <w:tc>
          <w:tcPr>
            <w:tcW w:w="1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LLC</w:t>
            </w: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8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- 30.31%*</w:t>
            </w: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156,117</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156,035</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Kin Insurance,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PRIME+6.25%, 12.50%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9/26/2022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9/15/2026</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75,000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75,912</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76,626</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3.30%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8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- 14.88%*</w:t>
            </w: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75,912</w:t>
            </w:r>
          </w:p>
        </w:tc>
        <w:tc>
          <w:tcPr>
            <w:tcW w:w="10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76,626</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08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3PL Central LLC (dba</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SOFR+4.50%, 6.50%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11/9/2022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11/9/2027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72,205</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72,307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69,262</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Extensiv)</w:t>
            </w: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2.50% PIK, 2.34%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Linxup, LLC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PRIME+3.25%, 11.75%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11/3/2023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11/15/2027</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30,000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29,779</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30,607</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2.25%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Dejero Labs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Second Lien</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SOFR+8.00%, 8.50%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12/22/2021</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12/22/2025</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14,463</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14,696</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14,403</w:t>
            </w:r>
          </w:p>
        </w:tc>
        <w:tc>
          <w:tcPr>
            <w:tcW w:w="9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(7) (9) (10)</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 PIK, 3.00%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w:t>
            </w: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System Software - 22.19%*</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116,782</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114,272</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Debt Investments - 183.16%*</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960,366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943,027</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6" w:name="page17"/>
    <w:bookmarkEnd w:id="1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5"/>
        </w:trPr>
        <w:tc>
          <w:tcPr>
            <w:tcW w:w="1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8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88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spacing w:after="0"/>
              <w:rPr>
                <w:sz w:val="12"/>
                <w:szCs w:val="12"/>
                <w:color w:val="auto"/>
              </w:rPr>
            </w:pPr>
          </w:p>
        </w:tc>
        <w:tc>
          <w:tcPr>
            <w:tcW w:w="1080" w:type="dxa"/>
            <w:vAlign w:val="bottom"/>
          </w:tcPr>
          <w:p>
            <w:pPr>
              <w:jc w:val="right"/>
              <w:ind w:right="41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81"/>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88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8"/>
              </w:rPr>
              <w:t>/ Shares</w:t>
            </w: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80" w:type="dxa"/>
            <w:vAlign w:val="bottom"/>
          </w:tcPr>
          <w:p>
            <w:pPr>
              <w:jc w:val="right"/>
              <w:ind w:right="19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2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Advertising</w:t>
            </w: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Minute Media Inc.</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12/13/2023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1,039</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120</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136</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12/13/2023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136</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16</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c>
          <w:tcPr>
            <w:tcW w:w="9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Total Advertising - 0.03%*</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136</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152</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Aria Systems,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G Preferred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7/10/2018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289,419</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250</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263</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FiscalNote, Inc.</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10/19/2020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230,881</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438</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247</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 (19)</w:t>
            </w:r>
          </w:p>
        </w:tc>
      </w:tr>
      <w:tr>
        <w:trPr>
          <w:trHeight w:val="144"/>
        </w:trPr>
        <w:tc>
          <w:tcPr>
            <w:tcW w:w="1860" w:type="dxa"/>
            <w:vAlign w:val="bottom"/>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VTX Holdings, LLC</w:t>
            </w:r>
          </w:p>
        </w:tc>
        <w:tc>
          <w:tcPr>
            <w:tcW w:w="10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C Preferred Units</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3,015,21</w:t>
            </w:r>
          </w:p>
        </w:tc>
        <w:tc>
          <w:tcPr>
            <w:tcW w:w="106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143</w:t>
            </w:r>
          </w:p>
        </w:tc>
        <w:tc>
          <w:tcPr>
            <w:tcW w:w="10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143</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2"/>
                <w:szCs w:val="12"/>
                <w:color w:val="auto"/>
              </w:rPr>
            </w:pPr>
          </w:p>
        </w:tc>
      </w:tr>
      <w:tr>
        <w:trPr>
          <w:trHeight w:val="172"/>
        </w:trPr>
        <w:tc>
          <w:tcPr>
            <w:tcW w:w="18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9</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r>
      <w:tr>
        <w:trPr>
          <w:trHeight w:val="80"/>
        </w:trPr>
        <w:tc>
          <w:tcPr>
            <w:tcW w:w="2900" w:type="dxa"/>
            <w:vAlign w:val="bottom"/>
            <w:gridSpan w:val="2"/>
            <w:shd w:val="clear" w:color="auto" w:fill="CFF0FC"/>
          </w:tcPr>
          <w:p>
            <w:pPr>
              <w:spacing w:after="0"/>
              <w:rPr>
                <w:sz w:val="6"/>
                <w:szCs w:val="6"/>
                <w:color w:val="auto"/>
              </w:rPr>
            </w:pPr>
          </w:p>
        </w:tc>
        <w:tc>
          <w:tcPr>
            <w:tcW w:w="188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Application Software - 0.13%*</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831</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653</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4"/>
        </w:trPr>
        <w:tc>
          <w:tcPr>
            <w:tcW w:w="1860" w:type="dxa"/>
            <w:vAlign w:val="bottom"/>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CareCloud, Inc.</w:t>
            </w:r>
          </w:p>
        </w:tc>
        <w:tc>
          <w:tcPr>
            <w:tcW w:w="10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11% Series A Cumulative</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1/8/2020</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462,064</w:t>
            </w:r>
          </w:p>
        </w:tc>
        <w:tc>
          <w:tcPr>
            <w:tcW w:w="106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12,132</w:t>
            </w:r>
          </w:p>
        </w:tc>
        <w:tc>
          <w:tcPr>
            <w:tcW w:w="10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9,181</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6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(19)</w:t>
            </w: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Redeemable Perpetual Preferred</w:t>
            </w: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68"/>
        </w:trPr>
        <w:tc>
          <w:tcPr>
            <w:tcW w:w="18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w:t>
            </w:r>
          </w:p>
        </w:tc>
        <w:tc>
          <w:tcPr>
            <w:tcW w:w="9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Healthcare Technology - 1.78%*</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12,132</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9,181</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4"/>
        </w:trPr>
        <w:tc>
          <w:tcPr>
            <w:tcW w:w="1860" w:type="dxa"/>
            <w:vAlign w:val="bottom"/>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0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C-1 Preferred Stock</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389,048</w:t>
            </w:r>
          </w:p>
        </w:tc>
        <w:tc>
          <w:tcPr>
            <w:tcW w:w="106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36,502</w:t>
            </w:r>
          </w:p>
        </w:tc>
        <w:tc>
          <w:tcPr>
            <w:tcW w:w="10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35,563</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(29)</w:t>
            </w:r>
          </w:p>
        </w:tc>
      </w:tr>
      <w:tr>
        <w:trPr>
          <w:trHeight w:val="168"/>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Snagajob.com, Inc.)</w:t>
            </w:r>
          </w:p>
        </w:tc>
        <w:tc>
          <w:tcPr>
            <w:tcW w:w="10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r>
      <w:tr>
        <w:trPr>
          <w:trHeight w:val="156"/>
        </w:trPr>
        <w:tc>
          <w:tcPr>
            <w:tcW w:w="186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C-2 Preferred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11/15/2024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16,963</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(29)</w:t>
            </w:r>
          </w:p>
        </w:tc>
      </w:tr>
      <w:tr>
        <w:trPr>
          <w:trHeight w:val="156"/>
        </w:trPr>
        <w:tc>
          <w:tcPr>
            <w:tcW w:w="47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- 6.91%*</w:t>
            </w: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36,502</w:t>
            </w: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35,563</w:t>
            </w: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7/7/2023</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46,004</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410</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43</w:t>
            </w:r>
          </w:p>
        </w:tc>
        <w:tc>
          <w:tcPr>
            <w:tcW w:w="9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(13) (18)</w:t>
            </w:r>
          </w:p>
        </w:tc>
      </w:tr>
      <w:tr>
        <w:trPr>
          <w:trHeight w:val="168"/>
        </w:trPr>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(19)</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(22)</w:t>
            </w:r>
          </w:p>
        </w:tc>
      </w:tr>
      <w:tr>
        <w:trPr>
          <w:trHeight w:val="156"/>
        </w:trPr>
        <w:tc>
          <w:tcPr>
            <w:tcW w:w="47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- 0.01%*</w:t>
            </w: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410</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43</w:t>
            </w: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Quantum Corporation</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8/13/2021</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22,986</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2,607</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1,239</w:t>
            </w:r>
          </w:p>
        </w:tc>
        <w:tc>
          <w:tcPr>
            <w:tcW w:w="9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(9) (13) (15)</w:t>
            </w:r>
          </w:p>
        </w:tc>
      </w:tr>
      <w:tr>
        <w:trPr>
          <w:trHeight w:val="168"/>
        </w:trPr>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(19)</w:t>
            </w:r>
          </w:p>
        </w:tc>
        <w:tc>
          <w:tcPr>
            <w:tcW w:w="640" w:type="dxa"/>
            <w:vAlign w:val="bottom"/>
          </w:tcPr>
          <w:p>
            <w:pPr>
              <w:spacing w:after="0"/>
              <w:rPr>
                <w:sz w:val="14"/>
                <w:szCs w:val="14"/>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zSpace,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12/31/2020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81,046</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1,119</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1,288</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478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- 0.49%*</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3,726</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2,527</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 - 9.35%*</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53,737</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48,119</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3DNA Corp. (dba</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C-1 Preferred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12/28/2018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12/28/2028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273,164</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104</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2"/>
                <w:szCs w:val="12"/>
                <w:color w:val="auto"/>
              </w:rPr>
            </w:pPr>
          </w:p>
        </w:tc>
      </w:tr>
      <w:tr>
        <w:trPr>
          <w:trHeight w:val="168"/>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NationBuilder)</w:t>
            </w: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Airship Group,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F Preferred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6/28/2024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6/28/2034</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519,313</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414</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499</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Aria Systems, Inc.</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G Preferred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6/29/2018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6/29/2028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2,387,70</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1,048</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1,159</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2"/>
                <w:szCs w:val="12"/>
                <w:color w:val="auto"/>
              </w:rPr>
            </w:pPr>
          </w:p>
        </w:tc>
      </w:tr>
      <w:tr>
        <w:trPr>
          <w:trHeight w:val="168"/>
        </w:trPr>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Blueshift Labs,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12/19/2023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167</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188</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Circadence Corporation</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A-6 Preferred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1,538,46</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3,630</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298</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2"/>
                <w:szCs w:val="12"/>
                <w:color w:val="auto"/>
              </w:rPr>
            </w:pPr>
          </w:p>
        </w:tc>
      </w:tr>
      <w:tr>
        <w:trPr>
          <w:trHeight w:val="168"/>
        </w:trPr>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10/31/2019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10/31/2029</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384,615</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846</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12/21/2023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304</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FiscalNote,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Earnout</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7/29/2022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7/29/2027</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127</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 (21)</w:t>
            </w: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Piano Software, Inc.</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12/31/2024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12/31/2034</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119,978</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348</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348</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Snap! Mobile,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9/30/2024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9/30/2034</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19,140</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345</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Application Software - 0.58%*</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7,333</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2,961</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Asset Management &amp; Custody Banks</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Betterment Holdings,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10/6/2023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10/6/2033</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7,680</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35</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10/6/2033</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9,818</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40</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3"/>
                <w:szCs w:val="13"/>
                <w:color w:val="auto"/>
              </w:rPr>
            </w:pPr>
          </w:p>
        </w:tc>
      </w:tr>
      <w:tr>
        <w:trPr>
          <w:trHeight w:val="156"/>
        </w:trPr>
        <w:tc>
          <w:tcPr>
            <w:tcW w:w="47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Asset Management &amp; Custody Banks - 0.03%*</w:t>
            </w: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75</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138</w:t>
            </w: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7" w:name="page18"/>
    <w:bookmarkEnd w:id="1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ind w:left="5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80" w:type="dxa"/>
            <w:vAlign w:val="bottom"/>
          </w:tcPr>
          <w:p>
            <w:pPr>
              <w:jc w:val="center"/>
              <w:ind w:left="5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spacing w:after="0"/>
              <w:rPr>
                <w:sz w:val="12"/>
                <w:szCs w:val="12"/>
                <w:color w:val="auto"/>
              </w:rPr>
            </w:pPr>
          </w:p>
        </w:tc>
        <w:tc>
          <w:tcPr>
            <w:tcW w:w="106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1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700" w:type="dxa"/>
            <w:vAlign w:val="bottom"/>
          </w:tcPr>
          <w:p>
            <w:pPr>
              <w:ind w:left="42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Biotechnology</w:t>
            </w:r>
          </w:p>
        </w:tc>
        <w:tc>
          <w:tcPr>
            <w:tcW w:w="110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Mustang Bio,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9"/>
              </w:rPr>
              <w:t>3/4/2022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3/4/2032</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49,869</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315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(15)</w:t>
            </w:r>
          </w:p>
        </w:tc>
      </w:tr>
      <w:tr>
        <w:trPr>
          <w:trHeight w:val="144"/>
        </w:trPr>
        <w:tc>
          <w:tcPr>
            <w:tcW w:w="188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TRACON Pharmaceuticals,</w:t>
            </w: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w w:val="99"/>
              </w:rPr>
              <w:t>9/2/2022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9/2/2032</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7,538</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226</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2"/>
                <w:szCs w:val="12"/>
                <w:color w:val="auto"/>
              </w:rPr>
            </w:pPr>
          </w:p>
        </w:tc>
      </w:tr>
      <w:tr>
        <w:trPr>
          <w:trHeight w:val="168"/>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w:t>
            </w: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Biotechnology - 0.00%*</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541</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Computer &amp; Electronics Retail</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Massdrop, Inc.</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7/22/2019</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7/22/2029</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848,093</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183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Computer &amp; Electronics Retail - 0.00%*</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183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Elevate Services, Inc.</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7/10/2023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7/10/2033</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248,997</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447</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398</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7/17/2024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7/17/2034</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74,700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118</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119</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Interactions Corporation</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6/24/2022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189,408</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44"/>
        </w:trPr>
        <w:tc>
          <w:tcPr>
            <w:tcW w:w="188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Predactiv, Inc. (fka</w:t>
            </w:r>
          </w:p>
        </w:tc>
        <w:tc>
          <w:tcPr>
            <w:tcW w:w="11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Series D-3 Preferred Stock</w:t>
            </w:r>
          </w:p>
        </w:tc>
        <w:tc>
          <w:tcPr>
            <w:tcW w:w="1080" w:type="dxa"/>
            <w:vAlign w:val="bottom"/>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12/3/2018</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12/3/2028</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647,615</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2,162</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2"/>
                <w:szCs w:val="12"/>
                <w:color w:val="auto"/>
              </w:rPr>
            </w:pPr>
          </w:p>
        </w:tc>
      </w:tr>
      <w:tr>
        <w:trPr>
          <w:trHeight w:val="168"/>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Sharethis, Inc.)</w:t>
            </w: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68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- 0.12%*</w:t>
            </w: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2,946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620</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Brivo,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10/20/2022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10/20/2032</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201,000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98</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269</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spacing w:after="0"/>
              <w:rPr>
                <w:sz w:val="13"/>
                <w:szCs w:val="13"/>
                <w:color w:val="auto"/>
              </w:rPr>
            </w:pP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12/27/2024</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12/27/2034</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32,109</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43</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Epic IO Technologies,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12/17/2021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12/17/2028</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468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- 0.13%*</w:t>
            </w: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646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646</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Healthcare Equipment</w:t>
            </w:r>
          </w:p>
        </w:tc>
        <w:tc>
          <w:tcPr>
            <w:tcW w:w="110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Moximed,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6/24/2022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214,285</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Healthcare Equipment - 0.00%*</w:t>
            </w: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175</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10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3/30/2021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132,979</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282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 (28)</w:t>
            </w:r>
          </w:p>
        </w:tc>
      </w:tr>
      <w:tr>
        <w:trPr>
          <w:trHeight w:val="156"/>
        </w:trPr>
        <w:tc>
          <w:tcPr>
            <w:tcW w:w="1880" w:type="dxa"/>
            <w:vAlign w:val="bottom"/>
            <w:shd w:val="clear" w:color="auto" w:fill="CFF0FC"/>
          </w:tcPr>
          <w:p>
            <w:pPr>
              <w:spacing w:after="0"/>
              <w:rPr>
                <w:sz w:val="13"/>
                <w:szCs w:val="13"/>
                <w:color w:val="auto"/>
              </w:rPr>
            </w:pP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6/14/2022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46,256</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141</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 (28)</w:t>
            </w:r>
          </w:p>
        </w:tc>
      </w:tr>
      <w:tr>
        <w:trPr>
          <w:trHeight w:val="156"/>
        </w:trPr>
        <w:tc>
          <w:tcPr>
            <w:tcW w:w="188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9/15/2022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9/15/2032</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46,256</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 (28)</w:t>
            </w:r>
          </w:p>
        </w:tc>
      </w:tr>
      <w:tr>
        <w:trPr>
          <w:trHeight w:val="144"/>
        </w:trPr>
        <w:tc>
          <w:tcPr>
            <w:tcW w:w="1880" w:type="dxa"/>
            <w:vAlign w:val="bottom"/>
            <w:shd w:val="clear" w:color="auto" w:fill="CFF0FC"/>
          </w:tcPr>
          <w:p>
            <w:pPr>
              <w:spacing w:after="0"/>
              <w:rPr>
                <w:sz w:val="12"/>
                <w:szCs w:val="12"/>
                <w:color w:val="auto"/>
              </w:rPr>
            </w:pP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Earnout</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w w:val="99"/>
              </w:rPr>
              <w:t>8/2/2023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8/1/2028</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(14) (21)</w:t>
            </w:r>
          </w:p>
        </w:tc>
      </w:tr>
      <w:tr>
        <w:trPr>
          <w:trHeight w:val="168"/>
        </w:trPr>
        <w:tc>
          <w:tcPr>
            <w:tcW w:w="18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(28)</w:t>
            </w:r>
          </w:p>
        </w:tc>
        <w:tc>
          <w:tcPr>
            <w:tcW w:w="580" w:type="dxa"/>
            <w:vAlign w:val="bottom"/>
            <w:shd w:val="clear" w:color="auto" w:fill="CFF0FC"/>
          </w:tcPr>
          <w:p>
            <w:pPr>
              <w:spacing w:after="0"/>
              <w:rPr>
                <w:sz w:val="14"/>
                <w:szCs w:val="14"/>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EBR Systems,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6/30/2022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605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617</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(16) (21)</w:t>
            </w:r>
          </w:p>
        </w:tc>
      </w:tr>
      <w:tr>
        <w:trPr>
          <w:trHeight w:val="144"/>
        </w:trPr>
        <w:tc>
          <w:tcPr>
            <w:tcW w:w="188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Mingle Healthcare</w:t>
            </w: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Series CC Preferred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8/15/2018</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8/15/2028</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1,770,97</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492</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2"/>
                <w:szCs w:val="12"/>
                <w:color w:val="auto"/>
              </w:rPr>
            </w:pPr>
          </w:p>
        </w:tc>
      </w:tr>
      <w:tr>
        <w:trPr>
          <w:trHeight w:val="168"/>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Solutions, Inc.</w:t>
            </w: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w:t>
            </w: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Nalu Medical,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D-2 Preferred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10/12/2022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10/12/2032</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91,717</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70</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44"/>
        </w:trPr>
        <w:tc>
          <w:tcPr>
            <w:tcW w:w="188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Onward Medical, N.V.</w:t>
            </w: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9/26/2034</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165,338</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340</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417</w:t>
            </w:r>
          </w:p>
        </w:tc>
        <w:tc>
          <w:tcPr>
            <w:tcW w:w="92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(8) (9) (13)</w:t>
            </w:r>
          </w:p>
        </w:tc>
      </w:tr>
      <w:tr>
        <w:trPr>
          <w:trHeight w:val="168"/>
        </w:trPr>
        <w:tc>
          <w:tcPr>
            <w:tcW w:w="18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(17)</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(22)</w:t>
            </w: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Route 92 Medical,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8/17/2021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835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44"/>
        </w:trPr>
        <w:tc>
          <w:tcPr>
            <w:tcW w:w="188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SetPoint Medical</w:t>
            </w: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Series B Preferred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6/29/2021</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6/29/2031</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400,000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223</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2"/>
                <w:szCs w:val="12"/>
                <w:color w:val="auto"/>
              </w:rPr>
            </w:pPr>
          </w:p>
        </w:tc>
      </w:tr>
      <w:tr>
        <w:trPr>
          <w:trHeight w:val="168"/>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Corporation</w:t>
            </w: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188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12/29/2022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12/29/2032</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600,000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VERO Biotech LLC</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12/29/2020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12/29/2025</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377</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Healthcare Technology - 0.50%*</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3,477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2,560</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CloudPay, Inc.</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6/30/2020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11,273</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218</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1,343</w:t>
            </w:r>
          </w:p>
        </w:tc>
        <w:tc>
          <w:tcPr>
            <w:tcW w:w="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88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8/17/2021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3,502</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89</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880" w:type="dxa"/>
            <w:vAlign w:val="bottom"/>
            <w:shd w:val="clear" w:color="auto" w:fill="CFF0FC"/>
          </w:tcPr>
          <w:p>
            <w:pPr>
              <w:spacing w:after="0"/>
              <w:rPr>
                <w:sz w:val="13"/>
                <w:szCs w:val="13"/>
                <w:color w:val="auto"/>
              </w:rPr>
            </w:pP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9/26/2022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5,252</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176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134</w:t>
            </w:r>
          </w:p>
        </w:tc>
        <w:tc>
          <w:tcPr>
            <w:tcW w:w="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44"/>
        </w:trPr>
        <w:tc>
          <w:tcPr>
            <w:tcW w:w="188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1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Series B-1 Preferred Stock</w:t>
            </w:r>
          </w:p>
        </w:tc>
        <w:tc>
          <w:tcPr>
            <w:tcW w:w="1080" w:type="dxa"/>
            <w:vAlign w:val="bottom"/>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9/29/2021</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9/29/2031</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763,269</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343</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2"/>
                <w:szCs w:val="12"/>
                <w:color w:val="auto"/>
              </w:rPr>
            </w:pPr>
          </w:p>
        </w:tc>
      </w:tr>
      <w:tr>
        <w:trPr>
          <w:trHeight w:val="168"/>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Snagajob.com, Inc.)</w:t>
            </w: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68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- 0.30%*</w:t>
            </w: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789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1,566</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8" w:name="page19"/>
    <w:bookmarkEnd w:id="1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80" w:type="dxa"/>
            <w:vAlign w:val="bottom"/>
          </w:tcPr>
          <w:p>
            <w:pPr>
              <w:ind w:left="54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80" w:type="dxa"/>
            <w:vAlign w:val="bottom"/>
          </w:tcPr>
          <w:p>
            <w:pPr>
              <w:jc w:val="center"/>
              <w:ind w:left="5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spacing w:after="0"/>
              <w:rPr>
                <w:sz w:val="12"/>
                <w:szCs w:val="12"/>
                <w:color w:val="auto"/>
              </w:rPr>
            </w:pPr>
          </w:p>
        </w:tc>
        <w:tc>
          <w:tcPr>
            <w:tcW w:w="106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1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680" w:type="dxa"/>
            <w:vAlign w:val="bottom"/>
          </w:tcPr>
          <w:p>
            <w:pPr>
              <w:ind w:left="40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Madison Reed,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12/16/2022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209</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183</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 (21)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- 0.04%*</w:t>
            </w: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209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183</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Bombora,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3/31/2021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3/31/2031</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121,581</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135</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12/26/2023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12/26/2033</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48,632</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54</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CarNow,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3/22/2024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3/22/2034</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200,000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2,400</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2,825</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3/25/2022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3/25/2032</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 (20)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INRIX,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7/26/2019</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7/26/2029</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150,804</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522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344</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JWP Holdco LLC (fka</w:t>
            </w:r>
          </w:p>
        </w:tc>
        <w:tc>
          <w:tcPr>
            <w:tcW w:w="112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Common Units</w:t>
            </w:r>
          </w:p>
        </w:tc>
        <w:tc>
          <w:tcPr>
            <w:tcW w:w="1080" w:type="dxa"/>
            <w:vAlign w:val="bottom"/>
            <w:shd w:val="clear" w:color="auto" w:fill="CFF0FC"/>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12/12/2019</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12/12/2029</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167,827</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47</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158</w:t>
            </w:r>
          </w:p>
        </w:tc>
        <w:tc>
          <w:tcPr>
            <w:tcW w:w="9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Longtail Ad Solutions, Inc.)</w:t>
            </w:r>
          </w:p>
        </w:tc>
        <w:tc>
          <w:tcPr>
            <w:tcW w:w="112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Skillshare,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11/8/2022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301</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367</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 (21)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Synack,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12/29/2023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124,215</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158</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186</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- 0.79%*</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3,724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4,069</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Kin Insurance,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9/26/2022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62,364</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426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285</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- 0.06%*</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426</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285</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Specialized Consumer Services</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AllClear ID,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8/31/2017</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8/31/2027</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523,893</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1,053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10/17/2018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8/31/2027</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346,621</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697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Credit Sesame,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w w:val="99"/>
              </w:rPr>
              <w:t>1/7/2020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1/7/2030</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191,601</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425</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365</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Specialized Consumer Services - 0.07%*</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2,175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365</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Dejero Labs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5/31/2019</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5/31/2029</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333,621</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192</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177</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(7) (9) (13)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Linxup, LLC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11/3/2023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11/3/2033</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201</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 (21)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Scale Computing, Inc.</w:t>
            </w:r>
          </w:p>
        </w:tc>
        <w:tc>
          <w:tcPr>
            <w:tcW w:w="112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3/29/2019</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3/29/2029</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9,665,66</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346</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w:t>
            </w: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System Software - 0.07%*</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791</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378</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gridSpan w:val="2"/>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RealWear,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10/5/2018</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10/5/2028</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112,451</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136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206</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12/28/2018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22,491</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6/27/2019</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6/27/2029</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123,894</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381</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136</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- 0.07%*</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542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383</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Warrants - 2.76%*</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24,032</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14,182</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60" w:type="dxa"/>
            <w:vAlign w:val="bottom"/>
            <w:gridSpan w:val="3"/>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 Non-Control/Non-Affiliate Investments - 195.27%*</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1,038,135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1,005,328</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9" w:name="page20"/>
    <w:bookmarkEnd w:id="1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2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60"/>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1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82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Value ($) </w:t>
            </w:r>
            <w:r>
              <w:rPr>
                <w:rFonts w:ascii="Times New Roman" w:cs="Times New Roman" w:eastAsia="Times New Roman" w:hAnsi="Times New Roman"/>
                <w:sz w:val="16"/>
                <w:szCs w:val="16"/>
                <w:b w:val="1"/>
                <w:bCs w:val="1"/>
                <w:color w:val="auto"/>
                <w:w w:val="99"/>
                <w:vertAlign w:val="superscript"/>
              </w:rPr>
              <w:t>(3)</w:t>
            </w:r>
          </w:p>
        </w:tc>
        <w:tc>
          <w:tcPr>
            <w:tcW w:w="9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1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SOFR+8.75%, 8.00% ceiling,</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3/1/2023</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11/30/2026</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25,595</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26,234</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27,217</w:t>
            </w:r>
          </w:p>
        </w:tc>
        <w:tc>
          <w:tcPr>
            <w:tcW w:w="9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 (12)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5.00%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- 5.29%*</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26,234</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27,217</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Debt Investments - 5.29%*</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26,234</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27,217</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Coginiti Corp</w:t>
            </w:r>
          </w:p>
        </w:tc>
        <w:tc>
          <w:tcPr>
            <w:tcW w:w="11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3/9/2020</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1,040,16</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4,551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1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A-2 Preferred Stock</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3/1/2023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3,266,66</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9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A-1 Preferred Stock</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10/24/2023</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3,100,00</w:t>
            </w:r>
          </w:p>
        </w:tc>
        <w:tc>
          <w:tcPr>
            <w:tcW w:w="16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9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- 7.26%*</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28,100</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37,355</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 - 7.26%*</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32,651</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37,355</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Coginiti Corp</w:t>
            </w:r>
          </w:p>
        </w:tc>
        <w:tc>
          <w:tcPr>
            <w:tcW w:w="1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3/9/2020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3/9/2030</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811,770</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Gynesonics, Inc.</w:t>
            </w:r>
          </w:p>
        </w:tc>
        <w:tc>
          <w:tcPr>
            <w:tcW w:w="1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3/1/2023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3/1/2030</w:t>
            </w:r>
          </w:p>
        </w:tc>
        <w:tc>
          <w:tcPr>
            <w:tcW w:w="10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 (21)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- 0.00%*</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Warrants - 0.00%*</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2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 - 12.55%*</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59,198</w:t>
            </w: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64,572</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Pivot3, Inc.</w:t>
            </w:r>
          </w:p>
        </w:tc>
        <w:tc>
          <w:tcPr>
            <w:tcW w:w="1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100% Equity Interest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12/31/2023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- 0.23%*</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Multi-Sector Holdings</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Runway-Cadma I LLC</w:t>
            </w:r>
          </w:p>
        </w:tc>
        <w:tc>
          <w:tcPr>
            <w:tcW w:w="1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50% Equity Interest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3/6/2024</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Multi-Sector Holdings - 1.12%*</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 - 1.35%*</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2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 - 1.35%*</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 Investments - 209.17%*</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1,103,883</w:t>
            </w:r>
          </w:p>
        </w:tc>
        <w:tc>
          <w:tcPr>
            <w:tcW w:w="200" w:type="dxa"/>
            <w:vAlign w:val="bottom"/>
          </w:tcPr>
          <w:p>
            <w:pPr>
              <w:spacing w:after="0"/>
              <w:rPr>
                <w:sz w:val="13"/>
                <w:szCs w:val="13"/>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0" w:name="page21"/>
    <w:bookmarkEnd w:id="2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w:t>
      </w:r>
    </w:p>
    <w:p>
      <w:pPr>
        <w:ind w:left="400"/>
        <w:spacing w:after="0" w:line="222" w:lineRule="auto"/>
        <w:rPr>
          <w:sz w:val="20"/>
          <w:szCs w:val="20"/>
          <w:color w:val="auto"/>
        </w:rPr>
      </w:pPr>
      <w:r>
        <w:rPr>
          <w:rFonts w:ascii="Times New Roman" w:cs="Times New Roman" w:eastAsia="Times New Roman" w:hAnsi="Times New Roman"/>
          <w:sz w:val="13"/>
          <w:szCs w:val="13"/>
          <w:color w:val="auto"/>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December 31, 2024, the U.S. Prime Rate was 7.50%, the 1-Month SOFR was 4.33%, and the 3-Month SOFR was 4.31%.</w:t>
      </w:r>
    </w:p>
    <w:p>
      <w:pPr>
        <w:spacing w:after="0" w:line="185" w:lineRule="auto"/>
        <w:rPr>
          <w:sz w:val="20"/>
          <w:szCs w:val="20"/>
          <w:color w:val="auto"/>
        </w:rPr>
      </w:pPr>
      <w:r>
        <w:rPr>
          <w:rFonts w:ascii="Times New Roman" w:cs="Times New Roman" w:eastAsia="Times New Roman" w:hAnsi="Times New Roman"/>
          <w:sz w:val="6"/>
          <w:szCs w:val="6"/>
          <w:color w:val="auto"/>
        </w:rPr>
        <w:t>(2)</w:t>
      </w:r>
    </w:p>
    <w:p>
      <w:pPr>
        <w:ind w:left="400" w:right="80"/>
        <w:spacing w:after="0" w:line="222" w:lineRule="auto"/>
        <w:rPr>
          <w:sz w:val="20"/>
          <w:szCs w:val="20"/>
          <w:color w:val="auto"/>
        </w:rPr>
      </w:pP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p>
      <w:pPr>
        <w:spacing w:after="0" w:line="185" w:lineRule="auto"/>
        <w:rPr>
          <w:sz w:val="20"/>
          <w:szCs w:val="20"/>
          <w:color w:val="auto"/>
        </w:rPr>
      </w:pPr>
      <w:r>
        <w:rPr>
          <w:rFonts w:ascii="Times New Roman" w:cs="Times New Roman" w:eastAsia="Times New Roman" w:hAnsi="Times New Roman"/>
          <w:sz w:val="6"/>
          <w:szCs w:val="6"/>
          <w:color w:val="auto"/>
        </w:rPr>
        <w:t>(3)</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Investments are held at Fair Value net of the Fair Value of Unfunded Commitments. Refer to "Note 8 – Commitments and Contingencies" for additional detail.</w:t>
      </w:r>
    </w:p>
    <w:p>
      <w:pPr>
        <w:spacing w:after="0" w:line="185" w:lineRule="auto"/>
        <w:rPr>
          <w:sz w:val="20"/>
          <w:szCs w:val="20"/>
          <w:color w:val="auto"/>
        </w:rPr>
      </w:pPr>
      <w:r>
        <w:rPr>
          <w:rFonts w:ascii="Times New Roman" w:cs="Times New Roman" w:eastAsia="Times New Roman" w:hAnsi="Times New Roman"/>
          <w:sz w:val="6"/>
          <w:szCs w:val="6"/>
          <w:color w:val="auto"/>
        </w:rPr>
        <w:t>(4)</w:t>
      </w:r>
    </w:p>
    <w:p>
      <w:pPr>
        <w:ind w:left="400"/>
        <w:spacing w:after="0" w:line="195" w:lineRule="auto"/>
        <w:rPr>
          <w:sz w:val="20"/>
          <w:szCs w:val="20"/>
          <w:color w:val="auto"/>
        </w:rPr>
      </w:pPr>
      <w:r>
        <w:rPr>
          <w:rFonts w:ascii="Times New Roman" w:cs="Times New Roman" w:eastAsia="Times New Roman" w:hAnsi="Times New Roman"/>
          <w:sz w:val="11"/>
          <w:szCs w:val="11"/>
          <w:color w:val="auto"/>
        </w:rPr>
        <w:t>All portfolio companies are domiciled in the United States, unless otherwise noted.</w:t>
      </w:r>
    </w:p>
    <w:p>
      <w:pPr>
        <w:spacing w:after="0" w:line="186" w:lineRule="auto"/>
        <w:rPr>
          <w:sz w:val="20"/>
          <w:szCs w:val="20"/>
          <w:color w:val="auto"/>
        </w:rPr>
      </w:pPr>
      <w:r>
        <w:rPr>
          <w:rFonts w:ascii="Times New Roman" w:cs="Times New Roman" w:eastAsia="Times New Roman" w:hAnsi="Times New Roman"/>
          <w:sz w:val="6"/>
          <w:szCs w:val="6"/>
          <w:color w:val="auto"/>
        </w:rPr>
        <w:t>(5)</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United Kingdom. Fair value of United-Kingdom domiciled investments represents 5.51% of net assets.</w:t>
      </w:r>
    </w:p>
    <w:p>
      <w:pPr>
        <w:spacing w:after="0" w:line="185" w:lineRule="auto"/>
        <w:rPr>
          <w:sz w:val="20"/>
          <w:szCs w:val="20"/>
          <w:color w:val="auto"/>
        </w:rPr>
      </w:pPr>
      <w:r>
        <w:rPr>
          <w:rFonts w:ascii="Times New Roman" w:cs="Times New Roman" w:eastAsia="Times New Roman" w:hAnsi="Times New Roman"/>
          <w:sz w:val="6"/>
          <w:szCs w:val="6"/>
          <w:color w:val="auto"/>
        </w:rPr>
        <w:t>(6)</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Germany. Fair value of Germany domiciled investments represents 6.64% of net assets.</w:t>
      </w:r>
    </w:p>
    <w:p>
      <w:pPr>
        <w:spacing w:after="0" w:line="185" w:lineRule="auto"/>
        <w:rPr>
          <w:sz w:val="20"/>
          <w:szCs w:val="20"/>
          <w:color w:val="auto"/>
        </w:rPr>
      </w:pPr>
      <w:r>
        <w:rPr>
          <w:rFonts w:ascii="Times New Roman" w:cs="Times New Roman" w:eastAsia="Times New Roman" w:hAnsi="Times New Roman"/>
          <w:sz w:val="6"/>
          <w:szCs w:val="6"/>
          <w:color w:val="auto"/>
        </w:rPr>
        <w:t>(7)</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Canada. Fair value of Canadian domiciled investments represents 2.83% of net assets.</w:t>
      </w:r>
    </w:p>
    <w:p>
      <w:pPr>
        <w:spacing w:after="0" w:line="185" w:lineRule="auto"/>
        <w:rPr>
          <w:sz w:val="20"/>
          <w:szCs w:val="20"/>
          <w:color w:val="auto"/>
        </w:rPr>
      </w:pPr>
      <w:r>
        <w:rPr>
          <w:rFonts w:ascii="Times New Roman" w:cs="Times New Roman" w:eastAsia="Times New Roman" w:hAnsi="Times New Roman"/>
          <w:sz w:val="6"/>
          <w:szCs w:val="6"/>
          <w:color w:val="auto"/>
        </w:rPr>
        <w:t>(8)</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Netherlands. Fair value of Dutch domiciled investments represents 3.34% of net assets.</w:t>
      </w:r>
    </w:p>
    <w:p>
      <w:pPr>
        <w:spacing w:after="0" w:line="186" w:lineRule="auto"/>
        <w:rPr>
          <w:sz w:val="20"/>
          <w:szCs w:val="20"/>
          <w:color w:val="auto"/>
        </w:rPr>
      </w:pPr>
      <w:r>
        <w:rPr>
          <w:rFonts w:ascii="Times New Roman" w:cs="Times New Roman" w:eastAsia="Times New Roman" w:hAnsi="Times New Roman"/>
          <w:sz w:val="6"/>
          <w:szCs w:val="6"/>
          <w:color w:val="auto"/>
        </w:rPr>
        <w:t>(9)</w:t>
      </w:r>
    </w:p>
    <w:p>
      <w:pPr>
        <w:ind w:left="400" w:right="200"/>
        <w:spacing w:after="0" w:line="229" w:lineRule="auto"/>
        <w:rPr>
          <w:sz w:val="20"/>
          <w:szCs w:val="20"/>
          <w:color w:val="auto"/>
        </w:rPr>
      </w:pPr>
      <w:r>
        <w:rPr>
          <w:rFonts w:ascii="Times New Roman" w:cs="Times New Roman" w:eastAsia="Times New Roman" w:hAnsi="Times New Roman"/>
          <w:sz w:val="13"/>
          <w:szCs w:val="13"/>
          <w:color w:val="auto"/>
        </w:rPr>
        <w:t>Investment is not a qualifying investment as defined under Section 55(a) of the Investment Company Act of 1940, as amended. The fair value of non-qualifying assets represents 9.28% of total assets as of December 31, 2024.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86" w:lineRule="auto"/>
        <w:rPr>
          <w:sz w:val="20"/>
          <w:szCs w:val="20"/>
          <w:color w:val="auto"/>
        </w:rPr>
      </w:pPr>
      <w:r>
        <w:rPr>
          <w:rFonts w:ascii="Times New Roman" w:cs="Times New Roman" w:eastAsia="Times New Roman" w:hAnsi="Times New Roman"/>
          <w:sz w:val="6"/>
          <w:szCs w:val="6"/>
          <w:color w:val="auto"/>
        </w:rPr>
        <w:t>(10)</w:t>
      </w:r>
    </w:p>
    <w:p>
      <w:pPr>
        <w:ind w:left="400"/>
        <w:spacing w:after="0" w:line="195" w:lineRule="auto"/>
        <w:rPr>
          <w:sz w:val="20"/>
          <w:szCs w:val="20"/>
          <w:color w:val="auto"/>
        </w:rPr>
      </w:pPr>
      <w:r>
        <w:rPr>
          <w:rFonts w:ascii="Times New Roman" w:cs="Times New Roman" w:eastAsia="Times New Roman" w:hAnsi="Times New Roman"/>
          <w:sz w:val="11"/>
          <w:szCs w:val="11"/>
          <w:color w:val="auto"/>
        </w:rPr>
        <w:t>Represents a PIK security. PIK interest will be accrued and paid at maturity. For any investments denoting a "cash cap", any interest above such cap will be recorded as PIK interest.</w:t>
      </w:r>
    </w:p>
    <w:p>
      <w:pPr>
        <w:spacing w:after="0" w:line="185" w:lineRule="auto"/>
        <w:rPr>
          <w:sz w:val="20"/>
          <w:szCs w:val="20"/>
          <w:color w:val="auto"/>
        </w:rPr>
      </w:pPr>
      <w:r>
        <w:rPr>
          <w:rFonts w:ascii="Times New Roman" w:cs="Times New Roman" w:eastAsia="Times New Roman" w:hAnsi="Times New Roman"/>
          <w:sz w:val="6"/>
          <w:szCs w:val="6"/>
          <w:color w:val="auto"/>
        </w:rPr>
        <w:t>(11)</w:t>
      </w:r>
    </w:p>
    <w:p>
      <w:pPr>
        <w:ind w:left="400"/>
        <w:spacing w:after="0" w:line="195" w:lineRule="auto"/>
        <w:rPr>
          <w:sz w:val="20"/>
          <w:szCs w:val="20"/>
          <w:color w:val="auto"/>
        </w:rPr>
      </w:pPr>
      <w:r>
        <w:rPr>
          <w:rFonts w:ascii="Times New Roman" w:cs="Times New Roman" w:eastAsia="Times New Roman" w:hAnsi="Times New Roman"/>
          <w:sz w:val="11"/>
          <w:szCs w:val="11"/>
          <w:color w:val="auto"/>
        </w:rPr>
        <w:t>Disclosures of end-of-term payments ("ETP") are one-time payments stated as a percentage of principal amount.</w:t>
      </w:r>
    </w:p>
    <w:p>
      <w:pPr>
        <w:spacing w:after="0" w:line="186" w:lineRule="auto"/>
        <w:rPr>
          <w:sz w:val="20"/>
          <w:szCs w:val="20"/>
          <w:color w:val="auto"/>
        </w:rPr>
      </w:pPr>
      <w:r>
        <w:rPr>
          <w:rFonts w:ascii="Times New Roman" w:cs="Times New Roman" w:eastAsia="Times New Roman" w:hAnsi="Times New Roman"/>
          <w:sz w:val="6"/>
          <w:szCs w:val="6"/>
          <w:color w:val="auto"/>
        </w:rPr>
        <w:t>(12)</w:t>
      </w:r>
    </w:p>
    <w:p>
      <w:pPr>
        <w:ind w:left="400"/>
        <w:spacing w:after="0" w:line="195" w:lineRule="auto"/>
        <w:rPr>
          <w:sz w:val="20"/>
          <w:szCs w:val="20"/>
          <w:color w:val="auto"/>
        </w:rPr>
      </w:pPr>
      <w:r>
        <w:rPr>
          <w:rFonts w:ascii="Times New Roman" w:cs="Times New Roman" w:eastAsia="Times New Roman" w:hAnsi="Times New Roman"/>
          <w:sz w:val="11"/>
          <w:szCs w:val="11"/>
          <w:color w:val="auto"/>
        </w:rPr>
        <w:t>The investment is an eligible loan investment in the collateral under the Credit Facility (as defined in "Note 7 – Borrowings").</w:t>
      </w:r>
    </w:p>
    <w:p>
      <w:pPr>
        <w:spacing w:after="0" w:line="185" w:lineRule="auto"/>
        <w:rPr>
          <w:sz w:val="20"/>
          <w:szCs w:val="20"/>
          <w:color w:val="auto"/>
        </w:rPr>
      </w:pPr>
      <w:r>
        <w:rPr>
          <w:rFonts w:ascii="Times New Roman" w:cs="Times New Roman" w:eastAsia="Times New Roman" w:hAnsi="Times New Roman"/>
          <w:sz w:val="6"/>
          <w:szCs w:val="6"/>
          <w:color w:val="auto"/>
        </w:rPr>
        <w:t>(13)</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Investments are non-income producing.</w:t>
      </w:r>
    </w:p>
    <w:p>
      <w:pPr>
        <w:spacing w:after="0" w:line="185" w:lineRule="auto"/>
        <w:rPr>
          <w:sz w:val="20"/>
          <w:szCs w:val="20"/>
          <w:color w:val="auto"/>
        </w:rPr>
      </w:pPr>
      <w:r>
        <w:rPr>
          <w:rFonts w:ascii="Times New Roman" w:cs="Times New Roman" w:eastAsia="Times New Roman" w:hAnsi="Times New Roman"/>
          <w:sz w:val="6"/>
          <w:szCs w:val="6"/>
          <w:color w:val="auto"/>
        </w:rPr>
        <w:t>(14)</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NYSE.</w:t>
      </w:r>
    </w:p>
    <w:p>
      <w:pPr>
        <w:spacing w:after="0" w:line="186" w:lineRule="auto"/>
        <w:rPr>
          <w:sz w:val="20"/>
          <w:szCs w:val="20"/>
          <w:color w:val="auto"/>
        </w:rPr>
      </w:pPr>
      <w:r>
        <w:rPr>
          <w:rFonts w:ascii="Times New Roman" w:cs="Times New Roman" w:eastAsia="Times New Roman" w:hAnsi="Times New Roman"/>
          <w:sz w:val="6"/>
          <w:szCs w:val="6"/>
          <w:color w:val="auto"/>
        </w:rPr>
        <w:t>(15)</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NASDAQ.</w:t>
      </w:r>
    </w:p>
    <w:p>
      <w:pPr>
        <w:spacing w:after="0" w:line="185" w:lineRule="auto"/>
        <w:rPr>
          <w:sz w:val="20"/>
          <w:szCs w:val="20"/>
          <w:color w:val="auto"/>
        </w:rPr>
      </w:pPr>
      <w:r>
        <w:rPr>
          <w:rFonts w:ascii="Times New Roman" w:cs="Times New Roman" w:eastAsia="Times New Roman" w:hAnsi="Times New Roman"/>
          <w:sz w:val="6"/>
          <w:szCs w:val="6"/>
          <w:color w:val="auto"/>
        </w:rPr>
        <w:t>(16)</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Australian Stock Exchange.</w:t>
      </w:r>
    </w:p>
    <w:p>
      <w:pPr>
        <w:spacing w:after="0" w:line="185" w:lineRule="auto"/>
        <w:rPr>
          <w:sz w:val="20"/>
          <w:szCs w:val="20"/>
          <w:color w:val="auto"/>
        </w:rPr>
      </w:pPr>
      <w:r>
        <w:rPr>
          <w:rFonts w:ascii="Times New Roman" w:cs="Times New Roman" w:eastAsia="Times New Roman" w:hAnsi="Times New Roman"/>
          <w:sz w:val="6"/>
          <w:szCs w:val="6"/>
          <w:color w:val="auto"/>
        </w:rPr>
        <w:t>(17)</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Euronext.</w:t>
      </w:r>
    </w:p>
    <w:p>
      <w:pPr>
        <w:spacing w:after="0" w:line="186" w:lineRule="auto"/>
        <w:rPr>
          <w:sz w:val="20"/>
          <w:szCs w:val="20"/>
          <w:color w:val="auto"/>
        </w:rPr>
      </w:pPr>
      <w:r>
        <w:rPr>
          <w:rFonts w:ascii="Times New Roman" w:cs="Times New Roman" w:eastAsia="Times New Roman" w:hAnsi="Times New Roman"/>
          <w:sz w:val="6"/>
          <w:szCs w:val="6"/>
          <w:color w:val="auto"/>
        </w:rPr>
        <w:t>(18)</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Deutsche Borse Xetra.</w:t>
      </w:r>
    </w:p>
    <w:p>
      <w:pPr>
        <w:spacing w:after="0" w:line="185" w:lineRule="auto"/>
        <w:rPr>
          <w:sz w:val="20"/>
          <w:szCs w:val="20"/>
          <w:color w:val="auto"/>
        </w:rPr>
      </w:pPr>
      <w:r>
        <w:rPr>
          <w:rFonts w:ascii="Times New Roman" w:cs="Times New Roman" w:eastAsia="Times New Roman" w:hAnsi="Times New Roman"/>
          <w:sz w:val="6"/>
          <w:szCs w:val="6"/>
          <w:color w:val="auto"/>
        </w:rPr>
        <w:t>(19)</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not a "restricted security" under the Securities Act.</w:t>
      </w:r>
    </w:p>
    <w:p>
      <w:pPr>
        <w:spacing w:after="0" w:line="185" w:lineRule="auto"/>
        <w:rPr>
          <w:sz w:val="20"/>
          <w:szCs w:val="20"/>
          <w:color w:val="auto"/>
        </w:rPr>
      </w:pPr>
      <w:r>
        <w:rPr>
          <w:rFonts w:ascii="Times New Roman" w:cs="Times New Roman" w:eastAsia="Times New Roman" w:hAnsi="Times New Roman"/>
          <w:sz w:val="6"/>
          <w:szCs w:val="6"/>
          <w:color w:val="auto"/>
        </w:rPr>
        <w:t>(20)</w:t>
      </w:r>
    </w:p>
    <w:p>
      <w:pPr>
        <w:ind w:left="400"/>
        <w:spacing w:after="0" w:line="195" w:lineRule="auto"/>
        <w:rPr>
          <w:sz w:val="20"/>
          <w:szCs w:val="20"/>
          <w:color w:val="auto"/>
        </w:rPr>
      </w:pPr>
      <w:r>
        <w:rPr>
          <w:rFonts w:ascii="Times New Roman" w:cs="Times New Roman" w:eastAsia="Times New Roman" w:hAnsi="Times New Roman"/>
          <w:sz w:val="11"/>
          <w:szCs w:val="11"/>
          <w:color w:val="auto"/>
        </w:rPr>
        <w:t>The warrant count is based upon a percentage of ownership of Fidelis Cybersecurity, Inc.</w:t>
      </w:r>
    </w:p>
    <w:p>
      <w:pPr>
        <w:spacing w:after="0" w:line="185" w:lineRule="auto"/>
        <w:rPr>
          <w:sz w:val="20"/>
          <w:szCs w:val="20"/>
          <w:color w:val="auto"/>
        </w:rPr>
      </w:pPr>
      <w:r>
        <w:rPr>
          <w:rFonts w:ascii="Times New Roman" w:cs="Times New Roman" w:eastAsia="Times New Roman" w:hAnsi="Times New Roman"/>
          <w:sz w:val="6"/>
          <w:szCs w:val="6"/>
          <w:color w:val="auto"/>
        </w:rPr>
        <w:t>(21)</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either a cash success fee payable or earnout of shares based on the consummation of certain trigger events.</w:t>
      </w:r>
    </w:p>
    <w:p>
      <w:pPr>
        <w:spacing w:after="0" w:line="186" w:lineRule="auto"/>
        <w:rPr>
          <w:sz w:val="20"/>
          <w:szCs w:val="20"/>
          <w:color w:val="auto"/>
        </w:rPr>
      </w:pPr>
      <w:r>
        <w:rPr>
          <w:rFonts w:ascii="Times New Roman" w:cs="Times New Roman" w:eastAsia="Times New Roman" w:hAnsi="Times New Roman"/>
          <w:sz w:val="6"/>
          <w:szCs w:val="6"/>
          <w:color w:val="auto"/>
        </w:rPr>
        <w:t>(22)</w:t>
      </w:r>
    </w:p>
    <w:p>
      <w:pPr>
        <w:jc w:val="both"/>
        <w:ind w:left="400" w:right="160"/>
        <w:spacing w:after="0" w:line="222" w:lineRule="auto"/>
        <w:rPr>
          <w:sz w:val="20"/>
          <w:szCs w:val="20"/>
          <w:color w:val="auto"/>
        </w:rPr>
      </w:pPr>
      <w:r>
        <w:rPr>
          <w:rFonts w:ascii="Times New Roman" w:cs="Times New Roman" w:eastAsia="Times New Roman" w:hAnsi="Times New Roman"/>
          <w:sz w:val="13"/>
          <w:szCs w:val="13"/>
          <w:color w:val="auto"/>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spacing w:after="0" w:line="185" w:lineRule="auto"/>
        <w:rPr>
          <w:sz w:val="20"/>
          <w:szCs w:val="20"/>
          <w:color w:val="auto"/>
        </w:rPr>
      </w:pPr>
      <w:r>
        <w:rPr>
          <w:rFonts w:ascii="Times New Roman" w:cs="Times New Roman" w:eastAsia="Times New Roman" w:hAnsi="Times New Roman"/>
          <w:sz w:val="6"/>
          <w:szCs w:val="6"/>
          <w:color w:val="auto"/>
        </w:rPr>
        <w:t>(23)</w:t>
      </w:r>
    </w:p>
    <w:p>
      <w:pPr>
        <w:ind w:left="400" w:right="100"/>
        <w:spacing w:after="0" w:line="207" w:lineRule="auto"/>
        <w:rPr>
          <w:sz w:val="20"/>
          <w:szCs w:val="20"/>
          <w:color w:val="auto"/>
        </w:rPr>
      </w:pPr>
      <w:r>
        <w:rPr>
          <w:rFonts w:ascii="Times New Roman" w:cs="Times New Roman" w:eastAsia="Times New Roman" w:hAnsi="Times New Roman"/>
          <w:sz w:val="13"/>
          <w:szCs w:val="13"/>
          <w:color w:val="auto"/>
        </w:rPr>
        <w:t>Investment represents a security with a tiered fee that increases quarterly, dependent upon the timing of repayment. Such fees are recorded in "Fee income" on the Consolidated Statements of Operations.</w:t>
      </w:r>
    </w:p>
    <w:p>
      <w:pPr>
        <w:spacing w:after="0" w:line="188" w:lineRule="auto"/>
        <w:rPr>
          <w:sz w:val="20"/>
          <w:szCs w:val="20"/>
          <w:color w:val="auto"/>
        </w:rPr>
      </w:pPr>
      <w:r>
        <w:rPr>
          <w:rFonts w:ascii="Times New Roman" w:cs="Times New Roman" w:eastAsia="Times New Roman" w:hAnsi="Times New Roman"/>
          <w:sz w:val="6"/>
          <w:szCs w:val="6"/>
          <w:color w:val="auto"/>
        </w:rPr>
        <w:t>(24)</w:t>
      </w:r>
    </w:p>
    <w:p>
      <w:pPr>
        <w:ind w:left="400" w:right="120"/>
        <w:spacing w:after="0" w:line="207" w:lineRule="auto"/>
        <w:rPr>
          <w:sz w:val="20"/>
          <w:szCs w:val="20"/>
          <w:color w:val="auto"/>
        </w:rPr>
      </w:pPr>
      <w:r>
        <w:rPr>
          <w:rFonts w:ascii="Times New Roman" w:cs="Times New Roman" w:eastAsia="Times New Roman" w:hAnsi="Times New Roman"/>
          <w:sz w:val="13"/>
          <w:szCs w:val="13"/>
          <w:color w:val="auto"/>
        </w:rPr>
        <w:t>The assets recovered on the senior secured term loan to Pivot3, Inc. were contributed to P3 Holdco LLC by the Company, a wholly owned subsidiary of the Company. For more information, refer to "Note 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Summary of Significant Accounting Policies, Principles of Consolidation".</w:t>
      </w:r>
    </w:p>
    <w:p>
      <w:pPr>
        <w:spacing w:after="0" w:line="186" w:lineRule="auto"/>
        <w:rPr>
          <w:sz w:val="20"/>
          <w:szCs w:val="20"/>
          <w:color w:val="auto"/>
        </w:rPr>
      </w:pPr>
      <w:r>
        <w:rPr>
          <w:rFonts w:ascii="Times New Roman" w:cs="Times New Roman" w:eastAsia="Times New Roman" w:hAnsi="Times New Roman"/>
          <w:sz w:val="6"/>
          <w:szCs w:val="6"/>
          <w:color w:val="auto"/>
        </w:rPr>
        <w:t>(25)</w:t>
      </w:r>
    </w:p>
    <w:p>
      <w:pPr>
        <w:ind w:left="400" w:right="360"/>
        <w:spacing w:after="0" w:line="207" w:lineRule="auto"/>
        <w:rPr>
          <w:sz w:val="20"/>
          <w:szCs w:val="20"/>
          <w:color w:val="auto"/>
        </w:rPr>
      </w:pPr>
      <w:r>
        <w:rPr>
          <w:rFonts w:ascii="Times New Roman" w:cs="Times New Roman" w:eastAsia="Times New Roman" w:hAnsi="Times New Roman"/>
          <w:sz w:val="13"/>
          <w:szCs w:val="13"/>
          <w:color w:val="auto"/>
        </w:rPr>
        <w:t>Affiliate portfolio company as defined under the 1940 Act in which the Company owns between 5% and 25% (inclusive) of the investment's voting securities and does not have rights to maintain greater than 50% representation on the board.</w:t>
      </w:r>
    </w:p>
    <w:p>
      <w:pPr>
        <w:spacing w:after="0" w:line="188" w:lineRule="auto"/>
        <w:rPr>
          <w:sz w:val="20"/>
          <w:szCs w:val="20"/>
          <w:color w:val="auto"/>
        </w:rPr>
      </w:pPr>
      <w:r>
        <w:rPr>
          <w:rFonts w:ascii="Times New Roman" w:cs="Times New Roman" w:eastAsia="Times New Roman" w:hAnsi="Times New Roman"/>
          <w:sz w:val="6"/>
          <w:szCs w:val="6"/>
          <w:color w:val="auto"/>
        </w:rPr>
        <w:t>(26)</w:t>
      </w:r>
    </w:p>
    <w:p>
      <w:pPr>
        <w:ind w:left="400" w:right="320"/>
        <w:spacing w:after="0" w:line="207" w:lineRule="auto"/>
        <w:rPr>
          <w:sz w:val="20"/>
          <w:szCs w:val="20"/>
          <w:color w:val="auto"/>
        </w:rPr>
      </w:pPr>
      <w:r>
        <w:rPr>
          <w:rFonts w:ascii="Times New Roman" w:cs="Times New Roman" w:eastAsia="Times New Roman" w:hAnsi="Times New Roman"/>
          <w:sz w:val="13"/>
          <w:szCs w:val="13"/>
          <w:color w:val="auto"/>
        </w:rPr>
        <w:t>Control portfolio company, as defined under the 1940 Act, in which the Company owns more than 25% of the investment’s voting securities or has greater than 50% representation on its board.</w:t>
      </w:r>
    </w:p>
    <w:p>
      <w:pPr>
        <w:spacing w:after="0" w:line="188" w:lineRule="auto"/>
        <w:rPr>
          <w:sz w:val="20"/>
          <w:szCs w:val="20"/>
          <w:color w:val="auto"/>
        </w:rPr>
      </w:pPr>
      <w:r>
        <w:rPr>
          <w:rFonts w:ascii="Times New Roman" w:cs="Times New Roman" w:eastAsia="Times New Roman" w:hAnsi="Times New Roman"/>
          <w:sz w:val="6"/>
          <w:szCs w:val="6"/>
          <w:color w:val="auto"/>
        </w:rPr>
        <w:t>(27)</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was on non-accrual status as of December 31, 2024 and was therefore considered non-income producing.</w:t>
      </w:r>
    </w:p>
    <w:p>
      <w:pPr>
        <w:spacing w:after="0" w:line="185" w:lineRule="auto"/>
        <w:rPr>
          <w:sz w:val="20"/>
          <w:szCs w:val="20"/>
          <w:color w:val="auto"/>
        </w:rPr>
      </w:pPr>
      <w:r>
        <w:rPr>
          <w:rFonts w:ascii="Times New Roman" w:cs="Times New Roman" w:eastAsia="Times New Roman" w:hAnsi="Times New Roman"/>
          <w:sz w:val="6"/>
          <w:szCs w:val="6"/>
          <w:color w:val="auto"/>
        </w:rPr>
        <w:t>(28)</w:t>
      </w:r>
    </w:p>
    <w:p>
      <w:pPr>
        <w:ind w:left="400"/>
        <w:spacing w:after="0" w:line="195" w:lineRule="auto"/>
        <w:rPr>
          <w:sz w:val="20"/>
          <w:szCs w:val="20"/>
          <w:color w:val="auto"/>
        </w:rPr>
      </w:pPr>
      <w:r>
        <w:rPr>
          <w:rFonts w:ascii="Times New Roman" w:cs="Times New Roman" w:eastAsia="Times New Roman" w:hAnsi="Times New Roman"/>
          <w:sz w:val="11"/>
          <w:szCs w:val="11"/>
          <w:color w:val="auto"/>
        </w:rPr>
        <w:t>Sale of equity security was subject to a lock-up period until January 22, 2025.</w:t>
      </w:r>
    </w:p>
    <w:p>
      <w:pPr>
        <w:spacing w:after="0" w:line="186" w:lineRule="auto"/>
        <w:rPr>
          <w:sz w:val="20"/>
          <w:szCs w:val="20"/>
          <w:color w:val="auto"/>
        </w:rPr>
      </w:pPr>
      <w:r>
        <w:rPr>
          <w:rFonts w:ascii="Times New Roman" w:cs="Times New Roman" w:eastAsia="Times New Roman" w:hAnsi="Times New Roman"/>
          <w:sz w:val="6"/>
          <w:szCs w:val="6"/>
          <w:color w:val="auto"/>
        </w:rPr>
        <w:t>(29)</w:t>
      </w:r>
    </w:p>
    <w:p>
      <w:pPr>
        <w:ind w:left="400"/>
        <w:spacing w:after="0" w:line="195" w:lineRule="auto"/>
        <w:rPr>
          <w:sz w:val="20"/>
          <w:szCs w:val="20"/>
          <w:color w:val="auto"/>
        </w:rPr>
      </w:pPr>
      <w:r>
        <w:rPr>
          <w:rFonts w:ascii="Times New Roman" w:cs="Times New Roman" w:eastAsia="Times New Roman" w:hAnsi="Times New Roman"/>
          <w:sz w:val="11"/>
          <w:szCs w:val="11"/>
          <w:color w:val="auto"/>
        </w:rPr>
        <w:t>JobGet Holdings, Inc. (fka Snagajob.com, Inc.) has the right of first refusal on sale of preferred stock.</w:t>
      </w:r>
    </w:p>
    <w:p>
      <w:pPr>
        <w:spacing w:after="0" w:line="185" w:lineRule="auto"/>
        <w:rPr>
          <w:sz w:val="20"/>
          <w:szCs w:val="20"/>
          <w:color w:val="auto"/>
        </w:rPr>
      </w:pPr>
      <w:r>
        <w:rPr>
          <w:rFonts w:ascii="Times New Roman" w:cs="Times New Roman" w:eastAsia="Times New Roman" w:hAnsi="Times New Roman"/>
          <w:sz w:val="6"/>
          <w:szCs w:val="6"/>
          <w:color w:val="auto"/>
        </w:rPr>
        <w:t>(30)</w:t>
      </w:r>
    </w:p>
    <w:p>
      <w:pPr>
        <w:ind w:left="400"/>
        <w:spacing w:after="0" w:line="195" w:lineRule="auto"/>
        <w:rPr>
          <w:sz w:val="20"/>
          <w:szCs w:val="20"/>
          <w:color w:val="auto"/>
        </w:rPr>
      </w:pPr>
      <w:r>
        <w:rPr>
          <w:rFonts w:ascii="Times New Roman" w:cs="Times New Roman" w:eastAsia="Times New Roman" w:hAnsi="Times New Roman"/>
          <w:sz w:val="11"/>
          <w:szCs w:val="11"/>
          <w:color w:val="auto"/>
        </w:rPr>
        <w:t>Gynesonics, Inc. had the right of first refusal on sale of preferred stock.</w:t>
      </w:r>
    </w:p>
    <w:p>
      <w:pPr>
        <w:spacing w:after="0" w:line="185" w:lineRule="auto"/>
        <w:rPr>
          <w:sz w:val="20"/>
          <w:szCs w:val="20"/>
          <w:color w:val="auto"/>
        </w:rPr>
      </w:pPr>
      <w:r>
        <w:rPr>
          <w:rFonts w:ascii="Times New Roman" w:cs="Times New Roman" w:eastAsia="Times New Roman" w:hAnsi="Times New Roman"/>
          <w:sz w:val="6"/>
          <w:szCs w:val="6"/>
          <w:color w:val="auto"/>
        </w:rPr>
        <w:t>*</w:t>
      </w:r>
    </w:p>
    <w:p>
      <w:pPr>
        <w:ind w:left="400"/>
        <w:spacing w:after="0"/>
        <w:rPr>
          <w:sz w:val="20"/>
          <w:szCs w:val="20"/>
          <w:color w:val="auto"/>
        </w:rPr>
      </w:pPr>
      <w:r>
        <w:rPr>
          <w:rFonts w:ascii="Times New Roman" w:cs="Times New Roman" w:eastAsia="Times New Roman" w:hAnsi="Times New Roman"/>
          <w:sz w:val="13"/>
          <w:szCs w:val="13"/>
          <w:color w:val="auto"/>
        </w:rPr>
        <w:t>Fair value as a percentage of net assets.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21" w:name="page22"/>
    <w:bookmarkEnd w:id="2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Organization</w:t>
      </w:r>
    </w:p>
    <w:p>
      <w:pPr>
        <w:spacing w:after="0" w:line="19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spacing w:after="0" w:line="169"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6"/>
          <w:szCs w:val="16"/>
          <w:color w:val="auto"/>
        </w:rPr>
        <w:t>The Company was formed primarily to lend to, and selectively invest in, high growth-potential companies in technology, healthcare, business services, financial services, and select consumer services and products in other high growth industries. The Company’s investment objective is to maximize its total return to its stockholders primarily through current income on its loan portfolio, and secondarily through capital gain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 On January 30, 2025, a private investment fund advised by BC Partners Advisors L.P. ("BC Partners") acquired the majority equity interest of RGC, and Mount Logan Capital Inc., an affiliate of BC Partners, acquired the remaining minority equity interest, together acquiring the entirety of the outstanding equity interest of RGC (the "BCP Transaction").</w:t>
      </w:r>
    </w:p>
    <w:p>
      <w:pPr>
        <w:spacing w:after="0" w:line="173"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("NASDAQ") on October 21, 2021, under the symbol "RWAY".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2" w:lineRule="exact"/>
        <w:rPr>
          <w:sz w:val="20"/>
          <w:szCs w:val="20"/>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The accompanying interim unaudited consolidated financial statements of the Company are prepared on the accrual basis of accounting in conformity with U.S. Generally Accepted Accounting Principles ("U.S. GAAP") and pursuant to the requirements for reporting on Form 10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Q and in compliance with Regulation S-X under the Securities Exchange Act of 1934, as amended.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4"/>
          <w:szCs w:val="14"/>
          <w:i w:val="1"/>
          <w:iCs w:val="1"/>
          <w:color w:val="auto"/>
        </w:rPr>
        <w:t>Financial Services — Investment Companies</w:t>
      </w:r>
      <w:r>
        <w:rPr>
          <w:rFonts w:ascii="Times New Roman" w:cs="Times New Roman" w:eastAsia="Times New Roman" w:hAnsi="Times New Roman"/>
          <w:sz w:val="14"/>
          <w:szCs w:val="14"/>
          <w:color w:val="auto"/>
        </w:rPr>
        <w:t xml:space="preserve"> ("ASC 946").</w:t>
      </w:r>
    </w:p>
    <w:p>
      <w:pPr>
        <w:spacing w:after="0" w:line="17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2025. The interim unaudited consolidated financial statements and notes hereto should be read in conjunction with the audited consolidated financial statements and notes thereto contained in the Company’s annual report on Form 10-K, as modified by the annual report on Form 10-K/A, for the year ended December 31, 2024, filed with the Securities and Exchange Commission (the "SEC") on March 20, 2025 and March 27, 2025, respectively.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2" w:name="page23"/>
    <w:bookmarkEnd w:id="2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Under ASC 946, the Company is precluded from consolidating portfolio company investments, including those in which it has a controlling interest, unless the portfolio company is another investment company that is substantially wholly owned by it.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spacing w:after="0" w:line="17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The Company’s consolidated operations include the activities of its wholly owned subsidiary, P3 Holdco LLC ("P3 Holdco") . P3 Holdco serves to facilitate the Company’s investment in Pivot3, Inc. ("Pivot3"). As a result, the Company consolidates the financial results of P3 Holdco in its consolidated financial statements in accordance with ASC 946 and treats its indirect investment in Pivot3 as a portfolio investment held at fair value. All intercompany balances and transactions have been eliminated. The Company has determined that Runway-Cadma I LLC (the "JV") is an investment company under ASC Topic 946. However, in accordance with such guidance, the Company will generally not consolidate its investment in a company other than a substantially wholly owned investment company subsidiary, which is an extension of the operations of the Company, or a controlled operating company whose business consists of providing services to the Company. The Company does not consolidate its interest in the JV as it is not a substantially wholly owned investment company subsidiary of the Company. In addition, the JV is not an operating company and the Company does not control the JV due to the allocation of voting rights among the JV members. As a result, the JV is accounted for as a portfolio investment of the Company held at fair value and not included as a consolidated subsidiary in the Company's financial statements. Refer to the Consolidated Schedule of Investments for the Company’s equity interest in Pivot3 and the JV as of March 31,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Transfers of Financial Assets</w:t>
      </w:r>
    </w:p>
    <w:p>
      <w:pPr>
        <w:spacing w:after="0" w:line="192"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The Company follows the guidance in ASC Topic 860, Transfers and Servicing, when accounting for transferred financial assets such as debt and equity assignments. Such guidance requires an assignment to meet the definition of a "participating interest", as defined in the guidance, and the following conditions to be met in order for sale treatment to be allowed:</w:t>
      </w:r>
    </w:p>
    <w:p>
      <w:pPr>
        <w:spacing w:after="0" w:line="68" w:lineRule="exact"/>
        <w:rPr>
          <w:sz w:val="20"/>
          <w:szCs w:val="20"/>
          <w:color w:val="auto"/>
        </w:rPr>
      </w:pPr>
    </w:p>
    <w:p>
      <w:pPr>
        <w:ind w:left="360" w:right="400"/>
        <w:spacing w:after="0" w:line="259" w:lineRule="auto"/>
        <w:rPr>
          <w:sz w:val="20"/>
          <w:szCs w:val="20"/>
          <w:color w:val="auto"/>
        </w:rPr>
      </w:pPr>
      <w:r>
        <w:rPr>
          <w:rFonts w:ascii="Times New Roman" w:cs="Times New Roman" w:eastAsia="Times New Roman" w:hAnsi="Times New Roman"/>
          <w:sz w:val="16"/>
          <w:szCs w:val="16"/>
          <w:color w:val="auto"/>
        </w:rPr>
        <w:t>•assigned investments have been isolated from the Company and put presumptively beyond the reach of the Company and its creditors, even in bankruptcy or other receivership;</w:t>
      </w:r>
    </w:p>
    <w:p>
      <w:pPr>
        <w:spacing w:after="0" w:line="59"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•each participant has the right to pledge or exchange the assigned investments it received, and no condition both constrains the participant from taking advantage of its right to pledge or exchange and provides more than a trivial benefit to the Company; and</w:t>
      </w:r>
    </w:p>
    <w:p>
      <w:pPr>
        <w:spacing w:after="0" w:line="59"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•the Company, its consolidated affiliates or its agents do not maintain effective control over the assigned investments through either: (i) an agreement that entitles and/or obligates the Company to repurchase or redeem the assets before maturity, or (ii) the ability to unilaterally cause the holder to return the specific assets, other than through a cleanup call.</w:t>
      </w:r>
    </w:p>
    <w:p>
      <w:pPr>
        <w:spacing w:after="0" w:line="6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Assignments and other partial debt or equity sales that do not meet the definition of a participating interest or the above conditions, should remain on the Company's Consolidated Statements of Assets and Liabilities and the proceeds recorded as a secured borrowing until the definition is met.</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3" w:name="page24"/>
    <w:bookmarkEnd w:id="2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Runway-Cadma I LLC</w:t>
      </w:r>
    </w:p>
    <w:p>
      <w:pPr>
        <w:spacing w:after="0" w:line="1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Company entered into a joint venture agreement, effective as of March 6, 2024, with Cadma Capital Partners LLC ("Cadma") to create and co-manage the JV. The JV may invest in secured loans to growth -stage companies that have been originated by the Company. The Company and Cadma have equal ownership of the JV and each committed to provide $35.0 million of the total $70.0 million in equity capital. All portfolio decisions and generally all other actions with respect to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56"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the Company's portfolio companies, and any other parameters used in determining these estimates and assumptions could cause actual results to differ from these estimates and assumptions.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5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Cash consists solely of funds deposited with financial institutions, while cash equivalents consist of short-term liquid investments in money market funds. Cash and cash equivalents are carried at cost, which approximates fair value. As of March 31, 2025 and December 31, 2024, $3.5 million and $4.0 million was invested in money market funds, respectively. Dividends earned from money market funds are recorded in "Other income" on the Consolidated Statements of Operations. The Company may hold foreign cash from time to time as a result of transactions related to investments denominated in foreign currencies. Foreign cash includes the value of foreign currencies held and translated using the prevailing foreign exchange rates on the reporting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Denominated in Foreign Currency</w:t>
      </w:r>
    </w:p>
    <w:p>
      <w:pPr>
        <w:spacing w:after="0" w:line="19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At each balance sheet date, portfolio company investments denominated in foreign currencies and any related receivables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March 31, 2025, the Company held two investments denominated in British pound sterling, and one investment denominated in Euros. As of December 31, 2024, the Company held two investments denominated in British pound sterling, and one investment denominated in Euros. Refer to the Consolidated Schedule of Investments and respective footnotes to the Consolidated Schedule of Investments for more details on the portfolio company investments held in foreign currencies as of March 31, 2025 and December 31, 2024.</w:t>
      </w:r>
    </w:p>
    <w:p>
      <w:pPr>
        <w:spacing w:after="0" w:line="14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non-control/non-affiliate investments" on the Consolidated Statements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and Deferred Financing Costs</w:t>
      </w:r>
    </w:p>
    <w:p>
      <w:pPr>
        <w:spacing w:after="0" w:line="1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debt of the Company is carried at amortized cost on the Consolidated Statements of Assets and Liabilities, which is comprised of the principal amount borrowed, net of unamortized debt financing costs. Debt financing costs ("DFC") are fees and other direct incremental costs incurred by the Company in relation to debt financing and are amortized over the life of the related debt instrument or the life of the cost respective service, if shorter, using the straight-line method, which closely approximates the effective yield method. Amortization of such debt financing costs and interest expense on the outstanding principal balance are recorded in "Interest and other debt financing expenses" on the Consolidated Statements of Operations. Debt financing costs that have not yet been amortized are recorded as "Unamortized deferred financing costs" on the Consolidated Statements of Assets and Liabilities. To the extent there are no outstanding borrowings, the deferred financing costs are presented as an asset on the Consolidated Statements of Assets and Liabilities. Accrued but unpaid interest is included within "Interest payable" on the Consolidated Statements of Assets and Liabilities. For more information, refer to "Note 7 – Borrowings."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4" w:name="page25"/>
    <w:bookmarkEnd w:id="2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Transactions and Related Investment Income</w:t>
      </w:r>
    </w:p>
    <w:p>
      <w:pPr>
        <w:spacing w:after="0" w:line="15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Company’s investment portfolio generates interest, fee, and dividend income. The Company records interest income on an accrual basis, recognizing income as earned in accordance with the contractual terms of the loan agreement, to the extent that such amounts are expected to be collected. The cost of each debt investment is adjusted for any discounts, premiums, upfront fees, and carve-outs representing the value of detachable equity, warrants, or another asset obtained in conjunction with the acquisition of debt investments (collectively "OID"), as well as any contractual end-of-term payments ("ETP"). The OID and ETP are capitalized into the adjusted cost basis and recorded as interest income over the term of the loan as a yield enhancement following the effective interest method. Upon prepayment of a debt investment, any unamortized OID and ETP is recorded as interest income and any prepayment penalties are recorded as fee income. Upon amending terms of an existing investment, any amendment fees charged are recorded as fee income. Fee income may also include income from bridge loans.</w:t>
      </w:r>
    </w:p>
    <w:p>
      <w:pPr>
        <w:spacing w:after="0" w:line="9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Company currently holds, and expects to hold in the future, some investments in its portfolio with payment-in-kind ("PIK") interest provisions. PIK interest is computed at the contractual rate specified in each loan agreement and is added to the principal balance of the loan, rather than being paid to the Company in cash, and is recorded as interest income. The actual collection of PIK interest may be deferred until the time of debt principal repayment. PIK interest, which is a non- cash source of income, is included in the Company’s taxable income and therefore affects the amount of income the Company is required to distribute to stockholders to maintain its qualification as a RIC for U.S. federal income tax purposes. For the three months ended March 31, 2025, 10.3% of the Company’s total investment income was attributable to non-cash PIK interest. For the three months ended March 31, 2024, 10.5% of the Company’s total investment income was attributable to non-cash PIK interest.</w:t>
      </w:r>
    </w:p>
    <w:p>
      <w:pPr>
        <w:spacing w:after="0" w:line="98"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Dividend income is recorded on an accrual basis to the extent that such amounts are payable and expected to be collected. Dividend income is recorded on the record date for private portfolio companies and on the ex-dividend date for publicly traded portfolio companies. Interest income, if any, adjusted for amortization of market premium and accretion of OID and ETP, is recorded on an accrual basis to the extent that the Company expects to collect such amounts.</w:t>
      </w:r>
    </w:p>
    <w:p>
      <w:pPr>
        <w:spacing w:after="0" w:line="92"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16"/>
          <w:szCs w:val="16"/>
          <w:color w:val="auto"/>
        </w:rPr>
        <w:t>Security transactions, if any, are recorded on a trade-date basis. Realized gains or losses from the repayment or sale of investments are measured using the specific identification method. The Company reports changes in fair value of investments from the prior period as a component of "Net change in unrealized gain (loss) on investments" on the Consolidated Statements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Non-Accrual Investments</w:t>
      </w:r>
    </w:p>
    <w:p>
      <w:pPr>
        <w:spacing w:after="0" w:line="12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Debt investments are placed on non- 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and ETP associated with the debt investment is no longer accreted to interest income as of the date the loan is placed on non-accrual status. Any payments received on non- accrual loans are first applied to principal prior to recovery of any foregone interest or ETP.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ETP.</w:t>
      </w:r>
    </w:p>
    <w:p>
      <w:pPr>
        <w:spacing w:after="0" w:line="75"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cost, fair value, and types of income not recorded in "Interest income" on the Consolidated Statements of Operations related to senior secured term loans on non-accrual status as of March 31, 2025 and December 31,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9"/>
              </w:rPr>
              <w:t>Forgone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Forgone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as 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tcPr>
          <w:p>
            <w:pPr>
              <w:jc w:val="center"/>
              <w:ind w:left="194"/>
              <w:spacing w:after="0" w:line="145" w:lineRule="exact"/>
              <w:rPr>
                <w:sz w:val="20"/>
                <w:szCs w:val="20"/>
                <w:color w:val="auto"/>
              </w:rPr>
            </w:pPr>
            <w:r>
              <w:rPr>
                <w:rFonts w:ascii="Times New Roman" w:cs="Times New Roman" w:eastAsia="Times New Roman" w:hAnsi="Times New Roman"/>
                <w:sz w:val="13"/>
                <w:szCs w:val="13"/>
                <w:b w:val="1"/>
                <w:bCs w:val="1"/>
                <w:color w:val="auto"/>
                <w:w w:val="98"/>
              </w:rPr>
              <w:t>Date of Non-</w:t>
            </w:r>
          </w:p>
        </w:tc>
        <w:tc>
          <w:tcPr>
            <w:tcW w:w="120" w:type="dxa"/>
            <w:vAlign w:val="bottom"/>
          </w:tcPr>
          <w:p>
            <w:pPr>
              <w:spacing w:after="0"/>
              <w:rPr>
                <w:sz w:val="12"/>
                <w:szCs w:val="12"/>
                <w:color w:val="auto"/>
              </w:rPr>
            </w:pPr>
          </w:p>
        </w:tc>
        <w:tc>
          <w:tcPr>
            <w:tcW w:w="800" w:type="dxa"/>
            <w:vAlign w:val="bottom"/>
          </w:tcPr>
          <w:p>
            <w:pPr>
              <w:jc w:val="center"/>
              <w:ind w:right="174"/>
              <w:spacing w:after="0" w:line="14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2"/>
                <w:szCs w:val="12"/>
                <w:color w:val="auto"/>
              </w:rPr>
            </w:pPr>
          </w:p>
        </w:tc>
        <w:tc>
          <w:tcPr>
            <w:tcW w:w="900" w:type="dxa"/>
            <w:vAlign w:val="bottom"/>
            <w:gridSpan w:val="2"/>
          </w:tcPr>
          <w:p>
            <w:pPr>
              <w:jc w:val="center"/>
              <w:ind w:right="54"/>
              <w:spacing w:after="0" w:line="145" w:lineRule="exact"/>
              <w:rPr>
                <w:sz w:val="20"/>
                <w:szCs w:val="20"/>
                <w:color w:val="auto"/>
              </w:rPr>
            </w:pPr>
            <w:r>
              <w:rPr>
                <w:rFonts w:ascii="Times New Roman" w:cs="Times New Roman" w:eastAsia="Times New Roman" w:hAnsi="Times New Roman"/>
                <w:sz w:val="13"/>
                <w:szCs w:val="13"/>
                <w:b w:val="1"/>
                <w:bCs w:val="1"/>
                <w:color w:val="auto"/>
              </w:rPr>
              <w:t>Accretion of</w:t>
            </w:r>
          </w:p>
        </w:tc>
        <w:tc>
          <w:tcPr>
            <w:tcW w:w="1040" w:type="dxa"/>
            <w:vAlign w:val="bottom"/>
            <w:gridSpan w:val="3"/>
          </w:tcPr>
          <w:p>
            <w:pPr>
              <w:jc w:val="right"/>
              <w:ind w:right="34"/>
              <w:spacing w:after="0" w:line="145" w:lineRule="exact"/>
              <w:rPr>
                <w:sz w:val="20"/>
                <w:szCs w:val="20"/>
                <w:color w:val="auto"/>
              </w:rPr>
            </w:pPr>
            <w:r>
              <w:rPr>
                <w:rFonts w:ascii="Times New Roman" w:cs="Times New Roman" w:eastAsia="Times New Roman" w:hAnsi="Times New Roman"/>
                <w:sz w:val="13"/>
                <w:szCs w:val="13"/>
                <w:b w:val="1"/>
                <w:bCs w:val="1"/>
                <w:color w:val="auto"/>
              </w:rPr>
              <w:t>Total Forgone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left="114"/>
              <w:spacing w:after="0" w:line="145"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rPr>
              <w:t>Accrual</w:t>
            </w:r>
          </w:p>
        </w:tc>
        <w:tc>
          <w:tcPr>
            <w:tcW w:w="120" w:type="dxa"/>
            <w:vAlign w:val="bottom"/>
          </w:tcPr>
          <w:p>
            <w:pPr>
              <w:spacing w:after="0"/>
              <w:rPr>
                <w:sz w:val="15"/>
                <w:szCs w:val="15"/>
                <w:color w:val="auto"/>
              </w:rPr>
            </w:pPr>
          </w:p>
        </w:tc>
        <w:tc>
          <w:tcPr>
            <w:tcW w:w="80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3"/>
                <w:szCs w:val="13"/>
                <w:b w:val="1"/>
                <w:bCs w:val="1"/>
                <w:color w:val="auto"/>
                <w:w w:val="96"/>
              </w:rPr>
              <w:t>Income</w:t>
            </w:r>
            <w:r>
              <w:rPr>
                <w:rFonts w:ascii="Times New Roman" w:cs="Times New Roman" w:eastAsia="Times New Roman" w:hAnsi="Times New Roman"/>
                <w:sz w:val="16"/>
                <w:szCs w:val="16"/>
                <w:b w:val="1"/>
                <w:bCs w:val="1"/>
                <w:color w:val="auto"/>
                <w:w w:val="96"/>
                <w:vertAlign w:val="superscript"/>
              </w:rPr>
              <w:t>(1)</w:t>
            </w:r>
          </w:p>
        </w:tc>
        <w:tc>
          <w:tcPr>
            <w:tcW w:w="120" w:type="dxa"/>
            <w:vAlign w:val="bottom"/>
          </w:tcPr>
          <w:p>
            <w:pPr>
              <w:spacing w:after="0"/>
              <w:rPr>
                <w:sz w:val="15"/>
                <w:szCs w:val="15"/>
                <w:color w:val="auto"/>
              </w:rPr>
            </w:pPr>
          </w:p>
        </w:tc>
        <w:tc>
          <w:tcPr>
            <w:tcW w:w="900" w:type="dxa"/>
            <w:vAlign w:val="bottom"/>
            <w:gridSpan w:val="2"/>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OID and ETP</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w w:val="94"/>
              </w:rPr>
              <w:t xml:space="preserve">Income </w:t>
            </w:r>
            <w:r>
              <w:rPr>
                <w:rFonts w:ascii="Times New Roman" w:cs="Times New Roman" w:eastAsia="Times New Roman" w:hAnsi="Times New Roman"/>
                <w:sz w:val="16"/>
                <w:szCs w:val="16"/>
                <w:b w:val="1"/>
                <w:bCs w:val="1"/>
                <w:color w:val="auto"/>
                <w:w w:val="94"/>
                <w:vertAlign w:val="superscript"/>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 Basis</w:t>
            </w:r>
          </w:p>
        </w:tc>
        <w:tc>
          <w:tcPr>
            <w:tcW w:w="120" w:type="dxa"/>
            <w:vAlign w:val="bottom"/>
          </w:tcPr>
          <w:p>
            <w:pPr>
              <w:spacing w:after="0"/>
              <w:rPr>
                <w:sz w:val="15"/>
                <w:szCs w:val="15"/>
                <w:color w:val="auto"/>
              </w:rPr>
            </w:pPr>
          </w:p>
        </w:tc>
        <w:tc>
          <w:tcPr>
            <w:tcW w:w="8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5"/>
                <w:szCs w:val="15"/>
                <w:color w:val="auto"/>
              </w:rPr>
            </w:pPr>
          </w:p>
        </w:tc>
        <w:tc>
          <w:tcPr>
            <w:tcW w:w="8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1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JobGet Holdings, Inc. (fka Snagajob.com, Inc.)</w:t>
            </w:r>
          </w:p>
        </w:tc>
        <w:tc>
          <w:tcPr>
            <w:tcW w:w="148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3"/>
                <w:szCs w:val="13"/>
                <w:color w:val="auto"/>
              </w:rPr>
              <w:t>3/31/2024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4,368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4,651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3,774</w:t>
            </w:r>
          </w:p>
        </w:tc>
        <w:tc>
          <w:tcPr>
            <w:tcW w:w="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2,574</w:t>
            </w:r>
          </w:p>
        </w:tc>
        <w:tc>
          <w:tcPr>
            <w:tcW w:w="8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w w:val="99"/>
              </w:rPr>
              <w:t>1/1/2024</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4,887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2,403</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0.24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FF0FC"/>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5,227</w:t>
            </w:r>
          </w:p>
        </w:tc>
        <w:tc>
          <w:tcPr>
            <w:tcW w:w="2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283</w:t>
            </w:r>
          </w:p>
        </w:tc>
        <w:tc>
          <w:tcPr>
            <w:tcW w:w="24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5,510</w:t>
            </w:r>
          </w:p>
        </w:tc>
        <w:tc>
          <w:tcPr>
            <w:tcW w:w="2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8,661</w:t>
            </w:r>
          </w:p>
        </w:tc>
        <w:tc>
          <w:tcPr>
            <w:tcW w:w="380" w:type="dxa"/>
            <w:vAlign w:val="bottom"/>
            <w:gridSpan w:val="2"/>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4,976</w:t>
            </w:r>
          </w:p>
        </w:tc>
        <w:tc>
          <w:tcPr>
            <w:tcW w:w="880" w:type="dxa"/>
            <w:vAlign w:val="bottom"/>
            <w:gridSpan w:val="2"/>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0.50</w:t>
            </w:r>
          </w:p>
        </w:tc>
        <w:tc>
          <w:tcPr>
            <w:tcW w:w="1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040" w:type="dxa"/>
            <w:vAlign w:val="bottom"/>
            <w:tcBorders>
              <w:top w:val="single" w:sz="8" w:color="CFF0FC"/>
            </w:tcBorders>
          </w:tcPr>
          <w:p>
            <w:pPr>
              <w:spacing w:after="0"/>
              <w:rPr>
                <w:sz w:val="11"/>
                <w:szCs w:val="11"/>
                <w:color w:val="auto"/>
              </w:rPr>
            </w:pPr>
          </w:p>
        </w:tc>
        <w:tc>
          <w:tcPr>
            <w:tcW w:w="14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JobGet Holdings, Inc. (fka Snagajob.com, Inc.)</w:t>
            </w:r>
          </w:p>
        </w:tc>
        <w:tc>
          <w:tcPr>
            <w:tcW w:w="148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3"/>
                <w:szCs w:val="13"/>
                <w:color w:val="auto"/>
              </w:rPr>
              <w:t>3/31/2024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4,243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4,526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3,774</w:t>
            </w:r>
          </w:p>
        </w:tc>
        <w:tc>
          <w:tcPr>
            <w:tcW w:w="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3,431</w:t>
            </w:r>
          </w:p>
        </w:tc>
        <w:tc>
          <w:tcPr>
            <w:tcW w:w="8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0.32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w w:val="99"/>
              </w:rPr>
              <w:t>1/1/2024</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4,952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2,148</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4,929</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283</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5,213</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8,726</w:t>
            </w:r>
          </w:p>
        </w:tc>
        <w:tc>
          <w:tcPr>
            <w:tcW w:w="380" w:type="dxa"/>
            <w:vAlign w:val="bottom"/>
            <w:tcBorders>
              <w:bottom w:val="single" w:sz="8" w:color="CFF0FC"/>
            </w:tcBorders>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5,580</w:t>
            </w:r>
          </w:p>
        </w:tc>
        <w:tc>
          <w:tcPr>
            <w:tcW w:w="880" w:type="dxa"/>
            <w:vAlign w:val="bottom"/>
            <w:tcBorders>
              <w:bottom w:val="single" w:sz="8" w:color="CFF0FC"/>
            </w:tcBorders>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0.52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Forgone interest income includes $0.3 million of accrued interest income that was reversed upon placement on non-accrual status.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5" w:name="page26"/>
    <w:bookmarkEnd w:id="2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The Company measures the value of its financial instruments at fair value in accordance with ASC Topic 820, </w:t>
      </w:r>
      <w:r>
        <w:rPr>
          <w:rFonts w:ascii="Times New Roman" w:cs="Times New Roman" w:eastAsia="Times New Roman" w:hAnsi="Times New Roman"/>
          <w:sz w:val="16"/>
          <w:szCs w:val="16"/>
          <w:i w:val="1"/>
          <w:iCs w:val="1"/>
          <w:color w:val="auto"/>
        </w:rPr>
        <w:t>Fair Value Measurements and Disclosure</w:t>
      </w:r>
      <w:r>
        <w:rPr>
          <w:rFonts w:ascii="Times New Roman" w:cs="Times New Roman" w:eastAsia="Times New Roman" w:hAnsi="Times New Roman"/>
          <w:sz w:val="16"/>
          <w:szCs w:val="16"/>
          <w:color w:val="auto"/>
        </w:rPr>
        <w:t xml:space="preserve"> ("ASC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spacing w:after="0" w:line="17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1—Valuations are based on quoted prices in active markets for identical assets or liabilities that are accessible at the measurement date.</w:t>
      </w:r>
    </w:p>
    <w:p>
      <w:pPr>
        <w:spacing w:after="0" w:line="92"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59" w:lineRule="exact"/>
        <w:rPr>
          <w:sz w:val="20"/>
          <w:szCs w:val="20"/>
          <w:color w:val="auto"/>
        </w:rPr>
      </w:pPr>
    </w:p>
    <w:p>
      <w:pPr>
        <w:ind w:left="360" w:right="80"/>
        <w:spacing w:after="0" w:line="243" w:lineRule="auto"/>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7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spacing w:after="0" w:line="12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Rule 2a-5 under the 1940 Act established additional requirements for determining the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26" w:name="page27"/>
    <w:bookmarkEnd w:id="2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Valuation Techniques</w:t>
      </w:r>
    </w:p>
    <w:p>
      <w:pPr>
        <w:spacing w:after="0" w:line="15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With respect to investments for which market quotations are not readily available, the Company undertakes a multi-step valuation process each quarter, as described below:</w:t>
      </w:r>
    </w:p>
    <w:p>
      <w:pPr>
        <w:spacing w:after="0" w:line="59" w:lineRule="exact"/>
        <w:rPr>
          <w:sz w:val="20"/>
          <w:szCs w:val="20"/>
          <w:color w:val="auto"/>
        </w:rPr>
      </w:pPr>
    </w:p>
    <w:p>
      <w:pPr>
        <w:ind w:left="280" w:right="200"/>
        <w:spacing w:after="0" w:line="259" w:lineRule="auto"/>
        <w:rPr>
          <w:sz w:val="20"/>
          <w:szCs w:val="20"/>
          <w:color w:val="auto"/>
        </w:rPr>
      </w:pPr>
      <w:r>
        <w:rPr>
          <w:rFonts w:ascii="Times New Roman" w:cs="Times New Roman" w:eastAsia="Times New Roman" w:hAnsi="Times New Roman"/>
          <w:sz w:val="16"/>
          <w:szCs w:val="16"/>
          <w:color w:val="auto"/>
        </w:rPr>
        <w:t>•The quarterly valuation process begins with each portfolio company investment being initially valued by RGC’s investment professionals that are responsible for the portfolio investment;</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•Preliminary valuation conclusions are then documented and discussed with RGC’s valuation committee;</w:t>
      </w:r>
    </w:p>
    <w:p>
      <w:pPr>
        <w:spacing w:after="0" w:line="92" w:lineRule="exact"/>
        <w:rPr>
          <w:sz w:val="20"/>
          <w:szCs w:val="20"/>
          <w:color w:val="auto"/>
        </w:rPr>
      </w:pPr>
    </w:p>
    <w:p>
      <w:pPr>
        <w:ind w:left="280" w:right="200"/>
        <w:spacing w:after="0" w:line="331" w:lineRule="auto"/>
        <w:rPr>
          <w:sz w:val="20"/>
          <w:szCs w:val="20"/>
          <w:color w:val="auto"/>
        </w:rPr>
      </w:pPr>
      <w:r>
        <w:rPr>
          <w:rFonts w:ascii="Times New Roman" w:cs="Times New Roman" w:eastAsia="Times New Roman" w:hAnsi="Times New Roman"/>
          <w:sz w:val="14"/>
          <w:szCs w:val="14"/>
          <w:color w:val="auto"/>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spacing w:after="0" w:line="12" w:lineRule="exact"/>
        <w:rPr>
          <w:sz w:val="20"/>
          <w:szCs w:val="20"/>
          <w:color w:val="auto"/>
        </w:rPr>
      </w:pPr>
    </w:p>
    <w:p>
      <w:pPr>
        <w:ind w:left="280" w:right="100"/>
        <w:spacing w:after="0" w:line="259" w:lineRule="auto"/>
        <w:rPr>
          <w:sz w:val="20"/>
          <w:szCs w:val="20"/>
          <w:color w:val="auto"/>
        </w:rPr>
      </w:pPr>
      <w:r>
        <w:rPr>
          <w:rFonts w:ascii="Times New Roman" w:cs="Times New Roman" w:eastAsia="Times New Roman" w:hAnsi="Times New Roman"/>
          <w:sz w:val="16"/>
          <w:szCs w:val="16"/>
          <w:color w:val="auto"/>
        </w:rPr>
        <w:t>•The Audit Committee of the Board of Directors (the "Audit Committee") then reviews these preliminary valuations from RGC and the independent valuation firm, if any, and makes a recommendation to the Board of Directors regarding such valuations; and</w:t>
      </w:r>
    </w:p>
    <w:p>
      <w:pPr>
        <w:spacing w:after="0" w:line="59" w:lineRule="exact"/>
        <w:rPr>
          <w:sz w:val="20"/>
          <w:szCs w:val="20"/>
          <w:color w:val="auto"/>
        </w:rPr>
      </w:pPr>
    </w:p>
    <w:p>
      <w:pPr>
        <w:ind w:left="280" w:right="340"/>
        <w:spacing w:after="0" w:line="259" w:lineRule="auto"/>
        <w:rPr>
          <w:sz w:val="20"/>
          <w:szCs w:val="20"/>
          <w:color w:val="auto"/>
        </w:rPr>
      </w:pPr>
      <w:r>
        <w:rPr>
          <w:rFonts w:ascii="Times New Roman" w:cs="Times New Roman" w:eastAsia="Times New Roman" w:hAnsi="Times New Roman"/>
          <w:sz w:val="16"/>
          <w:szCs w:val="16"/>
          <w:color w:val="auto"/>
        </w:rPr>
        <w:t>•The Board of Directors reviews the recommended preliminary valuations and determines the fair value of each investment in the Company’s portfolio, in good faith, based on the input of RGC, the independent valuation firm(s) and the Audit Committee.</w:t>
      </w:r>
    </w:p>
    <w:p>
      <w:pPr>
        <w:spacing w:after="0" w:line="5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Company’s investments are primarily loans made to and equity and warrants of small companies with potential for fast growth focused in technology, healthcare, business services, and other high -growth industries. These investments are considered Level 3 assets under ASC 820 because there are no known or accessible market or market indices for these types of debt and equity instruments and, thus, the Board of Directors must determine the fair value of these investment securities based on models utilizing unobservable inputs.</w:t>
      </w:r>
    </w:p>
    <w:p>
      <w:pPr>
        <w:spacing w:after="0" w:line="16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Audit Committee assists the Board of Directors in reviewing the fair value of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valuation committee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valuation committee considers relevant.</w:t>
      </w:r>
    </w:p>
    <w:p>
      <w:pPr>
        <w:spacing w:after="0" w:line="17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The Board of Directors makes this fair value determination on a quarterly basis and any other time when a decision regarding the fair value of the portfolio investments is required. There is no single standard for determining the fair value of investments that do not have an active public market. A determination of fair value of investments, particularly those of privately held companies, involves subjective judgments and estimates and depends on the facts and circumstances.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7" w:name="page28"/>
    <w:bookmarkEnd w:id="2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Investments</w:t>
      </w:r>
    </w:p>
    <w:p>
      <w:pPr>
        <w:spacing w:after="0" w:line="18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To determine the fair value of the Company’s debt investments, the Company compares the cost basis of the debt investment, which includes OID and ETP,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This valuation process includes, among other things, evaluating the underlying investment performance, the portfolio company’s financial condition, enterprise value and existing capital structure, as well as the ability to raise additional capital, and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spacing w:after="0" w:line="16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the debt investments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Warrants</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Fair value of warrants is primarily determined using a Black Scholes option-pricing model. Privately held warrants and equity-related securities are valued based on an analysis of various factors including, but not limited to, the following:</w:t>
      </w:r>
    </w:p>
    <w:p>
      <w:pPr>
        <w:spacing w:after="0" w:line="59" w:lineRule="exact"/>
        <w:rPr>
          <w:sz w:val="20"/>
          <w:szCs w:val="20"/>
          <w:color w:val="auto"/>
        </w:rPr>
      </w:pPr>
    </w:p>
    <w:p>
      <w:pPr>
        <w:ind w:left="360" w:right="20"/>
        <w:spacing w:after="0" w:line="239" w:lineRule="auto"/>
        <w:rPr>
          <w:sz w:val="20"/>
          <w:szCs w:val="20"/>
          <w:color w:val="auto"/>
        </w:rPr>
      </w:pPr>
      <w:r>
        <w:rPr>
          <w:rFonts w:ascii="Times New Roman" w:cs="Times New Roman" w:eastAsia="Times New Roman" w:hAnsi="Times New Roman"/>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74" w:lineRule="exact"/>
        <w:rPr>
          <w:sz w:val="20"/>
          <w:szCs w:val="20"/>
          <w:color w:val="auto"/>
        </w:rPr>
      </w:pPr>
    </w:p>
    <w:p>
      <w:pPr>
        <w:ind w:left="360"/>
        <w:spacing w:after="0" w:line="243" w:lineRule="auto"/>
        <w:rPr>
          <w:sz w:val="20"/>
          <w:szCs w:val="20"/>
          <w:color w:val="auto"/>
        </w:rPr>
      </w:pPr>
      <w:r>
        <w:rPr>
          <w:rFonts w:ascii="Times New Roman" w:cs="Times New Roman" w:eastAsia="Times New Roman" w:hAnsi="Times New Roman"/>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71" w:lineRule="exact"/>
        <w:rPr>
          <w:sz w:val="20"/>
          <w:szCs w:val="20"/>
          <w:color w:val="auto"/>
        </w:rPr>
      </w:pPr>
    </w:p>
    <w:p>
      <w:pPr>
        <w:ind w:left="360" w:right="160"/>
        <w:spacing w:after="0" w:line="243" w:lineRule="auto"/>
        <w:rPr>
          <w:sz w:val="20"/>
          <w:szCs w:val="20"/>
          <w:color w:val="auto"/>
        </w:rPr>
      </w:pPr>
      <w:r>
        <w:rPr>
          <w:rFonts w:ascii="Times New Roman" w:cs="Times New Roman" w:eastAsia="Times New Roman" w:hAnsi="Times New Roman"/>
          <w:sz w:val="16"/>
          <w:szCs w:val="16"/>
          <w:color w:val="auto"/>
        </w:rPr>
        <w:t>•The risk-free interest rates are derived from the U.S. Treasury yield curve. The risk-free interest rates are calculated based on a weighted average of the risk -free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71" w:lineRule="exact"/>
        <w:rPr>
          <w:sz w:val="20"/>
          <w:szCs w:val="20"/>
          <w:color w:val="auto"/>
        </w:rPr>
      </w:pPr>
    </w:p>
    <w:p>
      <w:pPr>
        <w:ind w:left="360" w:right="140"/>
        <w:spacing w:after="0" w:line="299" w:lineRule="auto"/>
        <w:rPr>
          <w:sz w:val="20"/>
          <w:szCs w:val="20"/>
          <w:color w:val="auto"/>
        </w:rPr>
      </w:pPr>
      <w:r>
        <w:rPr>
          <w:rFonts w:ascii="Times New Roman" w:cs="Times New Roman" w:eastAsia="Times New Roman" w:hAnsi="Times New Roman"/>
          <w:sz w:val="14"/>
          <w:szCs w:val="14"/>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34" w:lineRule="exact"/>
        <w:rPr>
          <w:sz w:val="20"/>
          <w:szCs w:val="20"/>
          <w:color w:val="auto"/>
        </w:rPr>
      </w:pPr>
    </w:p>
    <w:p>
      <w:pPr>
        <w:ind w:left="360" w:right="60"/>
        <w:spacing w:after="0" w:line="239" w:lineRule="auto"/>
        <w:rPr>
          <w:sz w:val="20"/>
          <w:szCs w:val="20"/>
          <w:color w:val="auto"/>
        </w:rPr>
      </w:pPr>
      <w:r>
        <w:rPr>
          <w:rFonts w:ascii="Times New Roman" w:cs="Times New Roman" w:eastAsia="Times New Roman" w:hAnsi="Times New Roman"/>
          <w:sz w:val="16"/>
          <w:szCs w:val="16"/>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8" w:name="page29"/>
    <w:bookmarkEnd w:id="2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Success fees are valued utilizing a scenario analysis. Fair value is determined based on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 Additionally, a waterfall approach, also known as the current value method, concludes the value of the security based on the current liquidation value, taking into account the concluded enterprise value and the rights and preferences of all the debt and equity securities that make up a company’s capitalization.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 Investments</w:t>
      </w:r>
    </w:p>
    <w:p>
      <w:pPr>
        <w:spacing w:after="0" w:line="1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fair value of an equity investment in a privately held company is initially the face value of the amount invested. The Company adjusts the fair value of equity investments in private companies upon the completion of a new third -party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Classification</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p>
    <w:p>
      <w:pPr>
        <w:spacing w:after="0" w:line="1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9" w:name="page30"/>
    <w:bookmarkEnd w:id="2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spacing w:after="0" w:line="1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946- 205-45-3 of the ASC, permanent tax differences are reclassified from accumulated undistributed earnings to paid-in-capital at the end of each year and have no impact on total net assets. For more information, refer to "Note 10 – Income Taxes."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 Share Information</w:t>
      </w:r>
    </w:p>
    <w:p>
      <w:pPr>
        <w:spacing w:after="0" w:line="192"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Basic and diluted earnings (loss) per common share is calculated using the weighted-average number of common shares outstanding for the period presented. For the three months ended March 31, 2025 and 2024, basic and diluted earnings (loss) per share of common stock were the same because there were no potentially dilutive securities outstanding. Per share data is based on the weighted-average shares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w:t>
      </w:r>
    </w:p>
    <w:p>
      <w:pPr>
        <w:spacing w:after="0" w:line="9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Company reports all changes in comprehensive income in the Consolidated Statements of Operations. The Company did not have any other comprehensive income during the three months ended March 31, 2025 and 2024. The Company’s comprehensive income is equal to its "Net increase (decrease) in net assets resulting from operations" on the Consolidated Statements of Operations.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0" w:name="page31"/>
    <w:bookmarkEnd w:id="3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56"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Repurchases of Common Stock</w:t>
      </w:r>
    </w:p>
    <w:p>
      <w:pPr>
        <w:spacing w:after="0" w:line="15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Prior to December 31, 2024, the Company reported repurchases of common stock as a separate financial statement line item labeled as "Treasury stock" within "Total net assets" on the Consolidated Statements of Assets and Liabilities and Consolidated Statements of Changes in Net Assets, and labeled any related activity as "Acquisition of treasury stock" on the Consolidated Statements of Changes in Net Assets and Consolidated Statements of Cash Flows. As of and for the year ended December 31, 2024, as required under Maryland law, any shares repurchased by the Company are to be returned to unissued common shares and amounts repurchased are presented as a deduction from "Common stock, par value" and "Additional paid-in capital". The prior period activity has been reclassified during the year ended December 31, 2024 as a "Reclassification of share repurchases" within the Statement of Changes in Net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5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("ASU 2023-07"). This change is intended to improve reportable segment disclosure requirements, primarily through enhanced disclosures about significant segment expenses, allowing financial statement users to better understand the components of a segment's profit or loss and assess potential future cash flows for each reportable segment and the entity as a whole. The amendments expand a public entity's segment disclosures by requiring disclosure of significant segment expenses that are regularly provided to the chief operating decision maker, clarifying when an entity may report one or more additional measures to assess segment performance, requiring enhanced interim disclosures and providing new disclosure requirements for entities with a single reportable segment, among other new disclosure requirements. The amendments are effective for fiscal years beginning after December 15, 2023, and interim periods within fiscal years beginning after December 15, 2024, and early adoption is permitted. The Company adopted the provisions of ASU 2023-07, and the disclosures required by the ASU have been included in the footnotes to the consolidated financial statements. For more information, refer to "Note 11 – Segment Reporting."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5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 xml:space="preserve">On November 26, 2024, the FASB issued ASU 2024-04, </w:t>
      </w:r>
      <w:r>
        <w:rPr>
          <w:rFonts w:ascii="Times New Roman" w:cs="Times New Roman" w:eastAsia="Times New Roman" w:hAnsi="Times New Roman"/>
          <w:sz w:val="16"/>
          <w:szCs w:val="16"/>
          <w:i w:val="1"/>
          <w:iCs w:val="1"/>
          <w:color w:val="auto"/>
        </w:rPr>
        <w:t>Debt - Debt with Conversion and Other Options (Subtopic 470-20)- Induced Conversions of Convertible 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Instruments </w:t>
      </w:r>
      <w:r>
        <w:rPr>
          <w:rFonts w:ascii="Times New Roman" w:cs="Times New Roman" w:eastAsia="Times New Roman" w:hAnsi="Times New Roman"/>
          <w:sz w:val="16"/>
          <w:szCs w:val="16"/>
          <w:color w:val="auto"/>
        </w:rPr>
        <w:t>("ASU 2024-04"), related to induced conversions of convertible debt instruments. The amendments in this update clarify the requirements for determining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plans to adopt the pronouncement for our fiscal year beginning January 1, 2026 and is currently evaluating the potential effect that the standard will have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31" w:name="page32"/>
    <w:bookmarkEnd w:id="3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Related Party Agreements and Transactions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Advisory Agreement</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On November 29, 2016, the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First Amended and Restated Advisory Agreement (the "Second Amended and Restated Advisory Agreement") at a virtual meeting and recommended that the Company’s stockholders approve the Second Amended and Restated Advisory Agreement. The amendments included certain revisions to the management and incentive fee calculation mechanisms and clarified language relating to liquidity events. In reliance upon certain exemptive relief granted by the SEC in connection with the global COVID-19 pandemic, the Board of Directors undertook to ratify the Second Amended and Restated Advisory Agreement at its next in-person meeting which was held in July 2021. The Second Amended and Restated Advisory Agreement became effective on May 27, 2021 upon approval by the stockholders at a special meeting of stockholders of the Company. On April 30, 2024, the Board of Directors renewed the Second Amended and Restated Advisory Agreement for a period of twelve months commencing May 27, 2024.</w:t>
      </w:r>
    </w:p>
    <w:p>
      <w:pPr>
        <w:spacing w:after="0" w:line="33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On October 29, 2024, the Board of Directors, including the independent directors, approved the Third Amended and Restated Advisory Agreement (the "Advisory Agreement") and recommended that the Company's stockholders approve the Advisory Agreement. On January 23, 2025, the Company's stockholders approved the Advisory Agreement at a special meeting of stockholders of the Company, and the Advisory Agreement became effective on January 30, 2025 upon the closing of the BCP Transaction. Although the ownership of RGC changed in connection with the completion of the BCP Transaction, the management of RGC did not change, nor did the terms of the Advisory Agreement compared to the Second Amended and Restated Advisory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terms of the Advisory Agreement, RGC:</w:t>
      </w:r>
    </w:p>
    <w:p>
      <w:pPr>
        <w:spacing w:after="0" w:line="92" w:lineRule="exact"/>
        <w:rPr>
          <w:sz w:val="20"/>
          <w:szCs w:val="20"/>
          <w:color w:val="auto"/>
        </w:rPr>
      </w:pPr>
    </w:p>
    <w:p>
      <w:pPr>
        <w:ind w:left="360" w:right="380"/>
        <w:spacing w:after="0" w:line="360" w:lineRule="auto"/>
        <w:rPr>
          <w:sz w:val="20"/>
          <w:szCs w:val="20"/>
          <w:color w:val="auto"/>
        </w:rPr>
      </w:pPr>
      <w:r>
        <w:rPr>
          <w:rFonts w:ascii="Times New Roman" w:cs="Times New Roman" w:eastAsia="Times New Roman" w:hAnsi="Times New Roman"/>
          <w:sz w:val="16"/>
          <w:szCs w:val="16"/>
          <w:color w:val="auto"/>
        </w:rPr>
        <w:t>•determines the composition of the Company’s portfolio, the nature and timing of the changes to the portfolio and the manner of implementing such changes; •identifies, evaluates and negotiates the structure of the investments the Company makes; •executes, closes and monitors the investments the Company makes;</w:t>
      </w:r>
    </w:p>
    <w:p>
      <w:pPr>
        <w:ind w:left="360" w:right="4660"/>
        <w:spacing w:after="0" w:line="360" w:lineRule="auto"/>
        <w:rPr>
          <w:sz w:val="20"/>
          <w:szCs w:val="20"/>
          <w:color w:val="auto"/>
        </w:rPr>
      </w:pPr>
      <w:r>
        <w:rPr>
          <w:rFonts w:ascii="Times New Roman" w:cs="Times New Roman" w:eastAsia="Times New Roman" w:hAnsi="Times New Roman"/>
          <w:sz w:val="16"/>
          <w:szCs w:val="16"/>
          <w:color w:val="auto"/>
        </w:rPr>
        <w:t>•determines the securities and other assets that the Company will purchase, retain or sell; •performs due diligence on prospective investments; and</w:t>
      </w:r>
    </w:p>
    <w:p>
      <w:pPr>
        <w:ind w:left="360" w:right="360"/>
        <w:spacing w:after="0" w:line="259" w:lineRule="auto"/>
        <w:rPr>
          <w:sz w:val="20"/>
          <w:szCs w:val="20"/>
          <w:color w:val="auto"/>
        </w:rPr>
      </w:pPr>
      <w:r>
        <w:rPr>
          <w:rFonts w:ascii="Times New Roman" w:cs="Times New Roman" w:eastAsia="Times New Roman" w:hAnsi="Times New Roman"/>
          <w:sz w:val="16"/>
          <w:szCs w:val="16"/>
          <w:color w:val="auto"/>
        </w:rPr>
        <w:t>•provides the Company with such other investment advisory, research and related services as the Company may, from time to time, reasonably require for the investment of its funds.</w:t>
      </w:r>
    </w:p>
    <w:p>
      <w:pPr>
        <w:spacing w:after="0" w:line="59" w:lineRule="exact"/>
        <w:rPr>
          <w:sz w:val="20"/>
          <w:szCs w:val="20"/>
          <w:color w:val="auto"/>
        </w:rPr>
      </w:pPr>
    </w:p>
    <w:p>
      <w:pPr>
        <w:ind w:right="540"/>
        <w:spacing w:after="0" w:line="331" w:lineRule="auto"/>
        <w:rPr>
          <w:sz w:val="20"/>
          <w:szCs w:val="20"/>
          <w:color w:val="auto"/>
        </w:rPr>
      </w:pPr>
      <w:r>
        <w:rPr>
          <w:rFonts w:ascii="Times New Roman" w:cs="Times New Roman" w:eastAsia="Times New Roman" w:hAnsi="Times New Roman"/>
          <w:sz w:val="14"/>
          <w:szCs w:val="14"/>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2" w:name="page33"/>
    <w:bookmarkEnd w:id="3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Base Management Fee</w:t>
      </w:r>
    </w:p>
    <w:p>
      <w:pPr>
        <w:spacing w:after="0" w:line="19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base management fee is payable on the first day of each calendar quarter and is calculated on the Company's "Gross Assets" which, for purposes of the Advisory Agreement, is defined as the Company’s daily average gross assets, including assets purchased with borrowed funds or other forms of leverage, as of the end of the most recently completed fiscal quarter. The base management fee will be an amount equal to 0.375% (1.50% annualized) of the Company’s daily average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daily average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spacing w:after="0" w:line="17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For the three months ended March 31, 2025, RGC earned base management fees at a rate of 1.50% per annum, amounting to $4.0 million. For the three months ended March 31, 2024, RGC earned base management fees at a rate of 1.50% per annum, amounting to $4.0 million. As the Company pays management fees at the beginning of each quarter, there were no management fees payable as of March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w:t>
      </w:r>
    </w:p>
    <w:p>
      <w:pPr>
        <w:spacing w:after="0" w:line="19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incentive fee, which provides RGC with a share of the income that RGC generates for the Company, consists of an investment- income component and a capital-gains component, which are largely independent of each other, with the result that one component may be payable even if the other is not.</w:t>
      </w:r>
    </w:p>
    <w:p>
      <w:pPr>
        <w:spacing w:after="0" w:line="15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 -Incentive Fee NII will be based on the Pre -Incentive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accrued by the Company during the fiscal quarter, minus the Company’s operating expenses for the quarter (including the base management fee, expenses payable under the amended and restated administration agreement with the Administrator, and any dividends paid on any issued and outstanding preferred stock, but excluding the incentive fee) . Pre-Incentive Fee NII includes, in the case of investments with a deferred interest feature (such as OID and ETP accretion, debt instruments with PIK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spacing w:after="0" w:line="17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 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 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spacing w:after="0" w:line="170"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5" w:right="620" w:bottom="1440" w:gutter="0" w:footer="0" w:header="0"/>
        </w:sectPr>
      </w:pPr>
    </w:p>
    <w:bookmarkStart w:id="33" w:name="page34"/>
    <w:bookmarkEnd w:id="3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Capital Gains Fee. For the foregoing purpose, the Company’s "aggregate cumulative realized capital gains" will not include any unrealized gains. If such amount is negative, then no Capital Gains Fee will be payable for such year.</w:t>
      </w:r>
    </w:p>
    <w:p>
      <w:pPr>
        <w:spacing w:after="0" w:line="1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For the three months ended March 31, 2025, RGC earned incentive fees of $3.9 million; of which $3.0 million was payable in cash and $0.9 million was accrued and generated from deferred interest. For the three months ended March 31, 2024, RGC earned incentive fees of $4.7 million, of which $3.6 million was payable in cash and</w:t>
      </w:r>
    </w:p>
    <w:p>
      <w:pPr>
        <w:spacing w:after="0" w:line="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4"/>
          <w:szCs w:val="14"/>
          <w:color w:val="auto"/>
        </w:rPr>
        <w:t>$1.1 million was accrued and generated from deferred interest. All incentive fees accrued and generated from deferred interest (i.e., PIK and certain ETP accretion) are not payable until receipt of associated cash by the Company, at which time the incentive fees are recategorized from deferred incentive fees payable to cash incentive fees payable. All figures presented for the three months ended March 31, 2025 and 2024 are net of such recategorizations during the respective period.</w:t>
      </w:r>
    </w:p>
    <w:p>
      <w:pPr>
        <w:spacing w:after="0" w:line="13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As of March 31, 2025, $3.1 million were payable in cash, and $11.0 million were deferred incentive fees payable, both of which are included in "Incentive fees payable" on the Statements of Assets and Liabilities. As of December 31, 2024, $4.0 million of incentive fees payable were payable in cash, and $10.1 million were deferred incentive fees payable, both of which are included in "Incentive fees payable" on the Consolidated Statements of Assets and Liabilities.</w:t>
      </w:r>
    </w:p>
    <w:p>
      <w:pPr>
        <w:spacing w:after="0" w:line="16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capital gains incentive fee consists of fees related to realized gains and losses and unrealized capital losses. As of each of March 31, 2025 and December 31, 2024, there was no capital gains incentive fee accrued, earned or payable to RGC under the Advisory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Agreement</w:t>
      </w:r>
    </w:p>
    <w:p>
      <w:pPr>
        <w:spacing w:after="0" w:line="19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The Company reimburses the Administrator for the allocable portion of overhead expenses incurred by the Administrator in performing its obligations under the amended and restated administration agreement with the Administrator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w:t>
      </w:r>
    </w:p>
    <w:p>
      <w:pPr>
        <w:spacing w:after="0" w:line="173"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For the three months ended March 31, 2025, the Company incurred $0.6 million of Administration Agreement expenses, of which $0.2 million was payable to a third-party administrator and $0.4 million was overhead allocation expense. For the three months ended March 31, 2024, the Company incurred $0.6 million of Administration Agreement expenses, of which $0.2 million was payable to a third-party administrator and $0.4 million was overhead allocation expense. All Administration Agreement expenses are recorded as "Administration Agreement expenses" on the Consolidated Statements of Operations.</w:t>
      </w:r>
    </w:p>
    <w:p>
      <w:pPr>
        <w:spacing w:after="0" w:line="16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As of March 31, 2025, the Company had accrued a net payable to the Administrator of $0.5 million and a payable to the third-party administrator of $0.3 million As of December 31, 2024, the Company had accrued a net payable to the Administrator of $0.3 million and a payable to the third-party administrator of $0.2 million. All payables related to the Administration Agreement are recorded within "Accrued expenses and other liabilities" on the Consolidated Statements of Assets and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w:t>
      </w:r>
    </w:p>
    <w:p>
      <w:pPr>
        <w:spacing w:after="0" w:line="19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so long as RGC or one of its affiliates remains the Company’s investment adviser. Other than with respect to this limited license, the Company has no legal right to the "Runway Growth Finance" name.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4" w:name="page35"/>
    <w:bookmarkEnd w:id="3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Runway-Cadma I LLC</w:t>
      </w:r>
    </w:p>
    <w:p>
      <w:pPr>
        <w:spacing w:after="0" w:line="192"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In March 2024, the Company entered into a joint venture agreement with Cadma to create and co-manage Runway-Cadma I LLC, also referred to as the JV. The JV entered into a senior secured revolving credit facility with Apollo Capital Management, L.P ("Apollo Credit Facility"), which provided the JV with a $40.0 million commitment, subject to borrowing base requirements. The Apollo Credit Facility is non- recourse to the Company and bears interest at three-month SOFR plus 4.15%. As of March 31, 2025, the JV has not drawn on the available commitment in the Apollo Credit Facility.</w:t>
      </w:r>
    </w:p>
    <w:p>
      <w:pPr>
        <w:spacing w:after="0" w:line="16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During the three months ended March 31, 2025, there were no additional contributions of equity capital to the JV by the Company or Cadma. As of March 31, 2025, the Company's unfunded commitment to the JV was $29.4 million, and the Company had $5.9 thousand in receivables from the JV related to shared expenses as of March 31, 2025. As of December 31, 2024, the Company's unfunded commitment to the JV was $29.4 million, and there were no receivables or payables between the Company and the JV as of December 31, 2024.</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As of March 31, 2025 and December 31, 2024, the fair value of the Company's equity interest in the JV was $5.9 million and $5.7 million, respectively. As of March 31, 2025 and December 31, 2024, the JV had the following contributed capital and unfunded commitments from its members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9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r>
      <w:tr>
        <w:trPr>
          <w:trHeight w:val="15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Total contributed capital by Runway Growth Finance Corp.</w:t>
            </w:r>
          </w:p>
        </w:tc>
        <w:tc>
          <w:tcPr>
            <w:tcW w:w="2920" w:type="dxa"/>
            <w:vAlign w:val="bottom"/>
            <w:shd w:val="clear" w:color="auto" w:fill="CFF0FC"/>
          </w:tcPr>
          <w:p>
            <w:pPr>
              <w:jc w:val="right"/>
              <w:ind w:right="167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5,600</w:t>
            </w:r>
          </w:p>
        </w:tc>
        <w:tc>
          <w:tcPr>
            <w:tcW w:w="3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5,600</w:t>
            </w:r>
          </w:p>
        </w:tc>
      </w:tr>
      <w:tr>
        <w:trPr>
          <w:trHeight w:val="156"/>
        </w:trPr>
        <w:tc>
          <w:tcPr>
            <w:tcW w:w="4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contributed capital by all members</w:t>
            </w:r>
          </w:p>
        </w:tc>
        <w:tc>
          <w:tcPr>
            <w:tcW w:w="2920" w:type="dxa"/>
            <w:vAlign w:val="bottom"/>
          </w:tcPr>
          <w:p>
            <w:pPr>
              <w:spacing w:after="0"/>
              <w:rPr>
                <w:sz w:val="13"/>
                <w:szCs w:val="13"/>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11,200</w:t>
            </w:r>
          </w:p>
        </w:tc>
        <w:tc>
          <w:tcPr>
            <w:tcW w:w="380" w:type="dxa"/>
            <w:vAlign w:val="bottom"/>
          </w:tcPr>
          <w:p>
            <w:pPr>
              <w:spacing w:after="0"/>
              <w:rPr>
                <w:sz w:val="13"/>
                <w:szCs w:val="13"/>
                <w:color w:val="auto"/>
              </w:rPr>
            </w:pPr>
          </w:p>
        </w:tc>
        <w:tc>
          <w:tcPr>
            <w:tcW w:w="2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11,200</w:t>
            </w:r>
          </w:p>
        </w:tc>
      </w:tr>
      <w:tr>
        <w:trPr>
          <w:trHeight w:val="15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Total unfunded commitments by Runway Growth Finance Corp.</w:t>
            </w:r>
          </w:p>
        </w:tc>
        <w:tc>
          <w:tcPr>
            <w:tcW w:w="29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29,400</w:t>
            </w:r>
          </w:p>
        </w:tc>
        <w:tc>
          <w:tcPr>
            <w:tcW w:w="380" w:type="dxa"/>
            <w:vAlign w:val="bottom"/>
            <w:shd w:val="clear" w:color="auto" w:fill="CFF0FC"/>
          </w:tcPr>
          <w:p>
            <w:pPr>
              <w:spacing w:after="0"/>
              <w:rPr>
                <w:sz w:val="13"/>
                <w:szCs w:val="13"/>
                <w:color w:val="auto"/>
              </w:rPr>
            </w:pPr>
          </w:p>
        </w:tc>
        <w:tc>
          <w:tcPr>
            <w:tcW w:w="20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29,400</w:t>
            </w:r>
          </w:p>
        </w:tc>
      </w:tr>
      <w:tr>
        <w:trPr>
          <w:trHeight w:val="172"/>
        </w:trPr>
        <w:tc>
          <w:tcPr>
            <w:tcW w:w="4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unfunded commitments by all members</w:t>
            </w:r>
          </w:p>
        </w:tc>
        <w:tc>
          <w:tcPr>
            <w:tcW w:w="29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58,800</w:t>
            </w:r>
          </w:p>
        </w:tc>
        <w:tc>
          <w:tcPr>
            <w:tcW w:w="380" w:type="dxa"/>
            <w:vAlign w:val="bottom"/>
          </w:tcPr>
          <w:p>
            <w:pPr>
              <w:spacing w:after="0"/>
              <w:rPr>
                <w:sz w:val="14"/>
                <w:szCs w:val="14"/>
                <w:color w:val="auto"/>
              </w:rPr>
            </w:pPr>
          </w:p>
        </w:tc>
        <w:tc>
          <w:tcPr>
            <w:tcW w:w="2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58,800</w:t>
            </w:r>
          </w:p>
        </w:tc>
      </w:tr>
    </w:tbl>
    <w:p>
      <w:pPr>
        <w:spacing w:after="0" w:line="15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On August 14, 2024, the Company assigned: (i) $10.0 million of its debt investment in Airship Group, Inc. and (ii) 107,296 warrants for shares of its Series F Preferred Stock of Airship Group, Inc., to the JV, for an aggregate purchase price of $ 9.9 million, net of upfront fees. In accordance with ACS 860, this transaction met the criteria for a sale. As of March 31, 2025, the JV had one debt investment with a fair value of $ 10.3 million and one equity investment with a fair value of $0.1 million. As of December 31, 2024, the JV had one debt investment with a fair value of $10.2 million and one equity investment with a fair value of $0.1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Oaktree Capital Management and OCM Growth Holdings</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As of March 31, 2025, OCM Growth owned 10,779,668 shares of our common stock, or 28.9% of the Company's outstanding shares. Pursuant to an irrevocable proxy, certain shares held by OCM Growth must be voted in the same proportion that the Company's other stockholders vote their shares. Of the 10,779,668 shares of the Company’s common stock owned by OCM Growth, 10,294,926 shares, or 27.6% of the Company’s outstanding shares, are subject to this proxy voting arrangement.</w:t>
      </w:r>
    </w:p>
    <w:p>
      <w:pPr>
        <w:spacing w:after="0" w:line="17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the Company's Board of Directors as OCM Growth’s director nominee and is considered an independent director. Further, to the extent OCM Growth’s share ownership falls below one-third of its initial $125.0 million capital commitment under any circumstances, OCM Growth will no longer have the right to appoint a director nominee and will use reasonable efforts to cause such nominee to resign immediately (subject to his or her existing fiduciary duties).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35" w:name="page36"/>
    <w:bookmarkEnd w:id="3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Investments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Control and Affiliate Investments</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w:t>
      </w:r>
    </w:p>
    <w:p>
      <w:pPr>
        <w:spacing w:after="0" w:line="17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The Company’s affiliate and control investments as of March 31, 2025, along with the transactions during the three months ended March 31, 2025,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20" w:type="dxa"/>
            <w:vAlign w:val="bottom"/>
          </w:tcPr>
          <w:p>
            <w:pPr>
              <w:spacing w:after="0"/>
              <w:rPr>
                <w:sz w:val="15"/>
                <w:szCs w:val="15"/>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as of</w:t>
            </w:r>
          </w:p>
        </w:tc>
        <w:tc>
          <w:tcPr>
            <w:tcW w:w="120" w:type="dxa"/>
            <w:vAlign w:val="bottom"/>
          </w:tcPr>
          <w:p>
            <w:pPr>
              <w:spacing w:after="0"/>
              <w:rPr>
                <w:sz w:val="15"/>
                <w:szCs w:val="15"/>
                <w:color w:val="auto"/>
              </w:rPr>
            </w:pPr>
          </w:p>
        </w:tc>
        <w:tc>
          <w:tcPr>
            <w:tcW w:w="3200" w:type="dxa"/>
            <w:vAlign w:val="bottom"/>
            <w:gridSpan w:val="8"/>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2025</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Fair Value as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2"/>
                <w:szCs w:val="12"/>
                <w:color w:val="auto"/>
              </w:rPr>
            </w:pPr>
          </w:p>
        </w:tc>
        <w:tc>
          <w:tcPr>
            <w:tcW w:w="9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Income Earned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120" w:type="dxa"/>
            <w:vAlign w:val="bottom"/>
          </w:tcPr>
          <w:p>
            <w:pPr>
              <w:spacing w:after="0"/>
              <w:rPr>
                <w:sz w:val="12"/>
                <w:szCs w:val="12"/>
                <w:color w:val="auto"/>
              </w:rPr>
            </w:pPr>
          </w:p>
        </w:tc>
        <w:tc>
          <w:tcPr>
            <w:tcW w:w="1000" w:type="dxa"/>
            <w:vAlign w:val="bottom"/>
            <w:gridSpan w:val="2"/>
          </w:tcPr>
          <w:p>
            <w:pPr>
              <w:jc w:val="right"/>
              <w:ind w:right="520"/>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2"/>
                <w:szCs w:val="12"/>
                <w:color w:val="auto"/>
              </w:rPr>
            </w:pPr>
          </w:p>
        </w:tc>
        <w:tc>
          <w:tcPr>
            <w:tcW w:w="940" w:type="dxa"/>
            <w:vAlign w:val="bottom"/>
            <w:gridSpan w:val="2"/>
          </w:tcPr>
          <w:p>
            <w:pPr>
              <w:jc w:val="right"/>
              <w:ind w:right="520"/>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080" w:type="dxa"/>
            <w:vAlign w:val="bottom"/>
            <w:gridSpan w:val="3"/>
          </w:tcPr>
          <w:p>
            <w:pPr>
              <w:jc w:val="right"/>
              <w:ind w:right="280"/>
              <w:spacing w:after="0" w:line="145" w:lineRule="exact"/>
              <w:rPr>
                <w:sz w:val="20"/>
                <w:szCs w:val="20"/>
                <w:color w:val="auto"/>
              </w:rPr>
            </w:pPr>
            <w:r>
              <w:rPr>
                <w:rFonts w:ascii="Times New Roman" w:cs="Times New Roman" w:eastAsia="Times New Roman" w:hAnsi="Times New Roman"/>
                <w:sz w:val="13"/>
                <w:szCs w:val="13"/>
                <w:b w:val="1"/>
                <w:bCs w:val="1"/>
                <w:color w:val="auto"/>
              </w:rPr>
              <w:t>Net Realized</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6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3"/>
                <w:szCs w:val="13"/>
                <w:b w:val="1"/>
                <w:bCs w:val="1"/>
                <w:color w:val="auto"/>
              </w:rPr>
              <w:t>of March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40"/>
              <w:spacing w:after="0" w:line="181" w:lineRule="exact"/>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112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3"/>
                <w:szCs w:val="13"/>
                <w:b w:val="1"/>
                <w:bCs w:val="1"/>
                <w:color w:val="auto"/>
              </w:rPr>
              <w:t>Reductions</w:t>
            </w:r>
            <w:r>
              <w:rPr>
                <w:rFonts w:ascii="Times New Roman" w:cs="Times New Roman" w:eastAsia="Times New Roman" w:hAnsi="Times New Roman"/>
                <w:sz w:val="16"/>
                <w:szCs w:val="16"/>
                <w:b w:val="1"/>
                <w:bCs w:val="1"/>
                <w:color w:val="auto"/>
                <w:vertAlign w:val="superscript"/>
              </w:rPr>
              <w:t>(2)</w:t>
            </w:r>
          </w:p>
        </w:tc>
        <w:tc>
          <w:tcPr>
            <w:tcW w:w="10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180" w:type="dxa"/>
            <w:vAlign w:val="bottom"/>
          </w:tcPr>
          <w:p>
            <w:pPr>
              <w:spacing w:after="0"/>
              <w:rPr>
                <w:sz w:val="15"/>
                <w:szCs w:val="15"/>
                <w:color w:val="auto"/>
              </w:rPr>
            </w:pPr>
          </w:p>
        </w:tc>
        <w:tc>
          <w:tcPr>
            <w:tcW w:w="70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3"/>
                <w:szCs w:val="13"/>
                <w:b w:val="1"/>
                <w:bCs w:val="1"/>
                <w:color w:val="auto"/>
                <w:w w:val="93"/>
              </w:rPr>
              <w:t>2025</w:t>
            </w:r>
            <w:r>
              <w:rPr>
                <w:rFonts w:ascii="Times New Roman" w:cs="Times New Roman" w:eastAsia="Times New Roman" w:hAnsi="Times New Roman"/>
                <w:sz w:val="16"/>
                <w:szCs w:val="16"/>
                <w:b w:val="1"/>
                <w:bCs w:val="1"/>
                <w:color w:val="auto"/>
                <w:w w:val="93"/>
                <w:vertAlign w:val="superscript"/>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Gynesonics, Inc. -</w:t>
            </w:r>
          </w:p>
        </w:tc>
        <w:tc>
          <w:tcPr>
            <w:tcW w:w="1300" w:type="dxa"/>
            <w:vAlign w:val="bottom"/>
            <w:gridSpan w:val="2"/>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SOFR+8.75%, 8.00%</w:t>
            </w:r>
          </w:p>
        </w:tc>
        <w:tc>
          <w:tcPr>
            <w:tcW w:w="20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902</w:t>
            </w:r>
          </w:p>
        </w:tc>
        <w:tc>
          <w:tcPr>
            <w:tcW w:w="34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27,217</w:t>
            </w:r>
          </w:p>
        </w:tc>
        <w:tc>
          <w:tcPr>
            <w:tcW w:w="1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(640)</w:t>
            </w:r>
          </w:p>
        </w:tc>
        <w:tc>
          <w:tcPr>
            <w:tcW w:w="1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(25,595)</w:t>
            </w:r>
          </w:p>
        </w:tc>
        <w:tc>
          <w:tcPr>
            <w:tcW w:w="1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(982)</w:t>
            </w:r>
          </w:p>
        </w:tc>
        <w:tc>
          <w:tcPr>
            <w:tcW w:w="1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Senior Secured</w:t>
            </w: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ceiling, 5.00% ETP,</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due 11/30/2026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27,217</w:t>
            </w:r>
          </w:p>
        </w:tc>
        <w:tc>
          <w:tcPr>
            <w:tcW w:w="12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(640)</w:t>
            </w:r>
          </w:p>
        </w:tc>
        <w:tc>
          <w:tcPr>
            <w:tcW w:w="1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(25,595)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(982)</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Coginiti Corp</w:t>
            </w: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3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A-2 Preferred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2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A-1 Preferred</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9,255</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(9,255)</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37,355</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(37,355)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(9,255)</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Coginiti Corp</w:t>
            </w: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Gynesonics, Inc.</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64,572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(640)</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(62,950)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20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(9,925)</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Pivot3, Inc.</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100% Equity Interest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Runway-Cadma I LLC</w:t>
            </w: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50% Equity Interest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(66)</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(66)</w:t>
            </w: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600" w:type="dxa"/>
            <w:vAlign w:val="bottom"/>
            <w:tcBorders>
              <w:top w:val="single" w:sz="8" w:color="CFF0FC"/>
              <w:bottom w:val="single" w:sz="8" w:color="auto"/>
            </w:tcBorders>
          </w:tcPr>
          <w:p>
            <w:pPr>
              <w:spacing w:after="0"/>
              <w:rPr>
                <w:sz w:val="3"/>
                <w:szCs w:val="3"/>
                <w:color w:val="auto"/>
              </w:rPr>
            </w:pPr>
          </w:p>
        </w:tc>
        <w:tc>
          <w:tcPr>
            <w:tcW w:w="500" w:type="dxa"/>
            <w:vAlign w:val="bottom"/>
            <w:tcBorders>
              <w:top w:val="single" w:sz="8" w:color="CFF0FC"/>
              <w:bottom w:val="single" w:sz="8" w:color="auto"/>
            </w:tcBorders>
          </w:tcPr>
          <w:p>
            <w:pPr>
              <w:spacing w:after="0"/>
              <w:rPr>
                <w:sz w:val="3"/>
                <w:szCs w:val="3"/>
                <w:color w:val="auto"/>
              </w:rPr>
            </w:pPr>
          </w:p>
        </w:tc>
        <w:tc>
          <w:tcPr>
            <w:tcW w:w="800" w:type="dxa"/>
            <w:vAlign w:val="bottom"/>
            <w:tcBorders>
              <w:top w:val="single" w:sz="8" w:color="CFF0FC"/>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80" w:type="dxa"/>
            <w:vAlign w:val="bottom"/>
            <w:tcBorders>
              <w:top w:val="single" w:sz="8" w:color="CFF0FC"/>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0" w:type="dxa"/>
            <w:vAlign w:val="bottom"/>
          </w:tcPr>
          <w:p>
            <w:pPr>
              <w:spacing w:after="0"/>
              <w:rPr>
                <w:sz w:val="1"/>
                <w:szCs w:val="1"/>
                <w:color w:val="auto"/>
              </w:rPr>
            </w:pPr>
          </w:p>
        </w:tc>
      </w:tr>
    </w:tbl>
    <w:p>
      <w:pPr>
        <w:ind w:left="360" w:right="80"/>
        <w:spacing w:after="0" w:line="200"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spacing w:after="0" w:line="1" w:lineRule="exact"/>
        <w:rPr>
          <w:sz w:val="20"/>
          <w:szCs w:val="20"/>
          <w:color w:val="auto"/>
        </w:rPr>
      </w:pPr>
    </w:p>
    <w:p>
      <w:pPr>
        <w:ind w:left="360" w:right="640"/>
        <w:spacing w:after="0" w:line="199"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an investment between categories.</w:t>
      </w:r>
    </w:p>
    <w:p>
      <w:pPr>
        <w:ind w:left="360" w:right="240"/>
        <w:spacing w:after="0" w:line="199"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All affiliate and control investments, which as of March 31, 2025, represented 1.37% of the Company’s net assets, may be deemed to be restricted securities under the Securities Act, and were valued at fair value as determined in good faith by the Company’s Board of Directors.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6" w:name="page37"/>
    <w:bookmarkEnd w:id="3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Company’s affiliate and control investments as of December 31, 2024, along with the transactions during the year ended December 31, 2024,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20" w:type="dxa"/>
            <w:vAlign w:val="bottom"/>
          </w:tcPr>
          <w:p>
            <w:pPr>
              <w:spacing w:after="0"/>
              <w:rPr>
                <w:sz w:val="15"/>
                <w:szCs w:val="15"/>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as of</w:t>
            </w:r>
          </w:p>
        </w:tc>
        <w:tc>
          <w:tcPr>
            <w:tcW w:w="120" w:type="dxa"/>
            <w:vAlign w:val="bottom"/>
          </w:tcPr>
          <w:p>
            <w:pPr>
              <w:spacing w:after="0"/>
              <w:rPr>
                <w:sz w:val="15"/>
                <w:szCs w:val="15"/>
                <w:color w:val="auto"/>
              </w:rPr>
            </w:pPr>
          </w:p>
        </w:tc>
        <w:tc>
          <w:tcPr>
            <w:tcW w:w="2940" w:type="dxa"/>
            <w:vAlign w:val="bottom"/>
            <w:gridSpan w:val="6"/>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Fair Value as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ind w:left="34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2"/>
                <w:szCs w:val="12"/>
                <w:color w:val="auto"/>
              </w:rPr>
            </w:pPr>
          </w:p>
        </w:tc>
        <w:tc>
          <w:tcPr>
            <w:tcW w:w="9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Income Earned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120" w:type="dxa"/>
            <w:vAlign w:val="bottom"/>
          </w:tcPr>
          <w:p>
            <w:pPr>
              <w:spacing w:after="0"/>
              <w:rPr>
                <w:sz w:val="12"/>
                <w:szCs w:val="12"/>
                <w:color w:val="auto"/>
              </w:rPr>
            </w:pPr>
          </w:p>
        </w:tc>
        <w:tc>
          <w:tcPr>
            <w:tcW w:w="780" w:type="dxa"/>
            <w:vAlign w:val="bottom"/>
          </w:tcPr>
          <w:p>
            <w:pPr>
              <w:jc w:val="right"/>
              <w:ind w:right="23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2"/>
                <w:szCs w:val="12"/>
                <w:color w:val="auto"/>
              </w:rPr>
            </w:pPr>
          </w:p>
        </w:tc>
        <w:tc>
          <w:tcPr>
            <w:tcW w:w="820" w:type="dxa"/>
            <w:vAlign w:val="bottom"/>
          </w:tcPr>
          <w:p>
            <w:pPr>
              <w:jc w:val="right"/>
              <w:ind w:right="15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Net Realized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6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3"/>
                <w:szCs w:val="13"/>
                <w:b w:val="1"/>
                <w:bCs w:val="1"/>
                <w:color w:val="auto"/>
              </w:rPr>
              <w:t>of December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3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3"/>
                <w:szCs w:val="13"/>
                <w:b w:val="1"/>
                <w:bCs w:val="1"/>
                <w:color w:val="auto"/>
              </w:rPr>
              <w:t>Reductions</w:t>
            </w:r>
            <w:r>
              <w:rPr>
                <w:rFonts w:ascii="Times New Roman" w:cs="Times New Roman" w:eastAsia="Times New Roman" w:hAnsi="Times New Roman"/>
                <w:sz w:val="16"/>
                <w:szCs w:val="16"/>
                <w:b w:val="1"/>
                <w:bCs w:val="1"/>
                <w:color w:val="auto"/>
                <w:vertAlign w:val="superscript"/>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120" w:type="dxa"/>
            <w:vAlign w:val="bottom"/>
          </w:tcPr>
          <w:p>
            <w:pPr>
              <w:spacing w:after="0"/>
              <w:rPr>
                <w:sz w:val="15"/>
                <w:szCs w:val="15"/>
                <w:color w:val="auto"/>
              </w:rPr>
            </w:pPr>
          </w:p>
        </w:tc>
        <w:tc>
          <w:tcPr>
            <w:tcW w:w="76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3"/>
                <w:szCs w:val="13"/>
                <w:b w:val="1"/>
                <w:bCs w:val="1"/>
                <w:color w:val="auto"/>
                <w:w w:val="96"/>
              </w:rPr>
              <w:t>31, 2024</w:t>
            </w:r>
            <w:r>
              <w:rPr>
                <w:rFonts w:ascii="Times New Roman" w:cs="Times New Roman" w:eastAsia="Times New Roman" w:hAnsi="Times New Roman"/>
                <w:sz w:val="16"/>
                <w:szCs w:val="16"/>
                <w:b w:val="1"/>
                <w:bCs w:val="1"/>
                <w:color w:val="auto"/>
                <w:w w:val="96"/>
                <w:vertAlign w:val="superscript"/>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Gynesonics, Inc. -</w:t>
            </w:r>
          </w:p>
        </w:tc>
        <w:tc>
          <w:tcPr>
            <w:tcW w:w="1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SOFR+8.75%, 8.00%</w:t>
            </w:r>
          </w:p>
        </w:tc>
        <w:tc>
          <w:tcPr>
            <w:tcW w:w="20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2,419</w:t>
            </w:r>
          </w:p>
        </w:tc>
        <w:tc>
          <w:tcPr>
            <w:tcW w:w="34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23,586</w:t>
            </w:r>
          </w:p>
        </w:tc>
        <w:tc>
          <w:tcPr>
            <w:tcW w:w="1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337</w:t>
            </w:r>
          </w:p>
        </w:tc>
        <w:tc>
          <w:tcPr>
            <w:tcW w:w="1040" w:type="dxa"/>
            <w:vAlign w:val="bottom"/>
            <w:gridSpan w:val="2"/>
            <w:shd w:val="clear" w:color="auto" w:fill="CFF0FC"/>
          </w:tcPr>
          <w:p>
            <w:pPr>
              <w:jc w:val="right"/>
              <w:ind w:right="65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654"/>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3,294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27,217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Senior Secured</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ceiling, 5.00% ETP,</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due 11/30/2026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23,586</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27,217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Coginiti Corp</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(856)</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A-2 Preferred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21,461</w:t>
            </w:r>
          </w:p>
        </w:tc>
        <w:tc>
          <w:tcPr>
            <w:tcW w:w="12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3,539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A-1 Preferred</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4,577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7,778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26,894</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10,461</w:t>
            </w: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37,355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Coginiti Corp</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(663)</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Gynesonics, Inc.</w:t>
            </w:r>
          </w:p>
        </w:tc>
        <w:tc>
          <w:tcPr>
            <w:tcW w:w="1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(313)</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(976)</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13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51,456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40" w:type="dxa"/>
            <w:vAlign w:val="bottom"/>
            <w:gridSpan w:val="2"/>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12,779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64,572</w:t>
            </w: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Pivot3, Inc.</w:t>
            </w:r>
          </w:p>
        </w:tc>
        <w:tc>
          <w:tcPr>
            <w:tcW w:w="1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 Equity Interest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Runway-Cadma I LLC</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50% Equity Interest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13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3417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72" w:lineRule="exact"/>
        <w:rPr>
          <w:sz w:val="20"/>
          <w:szCs w:val="20"/>
          <w:color w:val="auto"/>
        </w:rPr>
      </w:pPr>
    </w:p>
    <w:p>
      <w:pPr>
        <w:ind w:left="360" w:right="80"/>
        <w:spacing w:after="0" w:line="206"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spacing w:after="0" w:line="1" w:lineRule="exact"/>
        <w:rPr>
          <w:sz w:val="20"/>
          <w:szCs w:val="20"/>
          <w:color w:val="auto"/>
        </w:rPr>
      </w:pPr>
    </w:p>
    <w:p>
      <w:pPr>
        <w:ind w:left="360" w:right="640"/>
        <w:spacing w:after="0" w:line="199"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investment between categories.</w:t>
      </w:r>
    </w:p>
    <w:p>
      <w:pPr>
        <w:ind w:left="360" w:right="200"/>
        <w:spacing w:after="0" w:line="199"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All affiliate and control investments, which as of December 31, 2024, represented 13.90% of the Company’s net assets, may be deemed to be restricted securities under the Securities Act, and were valued at fair value as determined in good faith by the Company’s Board of Directors.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7" w:name="page38"/>
    <w:bookmarkEnd w:id="3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Composition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fair value of the Company's portfolio of investments by geographic region as of March 31, 2025 and December 31,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3"/>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3"/>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100" w:type="dxa"/>
            <w:vAlign w:val="bottom"/>
          </w:tcPr>
          <w:p>
            <w:pPr>
              <w:spacing w:after="0"/>
              <w:rPr>
                <w:sz w:val="13"/>
                <w:szCs w:val="13"/>
                <w:color w:val="auto"/>
              </w:rPr>
            </w:pPr>
          </w:p>
        </w:tc>
        <w:tc>
          <w:tcPr>
            <w:tcW w:w="138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3"/>
                <w:szCs w:val="13"/>
                <w:color w:val="auto"/>
              </w:rPr>
            </w:pPr>
          </w:p>
        </w:tc>
        <w:tc>
          <w:tcPr>
            <w:tcW w:w="16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3"/>
                <w:szCs w:val="13"/>
                <w:color w:val="auto"/>
              </w:rPr>
            </w:pPr>
          </w:p>
        </w:tc>
        <w:tc>
          <w:tcPr>
            <w:tcW w:w="15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0" w:type="dxa"/>
            <w:vAlign w:val="bottom"/>
          </w:tcPr>
          <w:p>
            <w:pPr>
              <w:spacing w:after="0"/>
              <w:rPr>
                <w:sz w:val="1"/>
                <w:szCs w:val="1"/>
                <w:color w:val="auto"/>
              </w:rPr>
            </w:pPr>
          </w:p>
        </w:tc>
      </w:tr>
      <w:tr>
        <w:trPr>
          <w:trHeight w:val="170"/>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Western United States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379,536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75.41</w:t>
            </w:r>
          </w:p>
        </w:tc>
        <w:tc>
          <w:tcPr>
            <w:tcW w:w="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431,567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83.83</w:t>
            </w:r>
          </w:p>
        </w:tc>
        <w:tc>
          <w:tcPr>
            <w:tcW w:w="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Northeastern United States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241,296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47.94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264,780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Midwestern United States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147,446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146,963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 Central United States</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40,771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40,136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Northwestern United States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73,293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72,414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Southeastern United States</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20,903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20,932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Runway-Cadma I LLC</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5,879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5,742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United States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909,124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180.63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982,534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190.85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29,546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28,360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Germany</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33,560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34,163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17,323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17,203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Canada</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14,680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14,580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1,004,233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199.53</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1,076,840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209.17</w:t>
            </w:r>
          </w:p>
        </w:tc>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180"/>
        <w:spacing w:after="0" w:line="201"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Runway-Cadma I LLC is a joint venture between the Company and Cadma. This entity invests in secured loans to growth-stage companies that have been originated by the Company. See "Note 2 – Summary of Significant Accounting Policies" for further discussion.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fair value of the Company's portfolio of investments by industry as of March 31, 2025 and 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3"/>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3"/>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 w:type="dxa"/>
            <w:vAlign w:val="bottom"/>
          </w:tcPr>
          <w:p>
            <w:pPr>
              <w:spacing w:after="0"/>
              <w:rPr>
                <w:sz w:val="13"/>
                <w:szCs w:val="13"/>
                <w:color w:val="auto"/>
              </w:rPr>
            </w:pPr>
          </w:p>
        </w:tc>
        <w:tc>
          <w:tcPr>
            <w:tcW w:w="138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3"/>
                <w:szCs w:val="13"/>
                <w:color w:val="auto"/>
              </w:rPr>
            </w:pPr>
          </w:p>
        </w:tc>
        <w:tc>
          <w:tcPr>
            <w:tcW w:w="16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3"/>
                <w:szCs w:val="13"/>
                <w:color w:val="auto"/>
              </w:rPr>
            </w:pPr>
          </w:p>
        </w:tc>
        <w:tc>
          <w:tcPr>
            <w:tcW w:w="15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Application Software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224,297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44.56</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233,431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45.35</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157,530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31.30</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160,104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Healthcare Technology</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153,876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218,688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Data Processing &amp; Outsourced Services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132,031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26.24</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116,720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System Software</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115,463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114,650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Property &amp; Casualty Insurance</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77,172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15.33</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76,911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Internet &amp; Direct Marketing Retail</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50,284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50,729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Electronic Equipment &amp; Instruments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40,084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40,354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Human Resource &amp; Employment Services</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30,707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40,560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Healthcare Equipment</w:t>
            </w:r>
          </w:p>
        </w:tc>
        <w:tc>
          <w:tcPr>
            <w:tcW w:w="10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15,399</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15,382</w:t>
            </w:r>
          </w:p>
        </w:tc>
        <w:tc>
          <w:tcPr>
            <w:tcW w:w="1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380" w:type="dxa"/>
            <w:vAlign w:val="bottom"/>
            <w:vMerge w:val="continue"/>
            <w:shd w:val="clear" w:color="auto" w:fill="CFF0FC"/>
          </w:tcPr>
          <w:p>
            <w:pPr>
              <w:spacing w:after="0"/>
              <w:rPr>
                <w:sz w:val="6"/>
                <w:szCs w:val="6"/>
                <w:color w:val="auto"/>
              </w:rPr>
            </w:pPr>
          </w:p>
        </w:tc>
        <w:tc>
          <w:tcPr>
            <w:tcW w:w="1420" w:type="dxa"/>
            <w:vAlign w:val="bottom"/>
            <w:gridSpan w:val="2"/>
            <w:vMerge w:val="continue"/>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360" w:type="dxa"/>
            <w:vAlign w:val="bottom"/>
            <w:vMerge w:val="continue"/>
            <w:shd w:val="clear" w:color="auto" w:fill="CFF0FC"/>
          </w:tcPr>
          <w:p>
            <w:pPr>
              <w:spacing w:after="0"/>
              <w:rPr>
                <w:sz w:val="6"/>
                <w:szCs w:val="6"/>
                <w:color w:val="auto"/>
              </w:rPr>
            </w:pPr>
          </w:p>
        </w:tc>
        <w:tc>
          <w:tcPr>
            <w:tcW w:w="1480" w:type="dxa"/>
            <w:vAlign w:val="bottom"/>
            <w:gridSpan w:val="2"/>
            <w:vMerge w:val="continue"/>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Multi-Sector Holdings</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5,879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5,742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Technology Hardware, Storage &amp; Peripherals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2,910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0.56</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Specialized Consumer Services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Advertising</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Asset Management &amp; Custody Banks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Biotechnology</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1,004,233</w:t>
            </w:r>
          </w:p>
        </w:tc>
        <w:tc>
          <w:tcPr>
            <w:tcW w:w="14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199.53</w:t>
            </w:r>
          </w:p>
        </w:tc>
        <w:tc>
          <w:tcPr>
            <w:tcW w:w="320" w:type="dxa"/>
            <w:vAlign w:val="bottom"/>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14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209.17</w:t>
            </w:r>
          </w:p>
        </w:tc>
        <w:tc>
          <w:tcPr>
            <w:tcW w:w="30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60" w:right="20"/>
        <w:spacing w:after="0" w:line="207"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8" w:name="page39"/>
    <w:bookmarkEnd w:id="3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19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6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spacing w:after="0" w:line="17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For the three months ended March 31, 2025, the Company had a realized loss of $1.3 million and a net change in unrealized gain of $0.8 million from its investments in warrants. For the three months ended March 31, 2024, the Company had no realized gains or losses and a net change in unrealized loss of $0.3 million from its investments in warrants. Realized gains and losses from warrants are included in the respective control, affiliate, or non-control/non-affiliate "Net realized gain (loss) on investments" on the Consolidated Statements of Operations. Unrealized gains and losses from investments in warrants are included in the respective control, affiliate, or non-control/non-affiliate "Net change in unrealized gain (loss) on investments" on the Consolidated Statements of Operations.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9" w:name="page40"/>
    <w:bookmarkEnd w:id="3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Fair Value of Financial Instruments</w:t>
      </w:r>
    </w:p>
    <w:p>
      <w:pPr>
        <w:spacing w:after="0" w:line="19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6"/>
          <w:szCs w:val="16"/>
          <w:color w:val="auto"/>
        </w:rPr>
        <w:t xml:space="preserve">The Company’s assets recorded at fair value have been categorized based upon a fair value hierarchy in accordance with ASC 820. Refer to "Note 2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Summary of Significant Accounting Policies" for a discussion of the Company’s policies.</w:t>
      </w:r>
    </w:p>
    <w:p>
      <w:pPr>
        <w:spacing w:after="0" w:line="12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Investments measured at fair value on a recurring basis are categorized in the tables below based upon the lowest level of significant input to the valuations as of March 31, 2025 and December 31, 2024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Measured at Net Asset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Pr>
          <w:p>
            <w:pPr>
              <w:spacing w:after="0"/>
              <w:rPr>
                <w:sz w:val="15"/>
                <w:szCs w:val="15"/>
                <w:color w:val="auto"/>
              </w:rPr>
            </w:pPr>
          </w:p>
        </w:tc>
        <w:tc>
          <w:tcPr>
            <w:tcW w:w="1080" w:type="dxa"/>
            <w:vAlign w:val="bottom"/>
          </w:tcPr>
          <w:p>
            <w:pPr>
              <w:jc w:val="right"/>
              <w:ind w:right="394"/>
              <w:spacing w:after="0" w:line="181" w:lineRule="exact"/>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96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926,072</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926,072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 Lien Term Loans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20,316</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20,316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Preferred Stock</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8,978</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27,238</w:t>
            </w: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36,216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Equity Interest</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13,587</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13,919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988,224</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1,004,233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4,320</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9,310</w:t>
            </w:r>
          </w:p>
        </w:tc>
        <w:tc>
          <w:tcPr>
            <w:tcW w:w="5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988,224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5,879</w:t>
            </w:r>
          </w:p>
        </w:tc>
        <w:tc>
          <w:tcPr>
            <w:tcW w:w="5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1,007,733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56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96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950,092</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950,092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 Lien Term Loans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20,152</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20,152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Preferred Stock</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9,181</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73,460</w:t>
            </w: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82,641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Equity Interest</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13,752</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14,182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9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11,998</w:t>
            </w:r>
          </w:p>
        </w:tc>
        <w:tc>
          <w:tcPr>
            <w:tcW w:w="10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1,058,670</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1,076,840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16,024</w:t>
            </w:r>
          </w:p>
        </w:tc>
        <w:tc>
          <w:tcPr>
            <w:tcW w:w="1000" w:type="dxa"/>
            <w:vAlign w:val="bottom"/>
            <w:shd w:val="clear" w:color="auto" w:fill="CFF0FC"/>
          </w:tcPr>
          <w:p>
            <w:pPr>
              <w:jc w:val="right"/>
              <w:ind w:right="8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430</w:t>
            </w:r>
          </w:p>
        </w:tc>
        <w:tc>
          <w:tcPr>
            <w:tcW w:w="5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1,058,670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5,742</w:t>
            </w:r>
          </w:p>
        </w:tc>
        <w:tc>
          <w:tcPr>
            <w:tcW w:w="5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1,080,866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60" w:right="140"/>
        <w:spacing w:after="0" w:line="195"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In accordance with ASC 820, the Company's equity investment in Runway-Cadma I LLC is measured using the net asset value as a practical expedient for fair value, and thus has not been classified in the fair value hierarchy.</w:t>
      </w:r>
    </w:p>
    <w:p>
      <w:pPr>
        <w:spacing w:after="0" w:line="14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Company transfers investments in and out of Levels 1, 2 and 3 as of the beginning balance sheet date, based on changes in the use of observable and unobservable inputs utilized to perform the valuation for the period.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0" w:name="page41"/>
    <w:bookmarkEnd w:id="4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Level 3 assets measured at fair value as of March 31, 2025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Senior</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Second Lien</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Convertibl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60" w:type="dxa"/>
            <w:vAlign w:val="bottom"/>
          </w:tcPr>
          <w:p>
            <w:pPr>
              <w:spacing w:after="0"/>
              <w:rPr>
                <w:sz w:val="13"/>
                <w:szCs w:val="13"/>
                <w:color w:val="auto"/>
              </w:rPr>
            </w:pP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Term Loans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4"/>
                <w:szCs w:val="14"/>
                <w:color w:val="auto"/>
              </w:rPr>
            </w:pPr>
          </w:p>
        </w:tc>
        <w:tc>
          <w:tcPr>
            <w:tcW w:w="6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e Notes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Fair value at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950,092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20,152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73,460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13,752</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1,058,670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Transfers in (out) of Level 3</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Purchases of investments</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15,061</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15,320</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Sales or prepayments of investments</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(36,906)</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(37,355)</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(74,261)</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Scheduled principal repayments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investments</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(3,665)</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(3,665)</w:t>
            </w:r>
          </w:p>
        </w:tc>
        <w:tc>
          <w:tcPr>
            <w:tcW w:w="0" w:type="dxa"/>
            <w:vAlign w:val="bottom"/>
          </w:tcPr>
          <w:p>
            <w:pPr>
              <w:spacing w:after="0"/>
              <w:rPr>
                <w:sz w:val="1"/>
                <w:szCs w:val="1"/>
                <w:color w:val="auto"/>
              </w:rPr>
            </w:pPr>
          </w:p>
        </w:tc>
      </w:tr>
      <w:tr>
        <w:trPr>
          <w:trHeight w:val="104"/>
        </w:trPr>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300" w:type="dxa"/>
            <w:vAlign w:val="bottom"/>
            <w:tcBorders>
              <w:right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Amortization of fixed income premiums or</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accretion of discounts and ETP</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(1,083)</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(2,853)</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(18,122)</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(203)</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(20,461)</w:t>
            </w:r>
          </w:p>
        </w:tc>
        <w:tc>
          <w:tcPr>
            <w:tcW w:w="0" w:type="dxa"/>
            <w:vAlign w:val="bottom"/>
          </w:tcPr>
          <w:p>
            <w:pPr>
              <w:spacing w:after="0"/>
              <w:rPr>
                <w:sz w:val="1"/>
                <w:szCs w:val="1"/>
                <w:color w:val="auto"/>
              </w:rPr>
            </w:pPr>
          </w:p>
        </w:tc>
      </w:tr>
      <w:tr>
        <w:trPr>
          <w:trHeight w:val="172"/>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Fair value at March 31, 2025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926,072</w:t>
            </w:r>
          </w:p>
        </w:tc>
        <w:tc>
          <w:tcPr>
            <w:tcW w:w="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20,316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27,238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13,587</w:t>
            </w: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988,224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3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00" w:type="dxa"/>
            <w:vAlign w:val="bottom"/>
            <w:tcBorders>
              <w:right w:val="single" w:sz="8" w:color="CFF0FC"/>
            </w:tcBorders>
            <w:shd w:val="clear" w:color="auto" w:fill="CFF0FC"/>
          </w:tcPr>
          <w:p>
            <w:pPr>
              <w:spacing w:after="0" w:line="121" w:lineRule="exact"/>
              <w:rPr>
                <w:sz w:val="20"/>
                <w:szCs w:val="20"/>
                <w:color w:val="auto"/>
              </w:rPr>
            </w:pPr>
            <w:r>
              <w:rPr>
                <w:rFonts w:ascii="Times New Roman" w:cs="Times New Roman" w:eastAsia="Times New Roman" w:hAnsi="Times New Roman"/>
                <w:sz w:val="13"/>
                <w:szCs w:val="13"/>
                <w:color w:val="auto"/>
              </w:rPr>
              <w:t>Net change in unrealized gain (loss) on</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Level 3 investments still held as of March</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(2,332</w:t>
            </w:r>
            <w:r>
              <w:rPr>
                <w:rFonts w:ascii="Times New Roman" w:cs="Times New Roman" w:eastAsia="Times New Roman" w:hAnsi="Times New Roman"/>
                <w:sz w:val="26"/>
                <w:szCs w:val="26"/>
                <w:color w:val="auto"/>
                <w:vertAlign w:val="subscript"/>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2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(8,866</w:t>
            </w:r>
            <w:r>
              <w:rPr>
                <w:rFonts w:ascii="Times New Roman" w:cs="Times New Roman" w:eastAsia="Times New Roman" w:hAnsi="Times New Roman"/>
                <w:sz w:val="26"/>
                <w:szCs w:val="26"/>
                <w:color w:val="auto"/>
                <w:vertAlign w:val="subscript"/>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(203</w:t>
            </w:r>
            <w:r>
              <w:rPr>
                <w:rFonts w:ascii="Times New Roman" w:cs="Times New Roman" w:eastAsia="Times New Roman" w:hAnsi="Times New Roman"/>
                <w:sz w:val="26"/>
                <w:szCs w:val="26"/>
                <w:color w:val="auto"/>
                <w:vertAlign w:val="subscript"/>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40"/>
              <w:spacing w:after="0" w:line="267" w:lineRule="exact"/>
              <w:rPr>
                <w:sz w:val="20"/>
                <w:szCs w:val="20"/>
                <w:color w:val="auto"/>
              </w:rPr>
            </w:pPr>
            <w:r>
              <w:rPr>
                <w:rFonts w:ascii="Times New Roman" w:cs="Times New Roman" w:eastAsia="Times New Roman" w:hAnsi="Times New Roman"/>
                <w:sz w:val="13"/>
                <w:szCs w:val="13"/>
                <w:color w:val="auto"/>
              </w:rPr>
              <w:t>(247</w:t>
            </w:r>
            <w:r>
              <w:rPr>
                <w:rFonts w:ascii="Times New Roman" w:cs="Times New Roman" w:eastAsia="Times New Roman" w:hAnsi="Times New Roman"/>
                <w:sz w:val="26"/>
                <w:szCs w:val="26"/>
                <w:color w:val="auto"/>
                <w:vertAlign w:val="subscript"/>
              </w:rPr>
              <w:t>)</w:t>
            </w:r>
          </w:p>
        </w:tc>
        <w:tc>
          <w:tcPr>
            <w:tcW w:w="2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FF0FC"/>
          </w:tcPr>
          <w:p>
            <w:pPr>
              <w:jc w:val="right"/>
              <w:ind w:right="40"/>
              <w:spacing w:after="0" w:line="267" w:lineRule="exact"/>
              <w:rPr>
                <w:sz w:val="20"/>
                <w:szCs w:val="20"/>
                <w:color w:val="auto"/>
              </w:rPr>
            </w:pPr>
            <w:r>
              <w:rPr>
                <w:rFonts w:ascii="Times New Roman" w:cs="Times New Roman" w:eastAsia="Times New Roman" w:hAnsi="Times New Roman"/>
                <w:sz w:val="13"/>
                <w:szCs w:val="13"/>
                <w:color w:val="auto"/>
              </w:rPr>
              <w:t>(11,590</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52"/>
        </w:trPr>
        <w:tc>
          <w:tcPr>
            <w:tcW w:w="2300" w:type="dxa"/>
            <w:vAlign w:val="bottom"/>
            <w:tcBorders>
              <w:right w:val="single" w:sz="8" w:color="CFF0FC"/>
            </w:tcBorders>
            <w:shd w:val="clear" w:color="auto" w:fill="CFF0FC"/>
          </w:tcPr>
          <w:p>
            <w:pPr>
              <w:spacing w:after="0" w:line="112" w:lineRule="exact"/>
              <w:rPr>
                <w:sz w:val="20"/>
                <w:szCs w:val="20"/>
                <w:color w:val="auto"/>
              </w:rPr>
            </w:pPr>
            <w:r>
              <w:rPr>
                <w:rFonts w:ascii="Times New Roman" w:cs="Times New Roman" w:eastAsia="Times New Roman" w:hAnsi="Times New Roman"/>
                <w:sz w:val="12"/>
                <w:szCs w:val="12"/>
                <w:color w:val="auto"/>
              </w:rPr>
              <w:t>31, 2025</w:t>
            </w:r>
          </w:p>
        </w:tc>
        <w:tc>
          <w:tcPr>
            <w:tcW w:w="100" w:type="dxa"/>
            <w:vAlign w:val="bottom"/>
            <w:vMerge w:val="continue"/>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60" w:type="dxa"/>
            <w:vAlign w:val="bottom"/>
            <w:gridSpan w:val="2"/>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206"/>
        <w:spacing w:after="0" w:line="195" w:lineRule="auto"/>
        <w:tabs>
          <w:tab w:leader="none" w:pos="560"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2"/>
          <w:szCs w:val="12"/>
          <w:color w:val="auto"/>
        </w:rPr>
        <w:t>Net of reorganization and restructuring of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Level 3 assets measured at fair value as of March 31,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Senior</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Second Lien</w:t>
            </w:r>
          </w:p>
        </w:tc>
        <w:tc>
          <w:tcPr>
            <w:tcW w:w="1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140" w:type="dxa"/>
            <w:vAlign w:val="bottom"/>
          </w:tcPr>
          <w:p>
            <w:pPr>
              <w:spacing w:after="0"/>
              <w:rPr>
                <w:sz w:val="13"/>
                <w:szCs w:val="13"/>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4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3"/>
                <w:szCs w:val="13"/>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Term Loans</w:t>
            </w: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Fair value at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964,099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14,399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26,285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12,838</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1,020,800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Transfers in (out) of Level 3</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Purchases of investments</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22,175</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2,467</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24,642</w:t>
            </w:r>
          </w:p>
        </w:tc>
        <w:tc>
          <w:tcPr>
            <w:tcW w:w="0" w:type="dxa"/>
            <w:vAlign w:val="bottom"/>
          </w:tcPr>
          <w:p>
            <w:pPr>
              <w:spacing w:after="0"/>
              <w:rPr>
                <w:sz w:val="1"/>
                <w:szCs w:val="1"/>
                <w:color w:val="auto"/>
              </w:rPr>
            </w:pPr>
          </w:p>
        </w:tc>
      </w:tr>
      <w:tr>
        <w:trPr>
          <w:trHeight w:val="172"/>
        </w:trPr>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or prepayments of investments</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(34,449)</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(34,449)</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Scheduled repayments of investments</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(413)</w:t>
            </w:r>
          </w:p>
        </w:tc>
        <w:tc>
          <w:tcPr>
            <w:tcW w:w="0" w:type="dxa"/>
            <w:vAlign w:val="bottom"/>
          </w:tcPr>
          <w:p>
            <w:pPr>
              <w:spacing w:after="0"/>
              <w:rPr>
                <w:sz w:val="1"/>
                <w:szCs w:val="1"/>
                <w:color w:val="auto"/>
              </w:rPr>
            </w:pPr>
          </w:p>
        </w:tc>
      </w:tr>
      <w:tr>
        <w:trPr>
          <w:trHeight w:val="144"/>
        </w:trPr>
        <w:tc>
          <w:tcPr>
            <w:tcW w:w="2280" w:type="dxa"/>
            <w:vAlign w:val="bottom"/>
            <w:tcBorders>
              <w:right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Amortization of fixed income premiums</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or accretion of discounts and ETP</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(4,307)</w:t>
            </w: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(334)</w:t>
            </w: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(251)</w:t>
            </w: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(733)</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(242)</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(5,980)</w:t>
            </w:r>
          </w:p>
        </w:tc>
        <w:tc>
          <w:tcPr>
            <w:tcW w:w="0" w:type="dxa"/>
            <w:vAlign w:val="bottom"/>
          </w:tcPr>
          <w:p>
            <w:pPr>
              <w:spacing w:after="0"/>
              <w:rPr>
                <w:sz w:val="1"/>
                <w:szCs w:val="1"/>
                <w:color w:val="auto"/>
              </w:rPr>
            </w:pPr>
          </w:p>
        </w:tc>
      </w:tr>
      <w:tr>
        <w:trPr>
          <w:trHeight w:val="156"/>
        </w:trPr>
        <w:tc>
          <w:tcPr>
            <w:tcW w:w="22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Fair Value at 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955,177</w:t>
            </w:r>
          </w:p>
        </w:tc>
        <w:tc>
          <w:tcPr>
            <w:tcW w:w="220" w:type="dxa"/>
            <w:vAlign w:val="bottom"/>
          </w:tcPr>
          <w:p>
            <w:pPr>
              <w:spacing w:after="0"/>
              <w:rPr>
                <w:sz w:val="13"/>
                <w:szCs w:val="13"/>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14,388</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1,023</w:t>
            </w:r>
          </w:p>
        </w:tc>
        <w:tc>
          <w:tcPr>
            <w:tcW w:w="220" w:type="dxa"/>
            <w:vAlign w:val="bottom"/>
          </w:tcPr>
          <w:p>
            <w:pPr>
              <w:spacing w:after="0"/>
              <w:rPr>
                <w:sz w:val="13"/>
                <w:szCs w:val="13"/>
                <w:color w:val="auto"/>
              </w:rPr>
            </w:pP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26,034</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139</w:t>
            </w:r>
          </w:p>
        </w:tc>
        <w:tc>
          <w:tcPr>
            <w:tcW w:w="220" w:type="dxa"/>
            <w:vAlign w:val="bottom"/>
          </w:tcPr>
          <w:p>
            <w:pPr>
              <w:spacing w:after="0"/>
              <w:rPr>
                <w:sz w:val="13"/>
                <w:szCs w:val="13"/>
                <w:color w:val="auto"/>
              </w:rPr>
            </w:pPr>
          </w:p>
        </w:tc>
        <w:tc>
          <w:tcPr>
            <w:tcW w:w="18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950</w:t>
            </w:r>
          </w:p>
        </w:tc>
        <w:tc>
          <w:tcPr>
            <w:tcW w:w="3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15,063</w:t>
            </w:r>
          </w:p>
        </w:tc>
        <w:tc>
          <w:tcPr>
            <w:tcW w:w="2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1,012,774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80" w:type="dxa"/>
            <w:vAlign w:val="bottom"/>
            <w:tcBorders>
              <w:right w:val="single" w:sz="8" w:color="CFF0FC"/>
            </w:tcBorders>
            <w:shd w:val="clear" w:color="auto" w:fill="CFF0FC"/>
          </w:tcPr>
          <w:p>
            <w:pPr>
              <w:spacing w:after="0" w:line="121" w:lineRule="exact"/>
              <w:rPr>
                <w:sz w:val="20"/>
                <w:szCs w:val="20"/>
                <w:color w:val="auto"/>
              </w:rPr>
            </w:pPr>
            <w:r>
              <w:rPr>
                <w:rFonts w:ascii="Times New Roman" w:cs="Times New Roman" w:eastAsia="Times New Roman" w:hAnsi="Times New Roman"/>
                <w:sz w:val="13"/>
                <w:szCs w:val="13"/>
                <w:color w:val="auto"/>
              </w:rPr>
              <w:t>Net change in unrealized gain (loss) on</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Level 3 investments still held as of March</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FF0FC"/>
          </w:tcPr>
          <w:p>
            <w:pPr>
              <w:jc w:val="right"/>
              <w:ind w:right="180"/>
              <w:spacing w:after="0" w:line="267" w:lineRule="exact"/>
              <w:rPr>
                <w:sz w:val="20"/>
                <w:szCs w:val="20"/>
                <w:color w:val="auto"/>
              </w:rPr>
            </w:pPr>
            <w:r>
              <w:rPr>
                <w:rFonts w:ascii="Times New Roman" w:cs="Times New Roman" w:eastAsia="Times New Roman" w:hAnsi="Times New Roman"/>
                <w:sz w:val="13"/>
                <w:szCs w:val="13"/>
                <w:color w:val="auto"/>
              </w:rPr>
              <w:t>(4,306</w:t>
            </w:r>
            <w:r>
              <w:rPr>
                <w:rFonts w:ascii="Times New Roman" w:cs="Times New Roman" w:eastAsia="Times New Roman" w:hAnsi="Times New Roman"/>
                <w:sz w:val="26"/>
                <w:szCs w:val="26"/>
                <w:color w:val="auto"/>
                <w:vertAlign w:val="subscript"/>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(113</w:t>
            </w:r>
            <w:r>
              <w:rPr>
                <w:rFonts w:ascii="Times New Roman" w:cs="Times New Roman" w:eastAsia="Times New Roman" w:hAnsi="Times New Roman"/>
                <w:sz w:val="26"/>
                <w:szCs w:val="26"/>
                <w:color w:val="auto"/>
                <w:vertAlign w:val="subscript"/>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(334</w:t>
            </w:r>
            <w:r>
              <w:rPr>
                <w:rFonts w:ascii="Times New Roman" w:cs="Times New Roman" w:eastAsia="Times New Roman" w:hAnsi="Times New Roman"/>
                <w:sz w:val="26"/>
                <w:szCs w:val="26"/>
                <w:color w:val="auto"/>
                <w:vertAlign w:val="subscript"/>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FF0FC"/>
          </w:tcPr>
          <w:p>
            <w:pPr>
              <w:jc w:val="right"/>
              <w:ind w:right="180"/>
              <w:spacing w:after="0" w:line="267" w:lineRule="exact"/>
              <w:rPr>
                <w:sz w:val="20"/>
                <w:szCs w:val="20"/>
                <w:color w:val="auto"/>
              </w:rPr>
            </w:pPr>
            <w:r>
              <w:rPr>
                <w:rFonts w:ascii="Times New Roman" w:cs="Times New Roman" w:eastAsia="Times New Roman" w:hAnsi="Times New Roman"/>
                <w:sz w:val="13"/>
                <w:szCs w:val="13"/>
                <w:color w:val="auto"/>
              </w:rPr>
              <w:t>(251</w:t>
            </w:r>
            <w:r>
              <w:rPr>
                <w:rFonts w:ascii="Times New Roman" w:cs="Times New Roman" w:eastAsia="Times New Roman" w:hAnsi="Times New Roman"/>
                <w:sz w:val="26"/>
                <w:szCs w:val="26"/>
                <w:color w:val="auto"/>
                <w:vertAlign w:val="subscript"/>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FF0FC"/>
          </w:tcPr>
          <w:p>
            <w:pPr>
              <w:jc w:val="right"/>
              <w:ind w:right="180"/>
              <w:spacing w:after="0" w:line="267" w:lineRule="exact"/>
              <w:rPr>
                <w:sz w:val="20"/>
                <w:szCs w:val="20"/>
                <w:color w:val="auto"/>
              </w:rPr>
            </w:pPr>
            <w:r>
              <w:rPr>
                <w:rFonts w:ascii="Times New Roman" w:cs="Times New Roman" w:eastAsia="Times New Roman" w:hAnsi="Times New Roman"/>
                <w:sz w:val="13"/>
                <w:szCs w:val="13"/>
                <w:color w:val="auto"/>
              </w:rPr>
              <w:t>(733</w:t>
            </w:r>
            <w:r>
              <w:rPr>
                <w:rFonts w:ascii="Times New Roman" w:cs="Times New Roman" w:eastAsia="Times New Roman" w:hAnsi="Times New Roman"/>
                <w:sz w:val="26"/>
                <w:szCs w:val="26"/>
                <w:color w:val="auto"/>
                <w:vertAlign w:val="subscript"/>
              </w:rPr>
              <w:t>)</w:t>
            </w:r>
          </w:p>
        </w:tc>
        <w:tc>
          <w:tcPr>
            <w:tcW w:w="18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(242</w:t>
            </w:r>
            <w:r>
              <w:rPr>
                <w:rFonts w:ascii="Times New Roman" w:cs="Times New Roman" w:eastAsia="Times New Roman" w:hAnsi="Times New Roman"/>
                <w:sz w:val="26"/>
                <w:szCs w:val="26"/>
                <w:color w:val="auto"/>
                <w:vertAlign w:val="subscript"/>
              </w:rPr>
              <w:t>)</w:t>
            </w:r>
          </w:p>
        </w:tc>
        <w:tc>
          <w:tcPr>
            <w:tcW w:w="2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40"/>
              <w:spacing w:after="0" w:line="267" w:lineRule="exact"/>
              <w:rPr>
                <w:sz w:val="20"/>
                <w:szCs w:val="20"/>
                <w:color w:val="auto"/>
              </w:rPr>
            </w:pPr>
            <w:r>
              <w:rPr>
                <w:rFonts w:ascii="Times New Roman" w:cs="Times New Roman" w:eastAsia="Times New Roman" w:hAnsi="Times New Roman"/>
                <w:sz w:val="13"/>
                <w:szCs w:val="13"/>
                <w:color w:val="auto"/>
              </w:rPr>
              <w:t>(5,979</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52"/>
        </w:trPr>
        <w:tc>
          <w:tcPr>
            <w:tcW w:w="2280" w:type="dxa"/>
            <w:vAlign w:val="bottom"/>
            <w:tcBorders>
              <w:right w:val="single" w:sz="8" w:color="CFF0FC"/>
            </w:tcBorders>
            <w:shd w:val="clear" w:color="auto" w:fill="CFF0FC"/>
          </w:tcPr>
          <w:p>
            <w:pPr>
              <w:spacing w:after="0" w:line="112" w:lineRule="exact"/>
              <w:rPr>
                <w:sz w:val="20"/>
                <w:szCs w:val="20"/>
                <w:color w:val="auto"/>
              </w:rPr>
            </w:pPr>
            <w:r>
              <w:rPr>
                <w:rFonts w:ascii="Times New Roman" w:cs="Times New Roman" w:eastAsia="Times New Roman" w:hAnsi="Times New Roman"/>
                <w:sz w:val="12"/>
                <w:szCs w:val="12"/>
                <w:color w:val="auto"/>
              </w:rPr>
              <w:t>31, 2024</w:t>
            </w:r>
          </w:p>
        </w:tc>
        <w:tc>
          <w:tcPr>
            <w:tcW w:w="100" w:type="dxa"/>
            <w:vAlign w:val="bottom"/>
            <w:vMerge w:val="continue"/>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206"/>
        <w:spacing w:after="0" w:line="195" w:lineRule="auto"/>
        <w:tabs>
          <w:tab w:leader="none" w:pos="56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2"/>
          <w:szCs w:val="12"/>
          <w:color w:val="auto"/>
        </w:rPr>
        <w:t>Net of reorganization and restructuring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1" w:name="page42"/>
    <w:bookmarkEnd w:id="4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quantitative information regarding Level 3 fair value measurements as of March 31, 2025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1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Range (Weighted 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Senior Secured Term Loans</w:t>
            </w:r>
            <w:r>
              <w:rPr>
                <w:rFonts w:ascii="Times New Roman" w:cs="Times New Roman" w:eastAsia="Times New Roman" w:hAnsi="Times New Roman"/>
                <w:sz w:val="16"/>
                <w:szCs w:val="16"/>
                <w:color w:val="auto"/>
                <w:vertAlign w:val="superscript"/>
              </w:rPr>
              <w:t>(1)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878,789</w:t>
            </w: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9.8% - 25.6% (15.4%)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11.1% - 19.1% (13.6%)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0.23x - 116.24x (5.89x)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44,709</w:t>
            </w:r>
          </w:p>
        </w:tc>
        <w:tc>
          <w:tcPr>
            <w:tcW w:w="21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PWERM</w:t>
            </w:r>
          </w:p>
        </w:tc>
        <w:tc>
          <w:tcPr>
            <w:tcW w:w="1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12.6% - 45.7% (29.1%)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13.7% - 29.9% (21.3%)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1.20x - 5.82x (3.56x)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2,574</w:t>
            </w:r>
          </w:p>
        </w:tc>
        <w:tc>
          <w:tcPr>
            <w:tcW w:w="180" w:type="dxa"/>
            <w:vAlign w:val="bottom"/>
            <w:shd w:val="clear" w:color="auto" w:fill="CFF0FC"/>
          </w:tcPr>
          <w:p>
            <w:pPr>
              <w:spacing w:after="0"/>
              <w:rPr>
                <w:sz w:val="19"/>
                <w:szCs w:val="19"/>
                <w:color w:val="auto"/>
              </w:rPr>
            </w:pPr>
          </w:p>
        </w:tc>
        <w:tc>
          <w:tcPr>
            <w:tcW w:w="21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w w:val="98"/>
              </w:rPr>
              <w:t xml:space="preserve">Waterfall Approach </w:t>
            </w:r>
            <w:r>
              <w:rPr>
                <w:rFonts w:ascii="Times New Roman" w:cs="Times New Roman" w:eastAsia="Times New Roman" w:hAnsi="Times New Roman"/>
                <w:sz w:val="16"/>
                <w:szCs w:val="16"/>
                <w:color w:val="auto"/>
                <w:w w:val="98"/>
                <w:vertAlign w:val="superscript"/>
              </w:rPr>
              <w:t>(5)</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4.0% - 4.0% (4.0%)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140" w:type="dxa"/>
            <w:vAlign w:val="bottom"/>
            <w:shd w:val="clear" w:color="auto" w:fill="CFF0FC"/>
          </w:tcPr>
          <w:p>
            <w:pPr>
              <w:spacing w:after="0"/>
              <w:rPr>
                <w:sz w:val="14"/>
                <w:szCs w:val="14"/>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52.5% - 52.5% (52.5%)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3.68x - 3.68x (3.68x)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Second Lien Term Loans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20,316</w:t>
            </w:r>
          </w:p>
        </w:tc>
        <w:tc>
          <w:tcPr>
            <w:tcW w:w="21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color w:val="auto"/>
              </w:rPr>
              <w:t>Discounted Cash Flow Analysis</w:t>
            </w:r>
          </w:p>
        </w:tc>
        <w:tc>
          <w:tcPr>
            <w:tcW w:w="1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19.5% - 20.1% (19.9%)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13.0% - 18.4% (14.5%)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Revenue Multiples</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2.86x - 3.18x (2.95x)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26,675</w:t>
            </w:r>
          </w:p>
        </w:tc>
        <w:tc>
          <w:tcPr>
            <w:tcW w:w="2140" w:type="dxa"/>
            <w:vAlign w:val="bottom"/>
            <w:shd w:val="clear" w:color="auto" w:fill="CFF0FC"/>
          </w:tcPr>
          <w:p>
            <w:pPr>
              <w:jc w:val="center"/>
              <w:ind w:right="14"/>
              <w:spacing w:after="0" w:line="156" w:lineRule="exact"/>
              <w:rPr>
                <w:sz w:val="20"/>
                <w:szCs w:val="20"/>
                <w:color w:val="auto"/>
              </w:rPr>
            </w:pPr>
            <w:r>
              <w:rPr>
                <w:rFonts w:ascii="Times New Roman" w:cs="Times New Roman" w:eastAsia="Times New Roman" w:hAnsi="Times New Roman"/>
                <w:sz w:val="13"/>
                <w:szCs w:val="13"/>
                <w:color w:val="auto"/>
                <w:w w:val="98"/>
              </w:rPr>
              <w:t xml:space="preserve">Waterfall Approach </w:t>
            </w:r>
            <w:r>
              <w:rPr>
                <w:rFonts w:ascii="Times New Roman" w:cs="Times New Roman" w:eastAsia="Times New Roman" w:hAnsi="Times New Roman"/>
                <w:sz w:val="16"/>
                <w:szCs w:val="16"/>
                <w:color w:val="auto"/>
                <w:w w:val="98"/>
                <w:vertAlign w:val="superscript"/>
              </w:rPr>
              <w:t>(5)</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4.0% - 4.0% (4.0%)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52.5% - 52.5% (52.5%)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3.68x - 3.68x (3.68x)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563</w:t>
            </w:r>
          </w:p>
        </w:tc>
        <w:tc>
          <w:tcPr>
            <w:tcW w:w="180" w:type="dxa"/>
            <w:vAlign w:val="bottom"/>
          </w:tcPr>
          <w:p>
            <w:pPr>
              <w:spacing w:after="0"/>
              <w:rPr>
                <w:sz w:val="12"/>
                <w:szCs w:val="12"/>
                <w:color w:val="auto"/>
              </w:rPr>
            </w:pPr>
          </w:p>
        </w:tc>
        <w:tc>
          <w:tcPr>
            <w:tcW w:w="214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auto"/>
                <w:w w:val="98"/>
              </w:rPr>
              <w:t xml:space="preserve">Option Pricing Model </w:t>
            </w:r>
            <w:r>
              <w:rPr>
                <w:rFonts w:ascii="Times New Roman" w:cs="Times New Roman" w:eastAsia="Times New Roman" w:hAnsi="Times New Roman"/>
                <w:sz w:val="16"/>
                <w:szCs w:val="16"/>
                <w:color w:val="auto"/>
                <w:w w:val="98"/>
                <w:vertAlign w:val="superscript"/>
              </w:rPr>
              <w:t>(6)</w:t>
            </w:r>
          </w:p>
        </w:tc>
        <w:tc>
          <w:tcPr>
            <w:tcW w:w="1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4.0% - 4.0% (4.0%)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32.5% - 50.0% (44.2%)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3.0 - 4.5 (3.5 years)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2.87x - 3.18x (2.97x)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4.0% - 4.0% (4.0%)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50.0% - 50.0% (50.0%)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Equity 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80" w:type="dxa"/>
            <w:vAlign w:val="bottom"/>
          </w:tcPr>
          <w:p>
            <w:pPr>
              <w:spacing w:after="0"/>
              <w:rPr>
                <w:sz w:val="13"/>
                <w:szCs w:val="13"/>
                <w:color w:val="auto"/>
              </w:rPr>
            </w:pPr>
          </w:p>
        </w:tc>
        <w:tc>
          <w:tcPr>
            <w:tcW w:w="2140" w:type="dxa"/>
            <w:vAlign w:val="bottom"/>
          </w:tcPr>
          <w:p>
            <w:pPr>
              <w:jc w:val="center"/>
              <w:ind w:right="14"/>
              <w:spacing w:after="0" w:line="156" w:lineRule="exact"/>
              <w:rPr>
                <w:sz w:val="20"/>
                <w:szCs w:val="20"/>
                <w:color w:val="auto"/>
              </w:rPr>
            </w:pPr>
            <w:r>
              <w:rPr>
                <w:rFonts w:ascii="Times New Roman" w:cs="Times New Roman" w:eastAsia="Times New Roman" w:hAnsi="Times New Roman"/>
                <w:sz w:val="13"/>
                <w:szCs w:val="13"/>
                <w:color w:val="auto"/>
                <w:w w:val="97"/>
              </w:rPr>
              <w:t xml:space="preserve">PWERM </w:t>
            </w:r>
            <w:r>
              <w:rPr>
                <w:rFonts w:ascii="Times New Roman" w:cs="Times New Roman" w:eastAsia="Times New Roman" w:hAnsi="Times New Roman"/>
                <w:sz w:val="16"/>
                <w:szCs w:val="16"/>
                <w:color w:val="auto"/>
                <w:w w:val="97"/>
                <w:vertAlign w:val="superscript"/>
              </w:rPr>
              <w:t>(4)</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Warrants</w:t>
            </w:r>
            <w:r>
              <w:rPr>
                <w:rFonts w:ascii="Times New Roman" w:cs="Times New Roman" w:eastAsia="Times New Roman" w:hAnsi="Times New Roman"/>
                <w:sz w:val="16"/>
                <w:szCs w:val="16"/>
                <w:color w:val="auto"/>
                <w:vertAlign w:val="superscript"/>
              </w:rPr>
              <w:t>(2)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10,351</w:t>
            </w: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4.0% - 4.1% (4.0%)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25.0% - 107.5% (48.1%)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1.0 - 3.5 (2.9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1.39x - 116.24x (3.63x)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w:t>
            </w:r>
          </w:p>
        </w:tc>
        <w:tc>
          <w:tcPr>
            <w:tcW w:w="180" w:type="dxa"/>
            <w:vAlign w:val="bottom"/>
          </w:tcPr>
          <w:p>
            <w:pPr>
              <w:spacing w:after="0"/>
              <w:rPr>
                <w:sz w:val="13"/>
                <w:szCs w:val="13"/>
                <w:color w:val="auto"/>
              </w:rPr>
            </w:pPr>
          </w:p>
        </w:tc>
        <w:tc>
          <w:tcPr>
            <w:tcW w:w="2140" w:type="dxa"/>
            <w:vAlign w:val="bottom"/>
          </w:tcPr>
          <w:p>
            <w:pPr>
              <w:jc w:val="center"/>
              <w:ind w:right="14"/>
              <w:spacing w:after="0" w:line="156" w:lineRule="exact"/>
              <w:rPr>
                <w:sz w:val="20"/>
                <w:szCs w:val="20"/>
                <w:color w:val="auto"/>
              </w:rPr>
            </w:pPr>
            <w:r>
              <w:rPr>
                <w:rFonts w:ascii="Times New Roman" w:cs="Times New Roman" w:eastAsia="Times New Roman" w:hAnsi="Times New Roman"/>
                <w:sz w:val="13"/>
                <w:szCs w:val="13"/>
                <w:color w:val="auto"/>
                <w:w w:val="97"/>
              </w:rPr>
              <w:t xml:space="preserve">PWERM </w:t>
            </w:r>
            <w:r>
              <w:rPr>
                <w:rFonts w:ascii="Times New Roman" w:cs="Times New Roman" w:eastAsia="Times New Roman" w:hAnsi="Times New Roman"/>
                <w:sz w:val="16"/>
                <w:szCs w:val="16"/>
                <w:color w:val="auto"/>
                <w:w w:val="97"/>
                <w:vertAlign w:val="superscript"/>
              </w:rPr>
              <w:t>(3)</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Waterfall Approach</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4.0% - 4.0% (4.0%)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67.5% - 67.5% (67.5%)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3.7 - 3.7 (3.7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1.88x - 1.88x (1.88x)</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Level 3 Investments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988,224</w:t>
            </w:r>
          </w:p>
        </w:tc>
        <w:tc>
          <w:tcPr>
            <w:tcW w:w="18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60" w:right="80"/>
        <w:spacing w:after="0" w:line="231"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3" w:lineRule="exact"/>
        <w:rPr>
          <w:sz w:val="20"/>
          <w:szCs w:val="20"/>
          <w:color w:val="auto"/>
        </w:rPr>
      </w:pPr>
    </w:p>
    <w:p>
      <w:pPr>
        <w:ind w:left="360" w:right="60"/>
        <w:spacing w:after="0" w:line="231"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The significant unobservable inputs used in the fair value measurement of the Company’s warrant and equity- related securities are inputs used in the OPM, which include industry volatility, risk free interest rate and estimated time to exit. The Equity Allocation model and the Black Scholes model were the main OPMs used during the period ended March 31, 2025.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1" w:lineRule="exact"/>
        <w:rPr>
          <w:sz w:val="20"/>
          <w:szCs w:val="20"/>
          <w:color w:val="auto"/>
        </w:rPr>
      </w:pPr>
    </w:p>
    <w:p>
      <w:pPr>
        <w:ind w:left="360" w:right="40"/>
        <w:spacing w:after="0" w:line="205"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Warrant investments using a PWERM valuation technique contain success fees, in which case the inputs are not applicable because the nature of a success fee is a fixed payout dependent on certain liquidation events.</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3"/>
          <w:szCs w:val="13"/>
          <w:color w:val="auto"/>
        </w:rPr>
        <w:t>Investment valued using a PWERM valuation technique and includes inputs that are based on scenario analysis specific to the asset recovery of such investment.</w:t>
      </w:r>
    </w:p>
    <w:p>
      <w:pPr>
        <w:spacing w:after="0" w:line="1" w:lineRule="exact"/>
        <w:rPr>
          <w:sz w:val="20"/>
          <w:szCs w:val="20"/>
          <w:color w:val="auto"/>
        </w:rPr>
      </w:pPr>
    </w:p>
    <w:p>
      <w:pPr>
        <w:ind w:left="360" w:right="80"/>
        <w:spacing w:after="0" w:line="206" w:lineRule="auto"/>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3"/>
          <w:szCs w:val="13"/>
          <w:color w:val="auto"/>
        </w:rPr>
        <w:t>Investment valued using a Waterfall valuation technique. The inputs utilized in the valuation are based on an option pricing model that was utilized to value the shares that JobGet Holdings, Inc. owns in JobGet, Inc.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2" w:name="page43"/>
    <w:bookmarkEnd w:id="4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quantitative information regarding Level 3 fair value measurements as of December 31,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Range (Weighted 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Senior Secured Term Loans</w:t>
            </w:r>
            <w:r>
              <w:rPr>
                <w:rFonts w:ascii="Times New Roman" w:cs="Times New Roman" w:eastAsia="Times New Roman" w:hAnsi="Times New Roman"/>
                <w:sz w:val="16"/>
                <w:szCs w:val="16"/>
                <w:color w:val="auto"/>
                <w:vertAlign w:val="superscript"/>
              </w:rPr>
              <w:t>(1)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944,513</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3"/>
                <w:szCs w:val="13"/>
                <w:color w:val="auto"/>
                <w:w w:val="99"/>
              </w:rPr>
              <w:t xml:space="preserve">Discounted Cash Flow Analysis </w:t>
            </w:r>
            <w:r>
              <w:rPr>
                <w:rFonts w:ascii="Times New Roman" w:cs="Times New Roman" w:eastAsia="Times New Roman" w:hAnsi="Times New Roman"/>
                <w:sz w:val="16"/>
                <w:szCs w:val="16"/>
                <w:color w:val="auto"/>
                <w:w w:val="99"/>
                <w:vertAlign w:val="superscript"/>
              </w:rPr>
              <w:t>(6)</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10.2% - 45.7% (15.6%)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11.1% - 29.9% (13.9%)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0.28x - 15.25x (4.22x)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2,148</w:t>
            </w:r>
          </w:p>
        </w:tc>
        <w:tc>
          <w:tcPr>
            <w:tcW w:w="140" w:type="dxa"/>
            <w:vAlign w:val="bottom"/>
          </w:tcPr>
          <w:p>
            <w:pPr>
              <w:spacing w:after="0"/>
              <w:rPr>
                <w:sz w:val="12"/>
                <w:szCs w:val="12"/>
                <w:color w:val="auto"/>
              </w:rPr>
            </w:pPr>
          </w:p>
        </w:tc>
        <w:tc>
          <w:tcPr>
            <w:tcW w:w="22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PWERM</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gridSpan w:val="2"/>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40.0% - 40.0% (40.0%)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18.6% - 18.6% (18.6%)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1.25x - 1.25x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(1.25x)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3"/>
                <w:szCs w:val="13"/>
                <w:color w:val="auto"/>
                <w:w w:val="98"/>
              </w:rPr>
              <w:t xml:space="preserve">Waterfall Approach </w:t>
            </w:r>
            <w:r>
              <w:rPr>
                <w:rFonts w:ascii="Times New Roman" w:cs="Times New Roman" w:eastAsia="Times New Roman" w:hAnsi="Times New Roman"/>
                <w:sz w:val="16"/>
                <w:szCs w:val="16"/>
                <w:color w:val="auto"/>
                <w:w w:val="98"/>
                <w:vertAlign w:val="superscript"/>
              </w:rPr>
              <w:t>(5)</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52.5% - 52.5% (52.5%)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3.75x - 3.75x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(3.75x)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Second Lien Term Loans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20,152</w:t>
            </w:r>
          </w:p>
        </w:tc>
        <w:tc>
          <w:tcPr>
            <w:tcW w:w="22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Discounted Cash Flow Analysis</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gridSpan w:val="2"/>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18.6% - 19.2% (19.1%)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13.0% - 18.4% (14.5%)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Revenue Multiples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1.90x - 2.85x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(2.17x)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35,563</w:t>
            </w:r>
          </w:p>
        </w:tc>
        <w:tc>
          <w:tcPr>
            <w:tcW w:w="22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3"/>
                <w:szCs w:val="13"/>
                <w:color w:val="auto"/>
                <w:w w:val="98"/>
              </w:rPr>
              <w:t xml:space="preserve">Waterfall Approach </w:t>
            </w:r>
            <w:r>
              <w:rPr>
                <w:rFonts w:ascii="Times New Roman" w:cs="Times New Roman" w:eastAsia="Times New Roman" w:hAnsi="Times New Roman"/>
                <w:sz w:val="16"/>
                <w:szCs w:val="16"/>
                <w:color w:val="auto"/>
                <w:w w:val="98"/>
                <w:vertAlign w:val="superscript"/>
              </w:rPr>
              <w:t>(5)</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52.5% - 52.5% (52.5%)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3.75x - 3.75x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(3.75x)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37,897</w:t>
            </w:r>
          </w:p>
        </w:tc>
        <w:tc>
          <w:tcPr>
            <w:tcW w:w="22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auto"/>
                <w:w w:val="98"/>
              </w:rPr>
              <w:t xml:space="preserve">Option Pricing Model </w:t>
            </w:r>
            <w:r>
              <w:rPr>
                <w:rFonts w:ascii="Times New Roman" w:cs="Times New Roman" w:eastAsia="Times New Roman" w:hAnsi="Times New Roman"/>
                <w:sz w:val="16"/>
                <w:szCs w:val="16"/>
                <w:color w:val="auto"/>
                <w:w w:val="98"/>
                <w:vertAlign w:val="superscript"/>
              </w:rPr>
              <w:t>(6)</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4.1% - 4.1%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45.0% - 62.5% (45.1%)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3.0 - 4.7 (3.0 years)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2.82x - 12.87x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(12.76x)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62.5% - 62.5% (62.5%)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Equity 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40" w:type="dxa"/>
            <w:vAlign w:val="bottom"/>
          </w:tcPr>
          <w:p>
            <w:pPr>
              <w:spacing w:after="0"/>
              <w:rPr>
                <w:sz w:val="13"/>
                <w:szCs w:val="13"/>
                <w:color w:val="auto"/>
              </w:rPr>
            </w:pPr>
          </w:p>
        </w:tc>
        <w:tc>
          <w:tcPr>
            <w:tcW w:w="220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7"/>
              </w:rPr>
              <w:t xml:space="preserve">PWERM </w:t>
            </w:r>
            <w:r>
              <w:rPr>
                <w:rFonts w:ascii="Times New Roman" w:cs="Times New Roman" w:eastAsia="Times New Roman" w:hAnsi="Times New Roman"/>
                <w:sz w:val="16"/>
                <w:szCs w:val="16"/>
                <w:color w:val="auto"/>
                <w:w w:val="97"/>
                <w:vertAlign w:val="superscript"/>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220" w:type="dxa"/>
            <w:vAlign w:val="bottom"/>
          </w:tcPr>
          <w:p>
            <w:pPr>
              <w:jc w:val="center"/>
              <w:ind w:left="834"/>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Warrants</w:t>
            </w:r>
            <w:r>
              <w:rPr>
                <w:rFonts w:ascii="Times New Roman" w:cs="Times New Roman" w:eastAsia="Times New Roman" w:hAnsi="Times New Roman"/>
                <w:sz w:val="16"/>
                <w:szCs w:val="16"/>
                <w:color w:val="auto"/>
                <w:vertAlign w:val="superscript"/>
              </w:rPr>
              <w:t>(2)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10,860</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- 4.3%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22.5% - 110.0% (47.7%)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1.0 - 3.8 (2.9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1.27x - 8.89x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(3.41x)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140" w:type="dxa"/>
            <w:vAlign w:val="bottom"/>
          </w:tcPr>
          <w:p>
            <w:pPr>
              <w:spacing w:after="0"/>
              <w:rPr>
                <w:sz w:val="13"/>
                <w:szCs w:val="13"/>
                <w:color w:val="auto"/>
              </w:rPr>
            </w:pPr>
          </w:p>
        </w:tc>
        <w:tc>
          <w:tcPr>
            <w:tcW w:w="220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7"/>
              </w:rPr>
              <w:t xml:space="preserve">PWERM </w:t>
            </w:r>
            <w:r>
              <w:rPr>
                <w:rFonts w:ascii="Times New Roman" w:cs="Times New Roman" w:eastAsia="Times New Roman" w:hAnsi="Times New Roman"/>
                <w:sz w:val="16"/>
                <w:szCs w:val="16"/>
                <w:color w:val="auto"/>
                <w:w w:val="97"/>
                <w:vertAlign w:val="superscript"/>
              </w:rPr>
              <w:t>(3)</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220" w:type="dxa"/>
            <w:vAlign w:val="bottom"/>
          </w:tcPr>
          <w:p>
            <w:pPr>
              <w:jc w:val="center"/>
              <w:ind w:left="834"/>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Waterfall Approach</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1.93x - 1.93x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(1.93x)</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Level 3 Investments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1,058,670</w:t>
            </w:r>
          </w:p>
        </w:tc>
        <w:tc>
          <w:tcPr>
            <w:tcW w:w="14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Borders>
              <w:top w:val="single" w:sz="8" w:color="CFF0FC"/>
              <w:bottom w:val="single" w:sz="8" w:color="auto"/>
            </w:tcBorders>
          </w:tcPr>
          <w:p>
            <w:pPr>
              <w:spacing w:after="0"/>
              <w:rPr>
                <w:sz w:val="11"/>
                <w:szCs w:val="11"/>
                <w:color w:val="auto"/>
              </w:rPr>
            </w:pPr>
          </w:p>
        </w:tc>
        <w:tc>
          <w:tcPr>
            <w:tcW w:w="160" w:type="dxa"/>
            <w:vAlign w:val="bottom"/>
            <w:tcBorders>
              <w:top w:val="single" w:sz="8" w:color="CFF0FC"/>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2200" w:type="dxa"/>
            <w:vAlign w:val="bottom"/>
            <w:tcBorders>
              <w:top w:val="single" w:sz="8" w:color="CFF0FC"/>
            </w:tcBorders>
          </w:tcPr>
          <w:p>
            <w:pPr>
              <w:spacing w:after="0"/>
              <w:rPr>
                <w:sz w:val="11"/>
                <w:szCs w:val="11"/>
                <w:color w:val="auto"/>
              </w:rPr>
            </w:pPr>
          </w:p>
        </w:tc>
        <w:tc>
          <w:tcPr>
            <w:tcW w:w="1920" w:type="dxa"/>
            <w:vAlign w:val="bottom"/>
            <w:tcBorders>
              <w:top w:val="single" w:sz="8" w:color="CFF0FC"/>
            </w:tcBorders>
          </w:tcPr>
          <w:p>
            <w:pPr>
              <w:spacing w:after="0"/>
              <w:rPr>
                <w:sz w:val="11"/>
                <w:szCs w:val="11"/>
                <w:color w:val="auto"/>
              </w:rPr>
            </w:pPr>
          </w:p>
        </w:tc>
        <w:tc>
          <w:tcPr>
            <w:tcW w:w="122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60" w:right="80"/>
        <w:spacing w:after="0" w:line="228"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2" w:lineRule="exact"/>
        <w:rPr>
          <w:sz w:val="20"/>
          <w:szCs w:val="20"/>
          <w:color w:val="auto"/>
        </w:rPr>
      </w:pPr>
    </w:p>
    <w:p>
      <w:pPr>
        <w:ind w:left="360" w:right="60"/>
        <w:spacing w:after="0" w:line="228"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The significant unobservable inputs used in the fair value measurement of the Company’s warrant and equity- related securities are inputs used in the OPM, which include industry volatility, risk free interest rate and estimated time to exit. The Equity Allocation model and the Black Scholes model were the main OPMs used during the year ended December 31, 2024.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2" w:lineRule="exact"/>
        <w:rPr>
          <w:sz w:val="20"/>
          <w:szCs w:val="20"/>
          <w:color w:val="auto"/>
        </w:rPr>
      </w:pPr>
    </w:p>
    <w:p>
      <w:pPr>
        <w:ind w:left="360" w:right="40"/>
        <w:spacing w:after="0" w:line="199"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Warrant investments using a PWERM valuation technique contain success fees, in which case the inputs are not applicable because the nature of a success fee is a fixed payout dependent on certain liquidation events.</w:t>
      </w:r>
    </w:p>
    <w:p>
      <w:pPr>
        <w:ind w:left="360"/>
        <w:spacing w:after="0" w:line="180" w:lineRule="auto"/>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3"/>
          <w:szCs w:val="13"/>
          <w:color w:val="auto"/>
        </w:rPr>
        <w:t>Investment valued using a PWERM valuation technique and includes inputs that are based on scenario analysis specific to the asset recovery of such investment.</w:t>
      </w:r>
    </w:p>
    <w:p>
      <w:pPr>
        <w:spacing w:after="0" w:line="1" w:lineRule="exact"/>
        <w:rPr>
          <w:sz w:val="20"/>
          <w:szCs w:val="20"/>
          <w:color w:val="auto"/>
        </w:rPr>
      </w:pPr>
    </w:p>
    <w:p>
      <w:pPr>
        <w:ind w:left="360" w:right="80"/>
        <w:spacing w:after="0" w:line="199" w:lineRule="auto"/>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3"/>
          <w:szCs w:val="13"/>
          <w:color w:val="auto"/>
        </w:rPr>
        <w:t>Investment valued using a Waterfall valuation technique. The inputs utilized in the valuation are based on an option pricing model that was utilized to value the shares that JobGet Holdings, Inc. owns in JobGet, Inc.</w:t>
      </w:r>
    </w:p>
    <w:p>
      <w:pPr>
        <w:ind w:left="360" w:right="220"/>
        <w:spacing w:after="0" w:line="199" w:lineRule="auto"/>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3"/>
          <w:szCs w:val="13"/>
          <w:color w:val="auto"/>
        </w:rPr>
        <w:t>Includes Gynesonics, Inc., which was sold on January 2, 2025. As of December 31, 2024, the Company valued its investments in Gynesonics, Inc. at the expected sales proceeds from the acquisition.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3" w:name="page44"/>
    <w:bookmarkEnd w:id="4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 Reported at Cost</w:t>
      </w:r>
    </w:p>
    <w:p>
      <w:pPr>
        <w:spacing w:after="0" w:line="19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The Company records its debt at amortized cost on the Consolidated Statements of Assets and Liabilities. The fair value of the Company’s Credit Facility, April 2026 Notes, December 2026 Notes, and August 2027 Notes (each defined in "Note 7 – Borrowings") are estimated using Level 3 inputs, which involves discounting the remaining payments based on comparable market rates or market quotes for similar instruments as of the measurement date. The July 2027 Notes and December 2027 Notes are publicly traded on NASDAQ and are valued using Level 1 inputs, reflecting the most recent market prices of $25.09 and $25.25 per share as of March 31, 2025, respectively. As of December 31, 2024, the market prices were $24.88 and $25.10 per share,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additional information about the approximate fair value and level in the fair value hierarchy of the Company’s outstanding borrowings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2025 and December 31,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40" w:type="dxa"/>
            <w:vAlign w:val="bottom"/>
            <w:gridSpan w:val="3"/>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Fair Value Hierarchy</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180" w:type="dxa"/>
            <w:vAlign w:val="bottom"/>
          </w:tcPr>
          <w:p>
            <w:pPr>
              <w:spacing w:after="0"/>
              <w:rPr>
                <w:sz w:val="15"/>
                <w:szCs w:val="15"/>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2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Facility</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247,955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ind w:right="87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270,622</w:t>
            </w:r>
          </w:p>
        </w:tc>
        <w:tc>
          <w:tcPr>
            <w:tcW w:w="10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270,622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April 2026 Notes</w:t>
            </w:r>
          </w:p>
        </w:tc>
        <w:tc>
          <w:tcPr>
            <w:tcW w:w="180" w:type="dxa"/>
            <w:vAlign w:val="bottom"/>
          </w:tcPr>
          <w:p>
            <w:pPr>
              <w:spacing w:after="0"/>
              <w:rPr>
                <w:sz w:val="13"/>
                <w:szCs w:val="13"/>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24,875</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26,179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26,179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December 2026 Notes</w:t>
            </w:r>
          </w:p>
        </w:tc>
        <w:tc>
          <w:tcPr>
            <w:tcW w:w="1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69,689</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67,058</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67,058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July 2027 Notes</w:t>
            </w:r>
          </w:p>
        </w:tc>
        <w:tc>
          <w:tcPr>
            <w:tcW w:w="180" w:type="dxa"/>
            <w:vAlign w:val="bottom"/>
          </w:tcPr>
          <w:p>
            <w:pPr>
              <w:spacing w:after="0"/>
              <w:rPr>
                <w:sz w:val="13"/>
                <w:szCs w:val="13"/>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79,261</w:t>
            </w:r>
          </w:p>
        </w:tc>
        <w:tc>
          <w:tcPr>
            <w:tcW w:w="2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80,790</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80,790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August 2027 Notes</w:t>
            </w:r>
          </w:p>
        </w:tc>
        <w:tc>
          <w:tcPr>
            <w:tcW w:w="1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19,663</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19,846</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19,846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December 2027 Notes</w:t>
            </w:r>
          </w:p>
        </w:tc>
        <w:tc>
          <w:tcPr>
            <w:tcW w:w="180" w:type="dxa"/>
            <w:vAlign w:val="bottom"/>
          </w:tcPr>
          <w:p>
            <w:pPr>
              <w:spacing w:after="0"/>
              <w:rPr>
                <w:sz w:val="13"/>
                <w:szCs w:val="13"/>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50,764</w:t>
            </w:r>
          </w:p>
        </w:tc>
        <w:tc>
          <w:tcPr>
            <w:tcW w:w="24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52,268</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52,268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492,207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133,058</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ind w:right="8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383,705</w:t>
            </w:r>
          </w:p>
        </w:tc>
        <w:tc>
          <w:tcPr>
            <w:tcW w:w="1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516,763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3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Facility</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308,449</w:t>
            </w:r>
          </w:p>
        </w:tc>
        <w:tc>
          <w:tcPr>
            <w:tcW w:w="30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87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321,785</w:t>
            </w:r>
          </w:p>
        </w:tc>
        <w:tc>
          <w:tcPr>
            <w:tcW w:w="10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April 2026 Notes</w:t>
            </w:r>
          </w:p>
        </w:tc>
        <w:tc>
          <w:tcPr>
            <w:tcW w:w="1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24,839</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25,616</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25,616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December 2026 Notes</w:t>
            </w:r>
          </w:p>
        </w:tc>
        <w:tc>
          <w:tcPr>
            <w:tcW w:w="180" w:type="dxa"/>
            <w:vAlign w:val="bottom"/>
          </w:tcPr>
          <w:p>
            <w:pPr>
              <w:spacing w:after="0"/>
              <w:rPr>
                <w:sz w:val="13"/>
                <w:szCs w:val="13"/>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69,630</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65,512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65,512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July 2027 Notes</w:t>
            </w:r>
          </w:p>
        </w:tc>
        <w:tc>
          <w:tcPr>
            <w:tcW w:w="1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79,116</w:t>
            </w:r>
          </w:p>
        </w:tc>
        <w:tc>
          <w:tcPr>
            <w:tcW w:w="2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80,114</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80,114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August 2027 Notes</w:t>
            </w:r>
          </w:p>
        </w:tc>
        <w:tc>
          <w:tcPr>
            <w:tcW w:w="180" w:type="dxa"/>
            <w:vAlign w:val="bottom"/>
          </w:tcPr>
          <w:p>
            <w:pPr>
              <w:spacing w:after="0"/>
              <w:rPr>
                <w:sz w:val="13"/>
                <w:szCs w:val="13"/>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19,628</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20,054</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December 2027 Notes</w:t>
            </w:r>
          </w:p>
        </w:tc>
        <w:tc>
          <w:tcPr>
            <w:tcW w:w="1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50,670</w:t>
            </w:r>
          </w:p>
        </w:tc>
        <w:tc>
          <w:tcPr>
            <w:tcW w:w="2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51,957</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51,957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552,332</w:t>
            </w:r>
          </w:p>
        </w:tc>
        <w:tc>
          <w:tcPr>
            <w:tcW w:w="30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132,071</w:t>
            </w:r>
          </w:p>
        </w:tc>
        <w:tc>
          <w:tcPr>
            <w:tcW w:w="140" w:type="dxa"/>
            <w:vAlign w:val="bottom"/>
          </w:tcPr>
          <w:p>
            <w:pPr>
              <w:spacing w:after="0"/>
              <w:rPr>
                <w:sz w:val="13"/>
                <w:szCs w:val="13"/>
                <w:color w:val="auto"/>
              </w:rPr>
            </w:pPr>
          </w:p>
        </w:tc>
        <w:tc>
          <w:tcPr>
            <w:tcW w:w="1160" w:type="dxa"/>
            <w:vAlign w:val="bottom"/>
            <w:gridSpan w:val="2"/>
          </w:tcPr>
          <w:p>
            <w:pPr>
              <w:jc w:val="right"/>
              <w:ind w:right="8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8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432,967</w:t>
            </w:r>
          </w:p>
        </w:tc>
        <w:tc>
          <w:tcPr>
            <w:tcW w:w="100" w:type="dxa"/>
            <w:vAlign w:val="bottom"/>
          </w:tcPr>
          <w:p>
            <w:pPr>
              <w:spacing w:after="0"/>
              <w:rPr>
                <w:sz w:val="13"/>
                <w:szCs w:val="13"/>
                <w:color w:val="auto"/>
              </w:rPr>
            </w:pPr>
          </w:p>
        </w:tc>
        <w:tc>
          <w:tcPr>
            <w:tcW w:w="4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565,038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Concentration of Credit Risk</w:t>
      </w:r>
    </w:p>
    <w:p>
      <w:pPr>
        <w:spacing w:after="0" w:line="190"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In the normal course of business, the Company maintains its cash balances at large, high credit -quality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w:t>
      </w:r>
    </w:p>
    <w:p>
      <w:pPr>
        <w:spacing w:after="0" w:line="11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March 31, 2025. The Company predominantly collateralizes its investments by obtaining a first priority security interest in a portfolio company’s assets, which may include its intellectual property.</w:t>
      </w:r>
    </w:p>
    <w:p>
      <w:pPr>
        <w:spacing w:after="0" w:line="15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As of March 31, 2025 and December 31, 2024, the Company’s five largest debt investments in portfolio companies represented 29.7% and 28.8%, respectively, of the total fair value of the Company’s debt investments in portfolio companies. As of March 31, 2025 and December 31, 2024, the Company had debt investments in 18 and 20 portfolio companies, respectively, that represented 5% or more of the Company’s net assets.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4" w:name="page45"/>
    <w:bookmarkEnd w:id="4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Borrowings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Company's borrowings as of March 31, 2025 and December 31,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Total Commitment</w:t>
            </w:r>
          </w:p>
        </w:tc>
        <w:tc>
          <w:tcPr>
            <w:tcW w:w="28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Face Value</w:t>
            </w:r>
          </w:p>
        </w:tc>
        <w:tc>
          <w:tcPr>
            <w:tcW w:w="200" w:type="dxa"/>
            <w:vAlign w:val="bottom"/>
          </w:tcPr>
          <w:p>
            <w:pPr>
              <w:spacing w:after="0"/>
              <w:rPr>
                <w:sz w:val="14"/>
                <w:szCs w:val="14"/>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Unamortized DFC</w:t>
            </w: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Carrying Value</w:t>
            </w:r>
          </w:p>
        </w:tc>
      </w:tr>
      <w:tr>
        <w:trPr>
          <w:trHeight w:val="15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3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Credit Facility</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360" w:type="dxa"/>
            <w:vAlign w:val="bottom"/>
          </w:tcPr>
          <w:p>
            <w:pPr>
              <w:spacing w:after="0"/>
              <w:rPr>
                <w:sz w:val="13"/>
                <w:szCs w:val="13"/>
                <w:color w:val="auto"/>
              </w:rPr>
            </w:pP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253,000</w:t>
            </w:r>
          </w:p>
        </w:tc>
        <w:tc>
          <w:tcPr>
            <w:tcW w:w="340" w:type="dxa"/>
            <w:vAlign w:val="bottom"/>
          </w:tcPr>
          <w:p>
            <w:pPr>
              <w:spacing w:after="0"/>
              <w:rPr>
                <w:sz w:val="13"/>
                <w:szCs w:val="13"/>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(5,045)</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247,955</w:t>
            </w:r>
          </w:p>
        </w:tc>
        <w:tc>
          <w:tcPr>
            <w:tcW w:w="80" w:type="dxa"/>
            <w:vAlign w:val="bottom"/>
          </w:tcPr>
          <w:p>
            <w:pPr>
              <w:spacing w:after="0"/>
              <w:rPr>
                <w:sz w:val="13"/>
                <w:szCs w:val="13"/>
                <w:color w:val="auto"/>
              </w:rPr>
            </w:pPr>
          </w:p>
        </w:tc>
      </w:tr>
      <w:tr>
        <w:trPr>
          <w:trHeight w:val="156"/>
        </w:trPr>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April 2026 Notes</w:t>
            </w:r>
          </w:p>
        </w:tc>
        <w:tc>
          <w:tcPr>
            <w:tcW w:w="18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25,000</w:t>
            </w:r>
          </w:p>
        </w:tc>
        <w:tc>
          <w:tcPr>
            <w:tcW w:w="28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25,000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(125)</w:t>
            </w:r>
          </w:p>
        </w:tc>
        <w:tc>
          <w:tcPr>
            <w:tcW w:w="2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24,875</w:t>
            </w:r>
          </w:p>
        </w:tc>
      </w:tr>
      <w:tr>
        <w:trPr>
          <w:trHeight w:val="156"/>
        </w:trPr>
        <w:tc>
          <w:tcPr>
            <w:tcW w:w="3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December 2026 Notes</w:t>
            </w:r>
          </w:p>
        </w:tc>
        <w:tc>
          <w:tcPr>
            <w:tcW w:w="180" w:type="dxa"/>
            <w:vAlign w:val="bottom"/>
          </w:tcPr>
          <w:p>
            <w:pPr>
              <w:spacing w:after="0"/>
              <w:rPr>
                <w:sz w:val="13"/>
                <w:szCs w:val="13"/>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70,000</w:t>
            </w:r>
          </w:p>
        </w:tc>
        <w:tc>
          <w:tcPr>
            <w:tcW w:w="280" w:type="dxa"/>
            <w:vAlign w:val="bottom"/>
          </w:tcPr>
          <w:p>
            <w:pPr>
              <w:spacing w:after="0"/>
              <w:rPr>
                <w:sz w:val="13"/>
                <w:szCs w:val="13"/>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70,000</w:t>
            </w: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(311)</w:t>
            </w:r>
          </w:p>
        </w:tc>
        <w:tc>
          <w:tcPr>
            <w:tcW w:w="24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69,689</w:t>
            </w:r>
          </w:p>
        </w:tc>
      </w:tr>
      <w:tr>
        <w:trPr>
          <w:trHeight w:val="156"/>
        </w:trPr>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July 2027 Notes</w:t>
            </w:r>
          </w:p>
        </w:tc>
        <w:tc>
          <w:tcPr>
            <w:tcW w:w="18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80,500</w:t>
            </w:r>
          </w:p>
        </w:tc>
        <w:tc>
          <w:tcPr>
            <w:tcW w:w="28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80,500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(1,239)</w:t>
            </w:r>
          </w:p>
        </w:tc>
        <w:tc>
          <w:tcPr>
            <w:tcW w:w="2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79,261</w:t>
            </w:r>
          </w:p>
        </w:tc>
      </w:tr>
      <w:tr>
        <w:trPr>
          <w:trHeight w:val="156"/>
        </w:trPr>
        <w:tc>
          <w:tcPr>
            <w:tcW w:w="3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August 2027 Notes</w:t>
            </w:r>
          </w:p>
        </w:tc>
        <w:tc>
          <w:tcPr>
            <w:tcW w:w="180" w:type="dxa"/>
            <w:vAlign w:val="bottom"/>
          </w:tcPr>
          <w:p>
            <w:pPr>
              <w:spacing w:after="0"/>
              <w:rPr>
                <w:sz w:val="13"/>
                <w:szCs w:val="13"/>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20,000</w:t>
            </w:r>
          </w:p>
        </w:tc>
        <w:tc>
          <w:tcPr>
            <w:tcW w:w="280" w:type="dxa"/>
            <w:vAlign w:val="bottom"/>
          </w:tcPr>
          <w:p>
            <w:pPr>
              <w:spacing w:after="0"/>
              <w:rPr>
                <w:sz w:val="13"/>
                <w:szCs w:val="13"/>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20,000</w:t>
            </w: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(337)</w:t>
            </w:r>
          </w:p>
        </w:tc>
        <w:tc>
          <w:tcPr>
            <w:tcW w:w="24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19,663</w:t>
            </w:r>
          </w:p>
        </w:tc>
      </w:tr>
      <w:tr>
        <w:trPr>
          <w:trHeight w:val="156"/>
        </w:trPr>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December 2027 Notes</w:t>
            </w:r>
          </w:p>
        </w:tc>
        <w:tc>
          <w:tcPr>
            <w:tcW w:w="18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51,750</w:t>
            </w:r>
          </w:p>
        </w:tc>
        <w:tc>
          <w:tcPr>
            <w:tcW w:w="28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51,750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(986)</w:t>
            </w:r>
          </w:p>
        </w:tc>
        <w:tc>
          <w:tcPr>
            <w:tcW w:w="2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50,764</w:t>
            </w:r>
          </w:p>
        </w:tc>
      </w:tr>
      <w:tr>
        <w:trPr>
          <w:trHeight w:val="156"/>
        </w:trPr>
        <w:tc>
          <w:tcPr>
            <w:tcW w:w="300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797,250</w:t>
            </w:r>
          </w:p>
        </w:tc>
        <w:tc>
          <w:tcPr>
            <w:tcW w:w="360" w:type="dxa"/>
            <w:vAlign w:val="bottom"/>
          </w:tcPr>
          <w:p>
            <w:pPr>
              <w:spacing w:after="0"/>
              <w:rPr>
                <w:sz w:val="13"/>
                <w:szCs w:val="13"/>
                <w:color w:val="auto"/>
              </w:rPr>
            </w:pPr>
          </w:p>
        </w:tc>
        <w:tc>
          <w:tcPr>
            <w:tcW w:w="280" w:type="dxa"/>
            <w:vAlign w:val="bottom"/>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500,250</w:t>
            </w:r>
          </w:p>
        </w:tc>
        <w:tc>
          <w:tcPr>
            <w:tcW w:w="340" w:type="dxa"/>
            <w:vAlign w:val="bottom"/>
          </w:tcPr>
          <w:p>
            <w:pPr>
              <w:spacing w:after="0"/>
              <w:rPr>
                <w:sz w:val="13"/>
                <w:szCs w:val="13"/>
                <w:color w:val="auto"/>
              </w:rPr>
            </w:pPr>
          </w:p>
        </w:tc>
        <w:tc>
          <w:tcPr>
            <w:tcW w:w="2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9"/>
                <w:szCs w:val="9"/>
                <w:color w:val="auto"/>
              </w:rPr>
              <w:t>(8,043</w:t>
            </w:r>
            <w:r>
              <w:rPr>
                <w:rFonts w:ascii="Times New Roman" w:cs="Times New Roman" w:eastAsia="Times New Roman" w:hAnsi="Times New Roman"/>
                <w:sz w:val="15"/>
                <w:szCs w:val="15"/>
                <w:color w:val="auto"/>
                <w:vertAlign w:val="subscript"/>
              </w:rPr>
              <w:t>)</w:t>
            </w:r>
          </w:p>
        </w:tc>
        <w:tc>
          <w:tcPr>
            <w:tcW w:w="24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492,207</w:t>
            </w:r>
          </w:p>
        </w:tc>
        <w:tc>
          <w:tcPr>
            <w:tcW w:w="80" w:type="dxa"/>
            <w:vAlign w:val="bottom"/>
          </w:tcPr>
          <w:p>
            <w:pPr>
              <w:spacing w:after="0"/>
              <w:rPr>
                <w:sz w:val="13"/>
                <w:szCs w:val="13"/>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30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6"/>
        </w:trPr>
        <w:tc>
          <w:tcPr>
            <w:tcW w:w="30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Credit Facility</w:t>
            </w: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(2,551)</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308,449</w:t>
            </w:r>
          </w:p>
        </w:tc>
        <w:tc>
          <w:tcPr>
            <w:tcW w:w="80" w:type="dxa"/>
            <w:vAlign w:val="bottom"/>
            <w:shd w:val="clear" w:color="auto" w:fill="CFF0FC"/>
          </w:tcPr>
          <w:p>
            <w:pPr>
              <w:spacing w:after="0"/>
              <w:rPr>
                <w:sz w:val="13"/>
                <w:szCs w:val="13"/>
                <w:color w:val="auto"/>
              </w:rPr>
            </w:pPr>
          </w:p>
        </w:tc>
      </w:tr>
      <w:tr>
        <w:trPr>
          <w:trHeight w:val="156"/>
        </w:trPr>
        <w:tc>
          <w:tcPr>
            <w:tcW w:w="3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April 2026 Notes</w:t>
            </w:r>
          </w:p>
        </w:tc>
        <w:tc>
          <w:tcPr>
            <w:tcW w:w="180" w:type="dxa"/>
            <w:vAlign w:val="bottom"/>
          </w:tcPr>
          <w:p>
            <w:pPr>
              <w:spacing w:after="0"/>
              <w:rPr>
                <w:sz w:val="13"/>
                <w:szCs w:val="13"/>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25,000</w:t>
            </w:r>
          </w:p>
        </w:tc>
        <w:tc>
          <w:tcPr>
            <w:tcW w:w="280" w:type="dxa"/>
            <w:vAlign w:val="bottom"/>
          </w:tcPr>
          <w:p>
            <w:pPr>
              <w:spacing w:after="0"/>
              <w:rPr>
                <w:sz w:val="13"/>
                <w:szCs w:val="13"/>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25,000</w:t>
            </w: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(161)</w:t>
            </w:r>
          </w:p>
        </w:tc>
        <w:tc>
          <w:tcPr>
            <w:tcW w:w="24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24,839</w:t>
            </w:r>
          </w:p>
        </w:tc>
      </w:tr>
      <w:tr>
        <w:trPr>
          <w:trHeight w:val="156"/>
        </w:trPr>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December 2026 Notes</w:t>
            </w:r>
          </w:p>
        </w:tc>
        <w:tc>
          <w:tcPr>
            <w:tcW w:w="18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70,000</w:t>
            </w:r>
          </w:p>
        </w:tc>
        <w:tc>
          <w:tcPr>
            <w:tcW w:w="28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70,000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(370)</w:t>
            </w:r>
          </w:p>
        </w:tc>
        <w:tc>
          <w:tcPr>
            <w:tcW w:w="2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69,630</w:t>
            </w:r>
          </w:p>
        </w:tc>
      </w:tr>
      <w:tr>
        <w:trPr>
          <w:trHeight w:val="156"/>
        </w:trPr>
        <w:tc>
          <w:tcPr>
            <w:tcW w:w="3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July 2027 Notes</w:t>
            </w:r>
          </w:p>
        </w:tc>
        <w:tc>
          <w:tcPr>
            <w:tcW w:w="180" w:type="dxa"/>
            <w:vAlign w:val="bottom"/>
          </w:tcPr>
          <w:p>
            <w:pPr>
              <w:spacing w:after="0"/>
              <w:rPr>
                <w:sz w:val="13"/>
                <w:szCs w:val="13"/>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80,500</w:t>
            </w:r>
          </w:p>
        </w:tc>
        <w:tc>
          <w:tcPr>
            <w:tcW w:w="280" w:type="dxa"/>
            <w:vAlign w:val="bottom"/>
          </w:tcPr>
          <w:p>
            <w:pPr>
              <w:spacing w:after="0"/>
              <w:rPr>
                <w:sz w:val="13"/>
                <w:szCs w:val="13"/>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80,500</w:t>
            </w: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(1,384)</w:t>
            </w:r>
          </w:p>
        </w:tc>
        <w:tc>
          <w:tcPr>
            <w:tcW w:w="24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79,116</w:t>
            </w:r>
          </w:p>
        </w:tc>
      </w:tr>
      <w:tr>
        <w:trPr>
          <w:trHeight w:val="156"/>
        </w:trPr>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August 2027 Notes</w:t>
            </w:r>
          </w:p>
        </w:tc>
        <w:tc>
          <w:tcPr>
            <w:tcW w:w="18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20,000</w:t>
            </w:r>
          </w:p>
        </w:tc>
        <w:tc>
          <w:tcPr>
            <w:tcW w:w="28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20,000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(372)</w:t>
            </w:r>
          </w:p>
        </w:tc>
        <w:tc>
          <w:tcPr>
            <w:tcW w:w="24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19,628</w:t>
            </w:r>
          </w:p>
        </w:tc>
      </w:tr>
      <w:tr>
        <w:trPr>
          <w:trHeight w:val="156"/>
        </w:trPr>
        <w:tc>
          <w:tcPr>
            <w:tcW w:w="3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December 2027 Notes</w:t>
            </w:r>
          </w:p>
        </w:tc>
        <w:tc>
          <w:tcPr>
            <w:tcW w:w="180" w:type="dxa"/>
            <w:vAlign w:val="bottom"/>
          </w:tcPr>
          <w:p>
            <w:pPr>
              <w:spacing w:after="0"/>
              <w:rPr>
                <w:sz w:val="13"/>
                <w:szCs w:val="13"/>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51,750</w:t>
            </w:r>
          </w:p>
        </w:tc>
        <w:tc>
          <w:tcPr>
            <w:tcW w:w="280" w:type="dxa"/>
            <w:vAlign w:val="bottom"/>
          </w:tcPr>
          <w:p>
            <w:pPr>
              <w:spacing w:after="0"/>
              <w:rPr>
                <w:sz w:val="13"/>
                <w:szCs w:val="13"/>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51,750</w:t>
            </w: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(1,080)</w:t>
            </w:r>
          </w:p>
        </w:tc>
        <w:tc>
          <w:tcPr>
            <w:tcW w:w="24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50,670</w:t>
            </w:r>
          </w:p>
        </w:tc>
      </w:tr>
      <w:tr>
        <w:trPr>
          <w:trHeight w:val="176"/>
        </w:trPr>
        <w:tc>
          <w:tcPr>
            <w:tcW w:w="300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797,250</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558,250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shd w:val="clear" w:color="auto" w:fill="CFF0FC"/>
          </w:tcPr>
          <w:p>
            <w:pPr>
              <w:jc w:val="right"/>
              <w:ind w:right="280"/>
              <w:spacing w:after="0" w:line="136" w:lineRule="exact"/>
              <w:rPr>
                <w:sz w:val="20"/>
                <w:szCs w:val="20"/>
                <w:color w:val="auto"/>
              </w:rPr>
            </w:pPr>
            <w:r>
              <w:rPr>
                <w:rFonts w:ascii="Times New Roman" w:cs="Times New Roman" w:eastAsia="Times New Roman" w:hAnsi="Times New Roman"/>
                <w:sz w:val="9"/>
                <w:szCs w:val="9"/>
                <w:color w:val="auto"/>
              </w:rPr>
              <w:t>(5,918</w:t>
            </w:r>
            <w:r>
              <w:rPr>
                <w:rFonts w:ascii="Times New Roman" w:cs="Times New Roman" w:eastAsia="Times New Roman" w:hAnsi="Times New Roman"/>
                <w:sz w:val="15"/>
                <w:szCs w:val="15"/>
                <w:color w:val="auto"/>
                <w:vertAlign w:val="subscript"/>
              </w:rPr>
              <w:t>)</w:t>
            </w:r>
          </w:p>
        </w:tc>
        <w:tc>
          <w:tcPr>
            <w:tcW w:w="240" w:type="dxa"/>
            <w:vAlign w:val="bottom"/>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552,332</w:t>
            </w:r>
          </w:p>
        </w:tc>
        <w:tc>
          <w:tcPr>
            <w:tcW w:w="80" w:type="dxa"/>
            <w:vAlign w:val="bottom"/>
            <w:shd w:val="clear" w:color="auto" w:fill="CFF0FC"/>
          </w:tcPr>
          <w:p>
            <w:pPr>
              <w:spacing w:after="0"/>
              <w:rPr>
                <w:sz w:val="15"/>
                <w:szCs w:val="15"/>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For the three months ended March 31, 2025 and 2024, the components of interest expense, amortization of deferred financing costs, unused fees on the Credit Facility (as defined below), and any other costs associated with the Company's borrowings were as follows (dollars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Amortization of</w:t>
            </w:r>
          </w:p>
        </w:tc>
        <w:tc>
          <w:tcPr>
            <w:tcW w:w="100" w:type="dxa"/>
            <w:vAlign w:val="bottom"/>
          </w:tcPr>
          <w:p>
            <w:pPr>
              <w:spacing w:after="0"/>
              <w:rPr>
                <w:sz w:val="12"/>
                <w:szCs w:val="12"/>
                <w:color w:val="auto"/>
              </w:rPr>
            </w:pPr>
          </w:p>
        </w:tc>
        <w:tc>
          <w:tcPr>
            <w:tcW w:w="136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Unused Facility and</w:t>
            </w:r>
          </w:p>
        </w:tc>
        <w:tc>
          <w:tcPr>
            <w:tcW w:w="100" w:type="dxa"/>
            <w:vAlign w:val="bottom"/>
          </w:tcPr>
          <w:p>
            <w:pPr>
              <w:spacing w:after="0"/>
              <w:rPr>
                <w:sz w:val="12"/>
                <w:szCs w:val="12"/>
                <w:color w:val="auto"/>
              </w:rPr>
            </w:pPr>
          </w:p>
        </w:tc>
        <w:tc>
          <w:tcPr>
            <w:tcW w:w="18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Interest and Other Debt</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DFC</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9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Other Fees </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Financing Expenses</w:t>
            </w:r>
          </w:p>
        </w:tc>
        <w:tc>
          <w:tcPr>
            <w:tcW w:w="100" w:type="dxa"/>
            <w:vAlign w:val="bottom"/>
          </w:tcPr>
          <w:p>
            <w:pPr>
              <w:spacing w:after="0"/>
              <w:rPr>
                <w:sz w:val="15"/>
                <w:szCs w:val="15"/>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Cost of Debt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Facility</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4,727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456</w:t>
            </w:r>
          </w:p>
        </w:tc>
        <w:tc>
          <w:tcPr>
            <w:tcW w:w="2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556</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5,739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April 2026 Notes</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570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December 2026 Notes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July 2027 Notes</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1,509</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1,654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August 2027 Notes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385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December 2027 Notes</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1,035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1,136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8,899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832</w:t>
            </w:r>
          </w:p>
        </w:tc>
        <w:tc>
          <w:tcPr>
            <w:tcW w:w="2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556</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10,287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24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Facility</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5,007</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480</w:t>
            </w:r>
          </w:p>
        </w:tc>
        <w:tc>
          <w:tcPr>
            <w:tcW w:w="2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841</w:t>
            </w:r>
          </w:p>
        </w:tc>
        <w:tc>
          <w:tcPr>
            <w:tcW w:w="30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6,328</w:t>
            </w:r>
          </w:p>
        </w:tc>
        <w:tc>
          <w:tcPr>
            <w:tcW w:w="134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10.77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April 2026 Notes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December 2026 Notes</w:t>
            </w:r>
          </w:p>
        </w:tc>
        <w:tc>
          <w:tcPr>
            <w:tcW w:w="4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744</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799</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2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July 2027 Notes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August 2027 Notes</w:t>
            </w: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385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December 2027 Notes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1,035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9,179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840</w:t>
            </w:r>
          </w:p>
        </w:tc>
        <w:tc>
          <w:tcPr>
            <w:tcW w:w="2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841</w:t>
            </w:r>
          </w:p>
        </w:tc>
        <w:tc>
          <w:tcPr>
            <w:tcW w:w="30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10,860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Unused facility and other fees for the three months ended March 31, 2024 include supplemental fees of $0.2 million, which were nonrecurring in nature.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5" w:name="page46"/>
    <w:bookmarkEnd w:id="4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Facility</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On April 20, 2022, the Company entered into an amended and restated credit agreement with KeyBank National Association, acting as administrative agent, CIBC Bank USA and MUFG Union Bank, N.A. as co-documentation agents, the guarantors party thereto and syndication agent and the other lenders party thereto, which initially provided the Company with a $225.0 million commitment, subject to borrowing base requirements (as amended, supplemented or otherwise modified from time to time, the "Credit Facility"). On March 18, 2025, the Company entered into a Sixth Amendment to the Credit Facility, which amendment, among other things, (i) extended the maturity date and revolving period; (ii) permits future financing subsidiaries, and (iii) amended certain other terms of the Credit Facility, including without limitation loan eligibility criteria, the borrowing base calculation, and excess concentration measures.</w:t>
      </w:r>
    </w:p>
    <w:p>
      <w:pPr>
        <w:spacing w:after="0" w:line="17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As of March 31, 2025,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March 18, 2028 and is followed by a one-year amortization period. The stated maturity date under the Credit Facility is March 18, 2029, unless extended.</w:t>
      </w:r>
    </w:p>
    <w:p>
      <w:pPr>
        <w:spacing w:after="0" w:line="16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Borrowings under the Credit Facility bear interest on a per annum rate equal to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spacing w:after="0" w:line="16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For all periods presented, the Company was in compliance with all such covenants.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For the three months ended March 31, 2025, the weighted average outstanding principal balance was $255.2 million and the weighted average effective interest rate was 7.51%. For the three months ended March 31, 2024, the weighted average outstanding principal balance was $234.9 million and the weighted average effective interest rate was 8.55%.</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46" w:name="page47"/>
    <w:bookmarkEnd w:id="4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2026 Notes</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all outstanding and future unsecured unsubordinated indebtedness issued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2026 Notes</w:t>
      </w:r>
    </w:p>
    <w:p>
      <w:pPr>
        <w:spacing w:after="0" w:line="19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December 2026 Notes bear an interest rate of 4.25% per year and are due on December 10, 2026, unless redeemed, purchased or prepaid prior to such date by the Company or its affiliates in accordance with their terms. Interest on the December 2026 Notes will be due semiannually in arrears on June 10 and December 10 of each year.</w:t>
      </w:r>
    </w:p>
    <w:p>
      <w:pPr>
        <w:spacing w:after="0" w:line="16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December 2026 Notes issuance were $1.0 million, and were capitalized and deferred. As of March 31, 2025 and December 31, 2024, unamortized deferred financing costs related to the December 2026 Notes were $0.3 million and $0.4 million,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April 2026 Notes</w:t>
      </w:r>
    </w:p>
    <w:p>
      <w:pPr>
        <w:spacing w:after="0" w:line="190"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4"/>
          <w:szCs w:val="14"/>
          <w:color w:val="auto"/>
        </w:rPr>
        <w:t>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w:t>
      </w:r>
    </w:p>
    <w:p>
      <w:pPr>
        <w:spacing w:after="0" w:line="10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April 2026 Notes issuance were $0.4 million, and were capitalized and deferred. As of March 31, 2025 and December 31, 2024</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unamortized deferred financing costs related to the April 2026 Notes were $0.1 million and $0.2 million, respectively.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7" w:name="page48"/>
    <w:bookmarkEnd w:id="4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July 2027 Notes</w:t>
      </w:r>
    </w:p>
    <w:p>
      <w:pPr>
        <w:spacing w:after="0" w:line="19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6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Company's existing and future unsecured, unsubordinated indebtedness.</w:t>
      </w:r>
    </w:p>
    <w:p>
      <w:pPr>
        <w:spacing w:after="0" w:line="169"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Aggregate costs in connection with the July 2027 Notes issuance, including the underwriter’s discount and commissions, were $2.7 million, and were capitalized and deferred. As of March 31, 2025 and December 31, 2024, unamortized deferred financing costs related to the July 2027 Notes were $1.2 million and $1.4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August 2027 Notes</w:t>
      </w:r>
    </w:p>
    <w:p>
      <w:pPr>
        <w:spacing w:after="0" w:line="19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On August 31, 2022, the Company issued and sold a private debt offering of $20.0 million in aggregate principal amount of 7.00% interest-bearing unsecured Series 2022A Senior Notes due 2027 (the "August 2027 Notes") to an institutional accredited investor (as defined in Regulation D under the Securities Act).</w:t>
      </w:r>
    </w:p>
    <w:p>
      <w:pPr>
        <w:spacing w:after="0" w:line="155"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all outstanding and future unsecured unsubordinated indebtedness issued by the Company.</w:t>
      </w:r>
    </w:p>
    <w:p>
      <w:pPr>
        <w:spacing w:after="0" w:line="167"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August 2027 Notes issuance were $0.7 million, and were capitalized and deferred. As of March 31, 2025 and December 31, 2024, unamortized deferred financing costs related to the August 2027 Notes were $0.3 million and $0.4 million,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2027 Notes</w:t>
      </w:r>
    </w:p>
    <w:p>
      <w:pPr>
        <w:spacing w:after="0" w:line="19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On December 7, 2022, the Company issued and sold $51.75 million in aggregate principal amount of 8.00% interest-bearing unsecured Notes due 2027 (the "December 2027 Notes") under its shelf Registration Statement on Form N -2. The December 2027 Notes were issued pursuant to the Base Indenture and Second Supplemental Indenture, dated December 7, 2022, between the Company and the Trustee, U.S. Bank Trust Company, National Association.</w:t>
      </w:r>
    </w:p>
    <w:p>
      <w:pPr>
        <w:spacing w:after="0" w:line="16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Company's existing and future unsecured, unsubordinated indebtedness.</w:t>
      </w:r>
    </w:p>
    <w:p>
      <w:pPr>
        <w:spacing w:after="0" w:line="169"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Aggregate costs in connection with the December 2027 Notes issuance, including the underwriter's discount and commissions, were $1.9 million, and were capitalized and deferred. As of March 31, 2025 and December 31, 2024, unamortized deferred financing costs related to the December 2027 Notes were $1.0 million and $1.1 million, respectively.</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48" w:name="page49"/>
    <w:bookmarkEnd w:id="4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Commitments, Contingencies, and Off-balance Sheet Arrangements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Company’s contractual obligations as of March 31, 2025 and December 31,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Payments Due by Period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20" w:type="dxa"/>
            <w:vAlign w:val="bottom"/>
          </w:tcPr>
          <w:p>
            <w:pPr>
              <w:spacing w:after="0"/>
              <w:rPr>
                <w:sz w:val="14"/>
                <w:szCs w:val="14"/>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More than 5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(2)</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2027 Notes</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Total Borrowings</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247,250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Incentive Fees</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3,582</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2,381</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10,967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3,582</w:t>
            </w:r>
          </w:p>
        </w:tc>
        <w:tc>
          <w:tcPr>
            <w:tcW w:w="540" w:type="dxa"/>
            <w:vAlign w:val="bottom"/>
            <w:gridSpan w:val="2"/>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252,170</w:t>
            </w:r>
          </w:p>
        </w:tc>
        <w:tc>
          <w:tcPr>
            <w:tcW w:w="100" w:type="dxa"/>
            <w:vAlign w:val="bottom"/>
          </w:tcPr>
          <w:p>
            <w:pPr>
              <w:spacing w:after="0"/>
              <w:rPr>
                <w:sz w:val="13"/>
                <w:szCs w:val="13"/>
                <w:color w:val="auto"/>
              </w:rPr>
            </w:pPr>
          </w:p>
        </w:tc>
        <w:tc>
          <w:tcPr>
            <w:tcW w:w="440" w:type="dxa"/>
            <w:vAlign w:val="bottom"/>
            <w:gridSpan w:val="2"/>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255,381</w:t>
            </w:r>
          </w:p>
        </w:tc>
        <w:tc>
          <w:tcPr>
            <w:tcW w:w="240" w:type="dxa"/>
            <w:vAlign w:val="bottom"/>
          </w:tcPr>
          <w:p>
            <w:pPr>
              <w:spacing w:after="0"/>
              <w:rPr>
                <w:sz w:val="13"/>
                <w:szCs w:val="13"/>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84</w:t>
            </w:r>
          </w:p>
        </w:tc>
        <w:tc>
          <w:tcPr>
            <w:tcW w:w="560" w:type="dxa"/>
            <w:vAlign w:val="bottom"/>
            <w:gridSpan w:val="2"/>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511,217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(2)</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100" w:type="dxa"/>
            <w:vAlign w:val="bottom"/>
          </w:tcPr>
          <w:p>
            <w:pPr>
              <w:spacing w:after="0"/>
              <w:rPr>
                <w:sz w:val="13"/>
                <w:szCs w:val="13"/>
                <w:color w:val="auto"/>
              </w:rPr>
            </w:pPr>
          </w:p>
        </w:tc>
        <w:tc>
          <w:tcPr>
            <w:tcW w:w="4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2026 Notes</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 Notes</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Total Borrowings</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558,250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558,250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Deferred Incentive Fees</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CFF0FC"/>
            </w:tcBorders>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2,584</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563,136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2,562</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568,366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Excludes interest payable on borrowings, accrued expenses, and commitments to extend credit to the Company’s portfolio companies.</w:t>
      </w:r>
    </w:p>
    <w:p>
      <w:pPr>
        <w:ind w:left="3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Amounts represent future principal repayments and not the carrying value of each liability (refer to "Note 7 – Borrowings").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120" w:lineRule="exact"/>
        <w:rPr>
          <w:sz w:val="20"/>
          <w:szCs w:val="20"/>
          <w:color w:val="auto"/>
        </w:rPr>
      </w:pPr>
    </w:p>
    <w:p>
      <w:pPr>
        <w:ind w:right="360"/>
        <w:spacing w:after="0" w:line="241" w:lineRule="auto"/>
        <w:rPr>
          <w:sz w:val="20"/>
          <w:szCs w:val="20"/>
          <w:color w:val="auto"/>
        </w:rPr>
      </w:pPr>
      <w:r>
        <w:rPr>
          <w:rFonts w:ascii="Times New Roman" w:cs="Times New Roman" w:eastAsia="Times New Roman" w:hAnsi="Times New Roman"/>
          <w:sz w:val="16"/>
          <w:szCs w:val="16"/>
          <w:color w:val="auto"/>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9" w:name="page50"/>
    <w:bookmarkEnd w:id="4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2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the Consolidated Statements of Assets and Liabilities.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p>
    <w:p>
      <w:pPr>
        <w:spacing w:after="0" w:line="97"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Company's unfunded commitments to provide debt and equity financing to its portfolio companies and Runway-Cadma I LLC amounted to $162.2 million and $176.7 million as of March 31, 2025 and December 31, 2024, respectively, shown in the table below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348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Bombora, Inc.</w:t>
            </w:r>
          </w:p>
        </w:tc>
        <w:tc>
          <w:tcPr>
            <w:tcW w:w="3480" w:type="dxa"/>
            <w:vAlign w:val="bottom"/>
            <w:gridSpan w:val="2"/>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FF0FC"/>
          </w:tcPr>
          <w:p>
            <w:pPr>
              <w:spacing w:after="0"/>
              <w:rPr>
                <w:sz w:val="13"/>
                <w:szCs w:val="13"/>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CarNow, Inc.</w:t>
            </w:r>
          </w:p>
        </w:tc>
        <w:tc>
          <w:tcPr>
            <w:tcW w:w="348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12,000</w:t>
            </w: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Elevate Services, Inc.</w:t>
            </w:r>
          </w:p>
        </w:tc>
        <w:tc>
          <w:tcPr>
            <w:tcW w:w="3480" w:type="dxa"/>
            <w:vAlign w:val="bottom"/>
            <w:gridSpan w:val="2"/>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14,000</w:t>
            </w: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Interactions Corporation</w:t>
            </w:r>
          </w:p>
        </w:tc>
        <w:tc>
          <w:tcPr>
            <w:tcW w:w="348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10,000</w:t>
            </w:r>
          </w:p>
        </w:tc>
        <w:tc>
          <w:tcPr>
            <w:tcW w:w="18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Linxup, LLC</w:t>
            </w:r>
          </w:p>
        </w:tc>
        <w:tc>
          <w:tcPr>
            <w:tcW w:w="3480" w:type="dxa"/>
            <w:vAlign w:val="bottom"/>
            <w:gridSpan w:val="2"/>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80" w:type="dxa"/>
            <w:vAlign w:val="bottom"/>
            <w:shd w:val="clear" w:color="auto" w:fill="CFF0FC"/>
          </w:tcPr>
          <w:p>
            <w:pPr>
              <w:spacing w:after="0"/>
              <w:rPr>
                <w:sz w:val="13"/>
                <w:szCs w:val="13"/>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Onward Medical, N.V.</w:t>
            </w:r>
          </w:p>
        </w:tc>
        <w:tc>
          <w:tcPr>
            <w:tcW w:w="348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38,982</w:t>
            </w:r>
          </w:p>
        </w:tc>
        <w:tc>
          <w:tcPr>
            <w:tcW w:w="18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38,982</w:t>
            </w: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Route 92 Medical, Inc.</w:t>
            </w:r>
          </w:p>
        </w:tc>
        <w:tc>
          <w:tcPr>
            <w:tcW w:w="3480" w:type="dxa"/>
            <w:vAlign w:val="bottom"/>
            <w:gridSpan w:val="2"/>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20,000</w:t>
            </w: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Runway-Cadma I LLC</w:t>
            </w:r>
          </w:p>
        </w:tc>
        <w:tc>
          <w:tcPr>
            <w:tcW w:w="348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color w:val="auto"/>
                <w:w w:val="99"/>
              </w:rPr>
              <w:t>Joint Venture</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29,400</w:t>
            </w:r>
          </w:p>
        </w:tc>
        <w:tc>
          <w:tcPr>
            <w:tcW w:w="18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29,400</w:t>
            </w: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3480" w:type="dxa"/>
            <w:vAlign w:val="bottom"/>
            <w:gridSpan w:val="2"/>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20,000</w:t>
            </w: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Snap! Mobile, Inc.</w:t>
            </w:r>
          </w:p>
        </w:tc>
        <w:tc>
          <w:tcPr>
            <w:tcW w:w="348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Pr>
          <w:p>
            <w:pPr>
              <w:spacing w:after="0"/>
              <w:rPr>
                <w:sz w:val="13"/>
                <w:szCs w:val="13"/>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Synack, Inc.</w:t>
            </w:r>
          </w:p>
        </w:tc>
        <w:tc>
          <w:tcPr>
            <w:tcW w:w="3480" w:type="dxa"/>
            <w:vAlign w:val="bottom"/>
            <w:gridSpan w:val="2"/>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22,500</w:t>
            </w: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22,500</w:t>
            </w: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Zinnia Corporate Holdings, LLC</w:t>
            </w:r>
          </w:p>
        </w:tc>
        <w:tc>
          <w:tcPr>
            <w:tcW w:w="348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5,333</w:t>
            </w:r>
          </w:p>
        </w:tc>
        <w:tc>
          <w:tcPr>
            <w:tcW w:w="80" w:type="dxa"/>
            <w:vAlign w:val="bottom"/>
          </w:tcPr>
          <w:p>
            <w:pPr>
              <w:spacing w:after="0"/>
              <w:rPr>
                <w:sz w:val="13"/>
                <w:szCs w:val="13"/>
                <w:color w:val="auto"/>
              </w:rPr>
            </w:pPr>
          </w:p>
        </w:tc>
      </w:tr>
      <w:tr>
        <w:trPr>
          <w:trHeight w:val="176"/>
        </w:trPr>
        <w:tc>
          <w:tcPr>
            <w:tcW w:w="37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 unused commitments to extend financing</w:t>
            </w:r>
          </w:p>
        </w:tc>
        <w:tc>
          <w:tcPr>
            <w:tcW w:w="348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162,215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176,715</w:t>
            </w:r>
          </w:p>
        </w:tc>
        <w:tc>
          <w:tcPr>
            <w:tcW w:w="80" w:type="dxa"/>
            <w:vAlign w:val="bottom"/>
            <w:shd w:val="clear" w:color="auto" w:fill="CFF0FC"/>
          </w:tcPr>
          <w:p>
            <w:pPr>
              <w:spacing w:after="0"/>
              <w:rPr>
                <w:sz w:val="15"/>
                <w:szCs w:val="15"/>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3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Net Assets</w:t>
      </w:r>
    </w:p>
    <w:p>
      <w:pPr>
        <w:spacing w:after="0" w:line="190"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for an aggregate purchase price of $25 thousand.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Private Common Stock Offerings</w:t>
      </w:r>
    </w:p>
    <w:p>
      <w:pPr>
        <w:spacing w:after="0" w:line="19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w:t>
      </w:r>
    </w:p>
    <w:p>
      <w:pPr>
        <w:spacing w:after="0" w:line="164"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Beginning October 15, 2019 and ending September 29, 2021, the Company completed multiple closings under its second private offering (the "Second Private Offering") and accepted aggregate capital commitments of $181.7 million. In connection with the Second Private Offering the Company issued 9,617,379 shares of its common stock for a total purchase price of $144.3 million. Concurrent with the IPO, all undrawn commitments under the Second Private Offering were cancelled.</w:t>
      </w:r>
    </w:p>
    <w:p>
      <w:pPr>
        <w:spacing w:after="0" w:line="13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On March 31, 2020 and March 24, 2021, the Company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Initial Public Offering</w:t>
      </w:r>
    </w:p>
    <w:p>
      <w:pPr>
        <w:spacing w:after="0" w:line="19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NASDAQ on October 21, 2021 under the symbol "RWAY".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0" w:name="page51"/>
    <w:bookmarkEnd w:id="5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 Program</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February 24, 2022, the Board of Directors approved a share repurchase program (the "First Repurchase Program") under which the Company was authorized to repurchase up to $25.0 million of its outstanding common stock, at management’s discretion from time to time in open-market transactions and in accordance with all applicable securities laws and regulations. The Company repurchased 871,345 shares in connection with the First Repurchase Program for an aggregate purchase price of $10.8 million. The First Repurchase Program expired on February 24, 2023.</w:t>
      </w:r>
    </w:p>
    <w:p>
      <w:pPr>
        <w:spacing w:after="0" w:line="16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On November 2, 2023, the Board of Directors approved a share repurchase program (the "Second Repurchase Program"), under which the Company was authorized to repurchase up to $ 25.0 million of its outstanding shares of common stock, at management’s discretion from time to time in open-market transactions and in accordance with all applicable securities laws and regulations. The Company repurchased 1,961,938 shares in connection with the Second Repurchase Program for an aggregate purchase price of $23.5 million. The Second Repurchase Program expired on November 2,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July 30, 2024, the Board of Directors approved a share repurchase program (the "Third Repurchase Program") under which the Company may repurchase up to</w:t>
      </w:r>
    </w:p>
    <w:p>
      <w:pPr>
        <w:spacing w:after="0" w:line="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$15.0 million of its outstanding shares of common stock, at management's discretion from time to time in open-market transactions and in accordance with all applicable securities laws and regulations. If not renewed, the Third Repurchase Program will terminate upon the earlier of (i) July 30, 2025 or (ii) the repurchase of $15.0 million of the Company's shares of common stock. From the inception of the Third Repurchase Program through March 31, 2025, the Company repurchased 1,199,867 shares for an aggregate purchase price of $12.5 million.</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1" w:name="page52"/>
    <w:bookmarkEnd w:id="5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 and Dividend Reinvestment Plan</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spacing w:after="0" w:line="9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The Company maintains a dividend reinvestment plan for common stockholders (the "Dividend Reinvestment Plan"). The Dividend Reinvestment Plan is administered by its transfer agent on behalf of the Company's record holders and participating brokerage firms. Brokerage firms and other financial intermediaries may decide not to participate in the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spacing w:after="0" w:line="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For the three months ended March 31, 2025, the Company declared dividends in the amount of $13.4 million, of which $13.2 million was payable in cash, with the remainder to be distributed in the form of shares of common stock to stockholders pursuant to the Dividend Reinvestment Plan. During the three months ended March 31, 2025, the Company did not purchase any shares of common stock in the open market under the Dividend Reinvestment Plan. The dividends declared during the period had a payment date subsequent to March 31, 2025, and are therefore included in "Distributions payable" on the Consolidated Statements of Assets and Liabilities. For the three months ended March 31, 2024, the Company declared and paid dividends in the amount of $19.0 million, of which $18.8 million was distributed in cash, with the remainder distributed in the form of 20,531 shares of common stock to stockholders pursuant to the Dividend Reinvestment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distributions declared and paid since inception through March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0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226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 per Share</w:t>
            </w:r>
          </w:p>
        </w:tc>
        <w:tc>
          <w:tcPr>
            <w:tcW w:w="0" w:type="dxa"/>
            <w:vAlign w:val="bottom"/>
          </w:tcPr>
          <w:p>
            <w:pPr>
              <w:spacing w:after="0"/>
              <w:rPr>
                <w:sz w:val="1"/>
                <w:szCs w:val="1"/>
                <w:color w:val="auto"/>
              </w:rPr>
            </w:pPr>
          </w:p>
        </w:tc>
      </w:tr>
      <w:tr>
        <w:trPr>
          <w:trHeight w:val="168"/>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 2018</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15, 2018</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31,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26, 2018</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15, 2018</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31, 2018</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 2018</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31, 2018</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15, 2018</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22, 2019</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22,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26, 2019</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 2019</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9"/>
              </w:rPr>
              <w:t>May 7,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21, 2019</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 2019</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31,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16, 2019</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0.46</w:t>
            </w:r>
          </w:p>
        </w:tc>
        <w:tc>
          <w:tcPr>
            <w:tcW w:w="0" w:type="dxa"/>
            <w:vAlign w:val="bottom"/>
          </w:tcPr>
          <w:p>
            <w:pPr>
              <w:spacing w:after="0"/>
              <w:rPr>
                <w:sz w:val="1"/>
                <w:szCs w:val="1"/>
                <w:color w:val="auto"/>
              </w:rPr>
            </w:pPr>
          </w:p>
        </w:tc>
      </w:tr>
      <w:tr>
        <w:trPr>
          <w:trHeight w:val="172"/>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July 30, 2019</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August 5, 2019</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August 26, 2019</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16"/>
        </w:trPr>
        <w:tc>
          <w:tcPr>
            <w:tcW w:w="250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September 27, 2019</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September 30,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12, 2019</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0.04</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9, 2019</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9"/>
              </w:rPr>
              <w:t>December 10,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23, 2019</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March 5, 2020</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6, 2020</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20, 2020</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7, 2020</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9"/>
              </w:rPr>
              <w:t>May 8, 2020</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21, 2020</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5, 2020</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6, 2020</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20, 2020</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October 1, 2020</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October 1, 2020</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12, 2020</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0.38</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March 4, 2021</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5, 2021</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19, 2021</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0.37</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29, 2021</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April 30, 2021</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13, 2021</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0.37</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19, 2021</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20, 2021</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12, 2021</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0.34</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28, 2021</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8, 2021</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22, 2021</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24, 2022</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8, 2022</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22, 2022</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0.27</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28, 2022</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10, 2022</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24, 2022</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0.30</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28, 2022</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9, 2022</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23, 2022</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27, 2022</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8, 2022</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22, 2022</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23, 2023</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7,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21, 2023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23,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March 7,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21, 2023</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 2023</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15,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31, 2023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15,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31, 2023</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 2023</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15,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31, 2023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1,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15,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31, 2023</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1, 2023</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November 13,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28, 2023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13,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28, 2023</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1, 2024</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February 12,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28, 2024</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1,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February 12,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28, 2024</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April 30, 2024</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10,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24, 2024</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30,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10,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24, 2024</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30, 2024</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12,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26, 2024</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July 30,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12,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26, 2024</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72"/>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5, 2024</w:t>
            </w:r>
          </w:p>
        </w:tc>
        <w:tc>
          <w:tcPr>
            <w:tcW w:w="2100" w:type="dxa"/>
            <w:vAlign w:val="bottom"/>
            <w:vMerge w:val="restart"/>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vMerge w:val="restart"/>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November 18,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December 2, 2024</w:t>
            </w:r>
          </w:p>
        </w:tc>
        <w:tc>
          <w:tcPr>
            <w:tcW w:w="140" w:type="dxa"/>
            <w:vAlign w:val="bottom"/>
            <w:shd w:val="clear" w:color="auto" w:fill="CFF0FC"/>
          </w:tcPr>
          <w:p>
            <w:pPr>
              <w:spacing w:after="0"/>
              <w:rPr>
                <w:sz w:val="14"/>
                <w:szCs w:val="14"/>
                <w:color w:val="auto"/>
              </w:rPr>
            </w:pPr>
          </w:p>
        </w:tc>
        <w:tc>
          <w:tcPr>
            <w:tcW w:w="13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92"/>
        </w:trPr>
        <w:tc>
          <w:tcPr>
            <w:tcW w:w="2500" w:type="dxa"/>
            <w:vAlign w:val="bottom"/>
            <w:shd w:val="clear" w:color="auto" w:fill="CFF0FC"/>
          </w:tcPr>
          <w:p>
            <w:pPr>
              <w:spacing w:after="0"/>
              <w:rPr>
                <w:sz w:val="8"/>
                <w:szCs w:val="8"/>
                <w:color w:val="auto"/>
              </w:rPr>
            </w:pPr>
          </w:p>
        </w:tc>
        <w:tc>
          <w:tcPr>
            <w:tcW w:w="2100" w:type="dxa"/>
            <w:vAlign w:val="bottom"/>
            <w:vMerge w:val="continue"/>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2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3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20, 2025</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31, 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14, 2025</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20, 2025</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31, 2025</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April 14, 2025</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2" w:name="page53"/>
    <w:bookmarkEnd w:id="5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Income Taxes</w:t>
      </w:r>
    </w:p>
    <w:p>
      <w:pPr>
        <w:spacing w:after="0" w:line="11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United States federal income taxes in the future.</w:t>
      </w:r>
    </w:p>
    <w:p>
      <w:pPr>
        <w:spacing w:after="0" w:line="17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tax cost basis and the estimated aggregate gross unrealized gain (loss) on investments for federal income tax purposes as of and for the period ended March 31, 2025 and the year ended December 31,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FF0FC"/>
            </w:tcBorders>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Tax cost on investments</w:t>
            </w:r>
          </w:p>
        </w:tc>
        <w:tc>
          <w:tcPr>
            <w:tcW w:w="1440" w:type="dxa"/>
            <w:vAlign w:val="bottom"/>
            <w:tcBorders>
              <w:bottom w:val="single" w:sz="8" w:color="auto"/>
            </w:tcBorders>
            <w:shd w:val="clear" w:color="auto" w:fill="CFF0FC"/>
          </w:tcPr>
          <w:p>
            <w:pPr>
              <w:jc w:val="right"/>
              <w:ind w:right="132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9"/>
              </w:rPr>
              <w:t>1,063,097</w:t>
            </w:r>
          </w:p>
        </w:tc>
        <w:tc>
          <w:tcPr>
            <w:tcW w:w="3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1,100,345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Change in unrealized gain on a tax basis</w:t>
            </w:r>
          </w:p>
        </w:tc>
        <w:tc>
          <w:tcPr>
            <w:tcW w:w="1440" w:type="dxa"/>
            <w:vAlign w:val="bottom"/>
          </w:tcPr>
          <w:p>
            <w:pPr>
              <w:jc w:val="right"/>
              <w:ind w:right="132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center"/>
              <w:ind w:left="119"/>
              <w:spacing w:after="0" w:line="133" w:lineRule="exact"/>
              <w:rPr>
                <w:sz w:val="20"/>
                <w:szCs w:val="20"/>
                <w:color w:val="auto"/>
              </w:rPr>
            </w:pPr>
            <w:r>
              <w:rPr>
                <w:rFonts w:ascii="Times New Roman" w:cs="Times New Roman" w:eastAsia="Times New Roman" w:hAnsi="Times New Roman"/>
                <w:sz w:val="13"/>
                <w:szCs w:val="13"/>
                <w:color w:val="auto"/>
              </w:rPr>
              <w:t>18,606</w:t>
            </w:r>
          </w:p>
        </w:tc>
        <w:tc>
          <w:tcPr>
            <w:tcW w:w="320" w:type="dxa"/>
            <w:vAlign w:val="bottom"/>
          </w:tcPr>
          <w:p>
            <w:pPr>
              <w:spacing w:after="0"/>
              <w:rPr>
                <w:sz w:val="11"/>
                <w:szCs w:val="11"/>
                <w:color w:val="auto"/>
              </w:rPr>
            </w:pPr>
          </w:p>
        </w:tc>
        <w:tc>
          <w:tcPr>
            <w:tcW w:w="260" w:type="dxa"/>
            <w:vAlign w:val="bottom"/>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23,787</w:t>
            </w:r>
          </w:p>
        </w:tc>
      </w:tr>
      <w:tr>
        <w:trPr>
          <w:trHeight w:val="156"/>
        </w:trPr>
        <w:tc>
          <w:tcPr>
            <w:tcW w:w="20" w:type="dxa"/>
            <w:vAlign w:val="bottom"/>
          </w:tcPr>
          <w:p>
            <w:pPr>
              <w:spacing w:after="0"/>
              <w:rPr>
                <w:sz w:val="13"/>
                <w:szCs w:val="13"/>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Change in unrealized loss on a tax basis</w:t>
            </w:r>
          </w:p>
        </w:tc>
        <w:tc>
          <w:tcPr>
            <w:tcW w:w="14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w w:val="98"/>
              </w:rPr>
              <w:t>(77,469)</w:t>
            </w:r>
          </w:p>
        </w:tc>
        <w:tc>
          <w:tcPr>
            <w:tcW w:w="26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(47,292)</w:t>
            </w:r>
          </w:p>
        </w:tc>
      </w:tr>
      <w:tr>
        <w:trPr>
          <w:trHeight w:val="156"/>
        </w:trPr>
        <w:tc>
          <w:tcPr>
            <w:tcW w:w="62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Net unrealized gain (loss) on a tax basis</w:t>
            </w:r>
          </w:p>
        </w:tc>
        <w:tc>
          <w:tcPr>
            <w:tcW w:w="1440" w:type="dxa"/>
            <w:vAlign w:val="bottom"/>
          </w:tcPr>
          <w:p>
            <w:pPr>
              <w:jc w:val="right"/>
              <w:ind w:right="132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9"/>
                <w:szCs w:val="9"/>
                <w:color w:val="auto"/>
              </w:rPr>
              <w:t>(58,863</w:t>
            </w:r>
            <w:r>
              <w:rPr>
                <w:rFonts w:ascii="Times New Roman" w:cs="Times New Roman" w:eastAsia="Times New Roman" w:hAnsi="Times New Roman"/>
                <w:sz w:val="15"/>
                <w:szCs w:val="15"/>
                <w:color w:val="auto"/>
                <w:vertAlign w:val="subscript"/>
              </w:rPr>
              <w:t>)</w:t>
            </w:r>
          </w:p>
        </w:tc>
        <w:tc>
          <w:tcPr>
            <w:tcW w:w="260" w:type="dxa"/>
            <w:vAlign w:val="bottom"/>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(23,505</w:t>
            </w:r>
            <w:r>
              <w:rPr>
                <w:rFonts w:ascii="Times New Roman" w:cs="Times New Roman" w:eastAsia="Times New Roman" w:hAnsi="Times New Roman"/>
                <w:sz w:val="15"/>
                <w:szCs w:val="15"/>
                <w:color w:val="auto"/>
                <w:vertAlign w:val="subscript"/>
              </w:rPr>
              <w:t>)</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 xml:space="preserve">The Company accounts for income taxes in conformity with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ASC 740 provides guidelines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 -likely-than-not"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"Tax expense" on the Consolidated Statements of Operations. There were no material uncertain income tax positions at March 31, 2025 or December 31, 2024. Although the Company files federal and state tax returns, the Company's major tax jurisdiction is federal. The previous three tax year-ends and the interim tax period since then remain subject to examination by the Internal Revenue Service.</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on which the Company paid no U.S. federal income tax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7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3" w:name="page54"/>
    <w:bookmarkEnd w:id="5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Segment Reporting</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operates through a single operating and reporting segment with an investment objective to generate returns to stockholders primarily through current income on loans, and secondarily through capital gains on warrants and other equity positions. The Company's Chief Executive Officer is the Company’s Chief Operating Decision Maker ("CODM"). While the Company lends to and separately evaluates the performance of each of its portfolio companies across various industries, including technology, healthcare, business services, financial services, select consumer services and products, the CODM evaluates and monitors performance of the Company's business on an aggregated basis. Further, each investment is evaluated and managed using similar processes and shared operational support functions, such as deal origination, underwriting, monitoring, and compliance, in addition to administrative functions, such as human resources, legal, finance and information technology.</w:t>
      </w:r>
    </w:p>
    <w:p>
      <w:pPr>
        <w:spacing w:after="0" w:line="13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CODM uses the Company's "Net investment income" and "Net increase (decrease) in net assets resulting from operations" as reported in the Consolidated Statements of Operations to assess the Company’s performance and when allocating resources. "Net investment income" is comprised of consolidated total investment income (segment revenues) and consolidated total operating expenses (significant segment expenses), which are considered the key segment measures of profit or loss reviewed by the CODM. The information and operating expense categories included in the Company’s Consolidated Statements of Operations are fully reflective of the significant expense categories and amounts that are regularly provided to the CODM. All applicable segment disclosures are included in or can be derived from the Company’s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Financial Highlights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financial highlights for the three months ended March 31, 2025 and 2024 (in thousands, except for per share data and 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5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 value at beginning of period</w:t>
            </w:r>
          </w:p>
        </w:tc>
        <w:tc>
          <w:tcPr>
            <w:tcW w:w="50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Pr>
          <w:p>
            <w:pPr>
              <w:spacing w:after="0"/>
              <w:rPr>
                <w:sz w:val="13"/>
                <w:szCs w:val="13"/>
                <w:color w:val="auto"/>
              </w:rPr>
            </w:pP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investment income</w:t>
            </w:r>
          </w:p>
        </w:tc>
        <w:tc>
          <w:tcPr>
            <w:tcW w:w="5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0.42</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realized gain (loss)</w:t>
            </w:r>
          </w:p>
        </w:tc>
        <w:tc>
          <w:tcPr>
            <w:tcW w:w="50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0.16</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5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(0.53)</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(0.16)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from investment operations</w:t>
            </w:r>
          </w:p>
        </w:tc>
        <w:tc>
          <w:tcPr>
            <w:tcW w:w="50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Distributions</w:t>
            </w:r>
          </w:p>
        </w:tc>
        <w:tc>
          <w:tcPr>
            <w:tcW w:w="500" w:type="dxa"/>
            <w:vAlign w:val="bottom"/>
          </w:tcPr>
          <w:p>
            <w:pPr>
              <w:spacing w:after="0"/>
              <w:rPr>
                <w:sz w:val="13"/>
                <w:szCs w:val="13"/>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(0.36)</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(0.47)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 xml:space="preserve">Accretion (dilution), net </w:t>
            </w:r>
            <w:r>
              <w:rPr>
                <w:rFonts w:ascii="Times New Roman" w:cs="Times New Roman" w:eastAsia="Times New Roman" w:hAnsi="Times New Roman"/>
                <w:sz w:val="16"/>
                <w:szCs w:val="16"/>
                <w:color w:val="auto"/>
                <w:vertAlign w:val="superscript"/>
              </w:rPr>
              <w:t>(2)</w:t>
            </w:r>
          </w:p>
        </w:tc>
        <w:tc>
          <w:tcPr>
            <w:tcW w:w="5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0.03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asset value at end of period</w:t>
            </w:r>
          </w:p>
        </w:tc>
        <w:tc>
          <w:tcPr>
            <w:tcW w:w="500" w:type="dxa"/>
            <w:vAlign w:val="bottom"/>
          </w:tcPr>
          <w:p>
            <w:pPr>
              <w:jc w:val="right"/>
              <w:ind w:right="3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13.48</w:t>
            </w:r>
          </w:p>
        </w:tc>
        <w:tc>
          <w:tcPr>
            <w:tcW w:w="80" w:type="dxa"/>
            <w:vAlign w:val="bottom"/>
          </w:tcPr>
          <w:p>
            <w:pPr>
              <w:spacing w:after="0"/>
              <w:rPr>
                <w:sz w:val="13"/>
                <w:szCs w:val="13"/>
                <w:color w:val="auto"/>
              </w:rPr>
            </w:pPr>
          </w:p>
        </w:tc>
        <w:tc>
          <w:tcPr>
            <w:tcW w:w="980" w:type="dxa"/>
            <w:vAlign w:val="bottom"/>
            <w:gridSpan w:val="2"/>
          </w:tcPr>
          <w:p>
            <w:pPr>
              <w:jc w:val="right"/>
              <w:ind w:right="6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6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Ratio/Supplemental Data:</w:t>
            </w: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Total return based on net asset value</w:t>
            </w:r>
            <w:r>
              <w:rPr>
                <w:rFonts w:ascii="Times New Roman" w:cs="Times New Roman" w:eastAsia="Times New Roman" w:hAnsi="Times New Roman"/>
                <w:sz w:val="16"/>
                <w:szCs w:val="16"/>
                <w:color w:val="auto"/>
                <w:vertAlign w:val="superscript"/>
              </w:rPr>
              <w:t>(3)</w:t>
            </w:r>
          </w:p>
        </w:tc>
        <w:tc>
          <w:tcPr>
            <w:tcW w:w="5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0.36</w:t>
            </w: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line="156" w:lineRule="exact"/>
              <w:rPr>
                <w:sz w:val="20"/>
                <w:szCs w:val="20"/>
                <w:color w:val="auto"/>
              </w:rPr>
            </w:pPr>
            <w:r>
              <w:rPr>
                <w:rFonts w:ascii="Times New Roman" w:cs="Times New Roman" w:eastAsia="Times New Roman" w:hAnsi="Times New Roman"/>
                <w:sz w:val="13"/>
                <w:szCs w:val="13"/>
                <w:color w:val="auto"/>
              </w:rPr>
              <w:t>Total return based on market value</w:t>
            </w:r>
            <w:r>
              <w:rPr>
                <w:rFonts w:ascii="Times New Roman" w:cs="Times New Roman" w:eastAsia="Times New Roman" w:hAnsi="Times New Roman"/>
                <w:sz w:val="16"/>
                <w:szCs w:val="16"/>
                <w:color w:val="auto"/>
                <w:vertAlign w:val="superscript"/>
              </w:rPr>
              <w:t>(4)</w:t>
            </w:r>
          </w:p>
        </w:tc>
        <w:tc>
          <w:tcPr>
            <w:tcW w:w="500" w:type="dxa"/>
            <w:vAlign w:val="bottom"/>
          </w:tcPr>
          <w:p>
            <w:pPr>
              <w:spacing w:after="0"/>
              <w:rPr>
                <w:sz w:val="13"/>
                <w:szCs w:val="13"/>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(2.28)</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(0.24)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Ratio of net investment income to average net assets</w:t>
            </w:r>
            <w:r>
              <w:rPr>
                <w:rFonts w:ascii="Times New Roman" w:cs="Times New Roman" w:eastAsia="Times New Roman" w:hAnsi="Times New Roman"/>
                <w:sz w:val="16"/>
                <w:szCs w:val="16"/>
                <w:color w:val="auto"/>
                <w:vertAlign w:val="superscript"/>
              </w:rPr>
              <w:t>(5)(6)</w:t>
            </w:r>
          </w:p>
        </w:tc>
        <w:tc>
          <w:tcPr>
            <w:tcW w:w="5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line="156" w:lineRule="exact"/>
              <w:rPr>
                <w:sz w:val="20"/>
                <w:szCs w:val="20"/>
                <w:color w:val="auto"/>
              </w:rPr>
            </w:pPr>
            <w:r>
              <w:rPr>
                <w:rFonts w:ascii="Times New Roman" w:cs="Times New Roman" w:eastAsia="Times New Roman" w:hAnsi="Times New Roman"/>
                <w:sz w:val="13"/>
                <w:szCs w:val="13"/>
                <w:color w:val="auto"/>
              </w:rPr>
              <w:t>Ratio of total operating expenses to average net assets</w:t>
            </w:r>
            <w:r>
              <w:rPr>
                <w:rFonts w:ascii="Times New Roman" w:cs="Times New Roman" w:eastAsia="Times New Roman" w:hAnsi="Times New Roman"/>
                <w:sz w:val="16"/>
                <w:szCs w:val="16"/>
                <w:color w:val="auto"/>
                <w:vertAlign w:val="superscript"/>
              </w:rPr>
              <w:t>(5)(6)</w:t>
            </w:r>
          </w:p>
        </w:tc>
        <w:tc>
          <w:tcPr>
            <w:tcW w:w="5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80" w:type="dxa"/>
            <w:vAlign w:val="bottom"/>
          </w:tcPr>
          <w:p>
            <w:pPr>
              <w:spacing w:after="0"/>
              <w:rPr>
                <w:sz w:val="13"/>
                <w:szCs w:val="13"/>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Ratio of total operating expenses, excluding incentive fees, to average net assets</w:t>
            </w:r>
            <w:r>
              <w:rPr>
                <w:rFonts w:ascii="Times New Roman" w:cs="Times New Roman" w:eastAsia="Times New Roman" w:hAnsi="Times New Roman"/>
                <w:sz w:val="16"/>
                <w:szCs w:val="16"/>
                <w:color w:val="auto"/>
                <w:vertAlign w:val="superscript"/>
              </w:rPr>
              <w:t>(5)</w:t>
            </w:r>
          </w:p>
        </w:tc>
        <w:tc>
          <w:tcPr>
            <w:tcW w:w="50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line="156" w:lineRule="exact"/>
              <w:rPr>
                <w:sz w:val="20"/>
                <w:szCs w:val="20"/>
                <w:color w:val="auto"/>
              </w:rPr>
            </w:pPr>
            <w:r>
              <w:rPr>
                <w:rFonts w:ascii="Times New Roman" w:cs="Times New Roman" w:eastAsia="Times New Roman" w:hAnsi="Times New Roman"/>
                <w:sz w:val="13"/>
                <w:szCs w:val="13"/>
                <w:color w:val="auto"/>
              </w:rPr>
              <w:t>Ratio of net increase (decrease) in net assets resulting from operations to average net assets</w:t>
            </w:r>
            <w:r>
              <w:rPr>
                <w:rFonts w:ascii="Times New Roman" w:cs="Times New Roman" w:eastAsia="Times New Roman" w:hAnsi="Times New Roman"/>
                <w:sz w:val="16"/>
                <w:szCs w:val="16"/>
                <w:color w:val="auto"/>
                <w:vertAlign w:val="superscript"/>
              </w:rPr>
              <w:t>(5)(6)</w:t>
            </w:r>
          </w:p>
        </w:tc>
        <w:tc>
          <w:tcPr>
            <w:tcW w:w="50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8.93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(7)</w:t>
            </w:r>
          </w:p>
        </w:tc>
        <w:tc>
          <w:tcPr>
            <w:tcW w:w="5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1.48</w:t>
            </w: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assets at beginning of period</w:t>
            </w:r>
          </w:p>
        </w:tc>
        <w:tc>
          <w:tcPr>
            <w:tcW w:w="50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514,869</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547,071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50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503,290</w:t>
            </w:r>
          </w:p>
        </w:tc>
        <w:tc>
          <w:tcPr>
            <w:tcW w:w="80" w:type="dxa"/>
            <w:vAlign w:val="bottom"/>
          </w:tcPr>
          <w:p>
            <w:pPr>
              <w:spacing w:after="0"/>
              <w:rPr>
                <w:sz w:val="13"/>
                <w:szCs w:val="13"/>
                <w:color w:val="auto"/>
              </w:rPr>
            </w:pP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529,469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Weighted average net assets</w:t>
            </w:r>
          </w:p>
        </w:tc>
        <w:tc>
          <w:tcPr>
            <w:tcW w:w="50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523,497</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542,836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Weighted average shares outstanding for the period, basic</w:t>
            </w:r>
          </w:p>
        </w:tc>
        <w:tc>
          <w:tcPr>
            <w:tcW w:w="5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40,392,255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All per share activity, excluding dividends, is calculated based on the weighted-average shares outstanding for the relevant period.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Net accretion (dilution) represents the effect of issuance and repurchase of common stock.</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Total return based on net asset value is calculated as the change in net asset value per share during the period, plus dividends per share, divided by the beginning net asset value per share.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total returns are not annualized.</w:t>
      </w:r>
    </w:p>
    <w:p>
      <w:pPr>
        <w:spacing w:after="0" w:line="89" w:lineRule="exact"/>
        <w:rPr>
          <w:sz w:val="20"/>
          <w:szCs w:val="20"/>
          <w:color w:val="auto"/>
        </w:rPr>
      </w:pPr>
    </w:p>
    <w:p>
      <w:pPr>
        <w:ind w:left="360" w:right="260"/>
        <w:spacing w:after="0" w:line="207"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3"/>
          <w:szCs w:val="13"/>
          <w:color w:val="auto"/>
        </w:rPr>
        <w:t>Total return based on market value is calculated as the change in market value per share during the period, plus dividends per share, divided by the beginning market value per share. The total returns are not annualized.</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3"/>
          <w:szCs w:val="13"/>
          <w:color w:val="auto"/>
        </w:rPr>
        <w:t>The ratios are calculated based on weighted average net assets for the relevant period and are annualized.</w:t>
      </w:r>
    </w:p>
    <w:p>
      <w:pPr>
        <w:spacing w:after="0" w:line="27" w:lineRule="exact"/>
        <w:rPr>
          <w:sz w:val="20"/>
          <w:szCs w:val="20"/>
          <w:color w:val="auto"/>
        </w:rPr>
      </w:pPr>
    </w:p>
    <w:p>
      <w:pPr>
        <w:ind w:left="360" w:right="580"/>
        <w:spacing w:after="0" w:line="199" w:lineRule="auto"/>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3"/>
          <w:szCs w:val="13"/>
          <w:color w:val="auto"/>
        </w:rPr>
        <w:t>The ratio includes annualized incentive fees and as incentive fees are performance driven, the amount expensed in future periods may vary significantly and is dependent on overall investment performance, early terminations, scheduled prepayments and other liquidity events.</w:t>
      </w:r>
    </w:p>
    <w:p>
      <w:pPr>
        <w:spacing w:after="0" w:line="82" w:lineRule="exact"/>
        <w:rPr>
          <w:sz w:val="20"/>
          <w:szCs w:val="20"/>
          <w:color w:val="auto"/>
        </w:rPr>
      </w:pPr>
    </w:p>
    <w:p>
      <w:pPr>
        <w:ind w:left="360" w:right="300"/>
        <w:spacing w:after="0" w:line="207" w:lineRule="auto"/>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3"/>
          <w:szCs w:val="13"/>
          <w:color w:val="auto"/>
        </w:rPr>
        <w:t>The portfolio turnover rate for the period is calculated by taking the lesser of investment portfolio purchases or sales during the period, divided by the average investment portfolio value during the period. As such, portfolio turnover is not annualized.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4" w:name="page55"/>
    <w:bookmarkEnd w:id="5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Subsequent Events</w:t>
      </w:r>
    </w:p>
    <w:p>
      <w:pPr>
        <w:spacing w:after="0" w:line="190"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Company evaluated events subsequent to March 31, 2025 through May 12, 2025. There have been no subsequent events that occurred during such period that would require recognition or disclosure, except as disclosed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Borrowings</w:t>
      </w:r>
    </w:p>
    <w:p>
      <w:pPr>
        <w:spacing w:after="0" w:line="19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On April 7, 2025, the Company entered into the Master Note Purchase Agreement, dated April 7, 2025 (the “Note Purchase Agreement”), governing the issuance of 7.51% Series 2025A Senior Notes due April 7, 2028 (the “Series 2025A Notes”), in aggregate principal amount of $107.0 million, to institutional investors in a private placement.</w:t>
      </w:r>
    </w:p>
    <w:p>
      <w:pPr>
        <w:spacing w:after="0" w:line="16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The Series 2025A Notes have a fixed interest rate of 7.51% per year. The Company used the net proceeds from the offering of the Series 2025A Notes to repay outstanding indebtedness, make investments in accordance with the Company’s investment objective and investment strategy, and for other general corporate purposes of the Company.</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Series 2025A Notes will mature on April 7, 2028 unless redeemed, purchased or prepaid prior to such date by the Company in accordance with the terms of the Note Purchase Agreement. Interest on the Series 2025A Notes will be due semiannually on April 7 and October 7 of each year, beginning on October 7, 2025. In addition, the Company is obligated to offer to repay the Series 2025A Notes at par (plus accrued and unpaid interest to, but not including, the date of prepayment) if certain change in control events occur. Subject to the terms of the Note Purchase Agreement, so long as no Default or Event of Default (each as defined in the Note Purchase Agreement) shall then exist, at any time on or after October 7, 2027, the Company may, at its option, prepay all or any part of the 2025A Notes at 100% of the principal amount so prepaid, together with, in each case, accrued interest to the prepayment date.</w:t>
      </w:r>
    </w:p>
    <w:p>
      <w:pPr>
        <w:spacing w:after="0" w:line="17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Note Purchase Agreement contains customary terms and conditions for senior notes issued in a private placement, including, without limitation, affirmative and negative covenants related to information reporting, maintenance of the Company’s status as a business development company within the meaning of the Investment Company Act of 1940, as amended, and a regulated investment company under the Internal Revenue Code of 1986, as amended, minimum shareholders’ equity, minimum asset coverage ratio and maximum secured debt ratio. The Note Purchase Agreement also contains customary events of default with customary cure and notice periods.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9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On May 7, 2025, the Board of Directors declared a regular distribution of $0.33 per share and a supplemental distribution of $0.02 per share for stockholders of record as of May 19, 2025, each payable on or before June 3,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Portfolio Activity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April 1, 2025 through May 12, 2025, the Company completed $40 million of additional debt commitments, of which $27 million was funded upon closing.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9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On May 7, 2025, the Board of Directors approved a repurchase program (the “New Repurchase Program”) under which the Company may repurchase up to $25.0 million of its outstanding common stock. Under the New Repurchase Program, purchases may be made at management’s discretion from time to time in open -market transactions, in accordance with all applicable securities laws and regulations. If not renewed, the New Repurchase Program will terminate upon the earlier of (i) May 7, 2026 or (ii) the repurchase of $25.0 million of the Company's outstanding shares of common stock.</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55" w:name="page56"/>
    <w:bookmarkEnd w:id="5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76" w:lineRule="exact"/>
        <w:rPr>
          <w:sz w:val="20"/>
          <w:szCs w:val="20"/>
          <w:color w:val="auto"/>
        </w:rPr>
      </w:pPr>
    </w:p>
    <w:p>
      <w:pPr>
        <w:ind w:left="20" w:right="80"/>
        <w:spacing w:after="0" w:line="186" w:lineRule="exact"/>
        <w:rPr>
          <w:sz w:val="20"/>
          <w:szCs w:val="20"/>
          <w:color w:val="auto"/>
        </w:rPr>
      </w:pPr>
      <w:r>
        <w:rPr>
          <w:rFonts w:ascii="Times New Roman" w:cs="Times New Roman" w:eastAsia="Times New Roman" w:hAnsi="Times New Roman"/>
          <w:sz w:val="14"/>
          <w:szCs w:val="14"/>
          <w:color w:val="auto"/>
        </w:rPr>
        <w:t>This quarterly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 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6" w:lineRule="exact"/>
        <w:rPr>
          <w:sz w:val="20"/>
          <w:szCs w:val="20"/>
          <w:color w:val="auto"/>
        </w:rPr>
      </w:pPr>
    </w:p>
    <w:p>
      <w:pPr>
        <w:ind w:left="360" w:right="80"/>
        <w:spacing w:after="0" w:line="259" w:lineRule="auto"/>
        <w:rPr>
          <w:sz w:val="20"/>
          <w:szCs w:val="20"/>
          <w:color w:val="auto"/>
        </w:rPr>
      </w:pPr>
      <w:r>
        <w:rPr>
          <w:rFonts w:ascii="Times New Roman" w:cs="Times New Roman" w:eastAsia="Times New Roman" w:hAnsi="Times New Roman"/>
          <w:sz w:val="16"/>
          <w:szCs w:val="16"/>
          <w:color w:val="auto"/>
        </w:rPr>
        <w:t>•changes in political, economic or industry conditions, trade policies, restrictions and tariffs, the interest rate environment or conditions affecting the financial and capital markets;</w:t>
      </w:r>
    </w:p>
    <w:p>
      <w:pPr>
        <w:spacing w:after="0" w:line="59" w:lineRule="exact"/>
        <w:rPr>
          <w:sz w:val="20"/>
          <w:szCs w:val="20"/>
          <w:color w:val="auto"/>
        </w:rPr>
      </w:pPr>
    </w:p>
    <w:p>
      <w:pPr>
        <w:ind w:left="360" w:right="180"/>
        <w:spacing w:after="0" w:line="259" w:lineRule="auto"/>
        <w:rPr>
          <w:sz w:val="20"/>
          <w:szCs w:val="20"/>
          <w:color w:val="auto"/>
        </w:rPr>
      </w:pPr>
      <w:r>
        <w:rPr>
          <w:rFonts w:ascii="Times New Roman" w:cs="Times New Roman" w:eastAsia="Times New Roman" w:hAnsi="Times New Roman"/>
          <w:sz w:val="16"/>
          <w:szCs w:val="16"/>
          <w:color w:val="auto"/>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spacing w:after="0" w:line="59" w:lineRule="exact"/>
        <w:rPr>
          <w:sz w:val="20"/>
          <w:szCs w:val="20"/>
          <w:color w:val="auto"/>
        </w:rPr>
      </w:pPr>
    </w:p>
    <w:p>
      <w:pPr>
        <w:ind w:left="360" w:right="58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360" w:right="1340"/>
        <w:spacing w:after="0" w:line="360" w:lineRule="auto"/>
        <w:rPr>
          <w:sz w:val="20"/>
          <w:szCs w:val="20"/>
          <w:color w:val="auto"/>
        </w:rPr>
      </w:pPr>
      <w:r>
        <w:rPr>
          <w:rFonts w:ascii="Times New Roman" w:cs="Times New Roman" w:eastAsia="Times New Roman" w:hAnsi="Times New Roman"/>
          <w:sz w:val="16"/>
          <w:szCs w:val="16"/>
          <w:color w:val="auto"/>
        </w:rPr>
        <w:t>•a contraction of available credit and/or an inability to access the equity markets that could impair our lending and investment activities; •interest rate volatility that could adversely affect our results, particularly to the extent that we use leverage as part of our investment strategy; •the impact of interest and inflation rates on our business prospects and the prospects of our portfolio companies; •our business prospects and the prospects of our portfolio companies;</w:t>
      </w:r>
    </w:p>
    <w:p>
      <w:pPr>
        <w:ind w:left="360"/>
        <w:spacing w:after="0"/>
        <w:rPr>
          <w:sz w:val="20"/>
          <w:szCs w:val="20"/>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•competition with other entities and our affiliates for investment opportunities;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speculative and illiquid nature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use of borrowed money to finance a portion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adequacy of our financing sources and working capital;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loss of key personnel and members of our management team;</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timing of cash flows, if any, from the operations of our portfolio companies;</w:t>
      </w:r>
    </w:p>
    <w:p>
      <w:pPr>
        <w:spacing w:after="0" w:line="92" w:lineRule="exact"/>
        <w:rPr>
          <w:sz w:val="20"/>
          <w:szCs w:val="20"/>
          <w:color w:val="auto"/>
        </w:rPr>
      </w:pPr>
    </w:p>
    <w:p>
      <w:pPr>
        <w:ind w:left="360" w:right="100"/>
        <w:spacing w:after="0" w:line="360" w:lineRule="auto"/>
        <w:rPr>
          <w:sz w:val="20"/>
          <w:szCs w:val="20"/>
          <w:color w:val="auto"/>
        </w:rPr>
      </w:pPr>
      <w:r>
        <w:rPr>
          <w:rFonts w:ascii="Times New Roman" w:cs="Times New Roman" w:eastAsia="Times New Roman" w:hAnsi="Times New Roman"/>
          <w:sz w:val="16"/>
          <w:szCs w:val="16"/>
          <w:color w:val="auto"/>
        </w:rPr>
        <w:t>•the ability of our external investment adviser, Runway Growth Capital LLC, to locate suitable investments for us and to monitor and administer our investments; •the ability of Runway Growth Capital LLC to attract and retain highly talented professionals;</w:t>
      </w:r>
    </w:p>
    <w:p>
      <w:pPr>
        <w:ind w:left="360"/>
        <w:spacing w:after="0"/>
        <w:rPr>
          <w:sz w:val="20"/>
          <w:szCs w:val="20"/>
          <w:color w:val="auto"/>
        </w:rPr>
      </w:pPr>
      <w:r>
        <w:rPr>
          <w:rFonts w:ascii="Times New Roman" w:cs="Times New Roman" w:eastAsia="Times New Roman" w:hAnsi="Times New Roman"/>
          <w:sz w:val="16"/>
          <w:szCs w:val="16"/>
          <w:color w:val="auto"/>
        </w:rPr>
        <w:t>•our ability to qualify and maintain our qualification as a RIC under Subchapter M of the Code, and as a BDC;</w:t>
      </w:r>
    </w:p>
    <w:p>
      <w:pPr>
        <w:spacing w:after="0" w:line="92"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•the occurrence of a disaster, such as a cyber-attack against us or against a third-party that has access to our data or networks, a natural catastrophe, an industrial accident, failure of our disaster-recovery systems, or consequential employee error;</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effect of legal, tax, and regulatory changes; and</w:t>
      </w:r>
    </w:p>
    <w:p>
      <w:pPr>
        <w:spacing w:after="0" w:line="92"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•the other risks, uncertainties and other factors we identify under "Risk Factors" in Part I, Item 1A of our annual report on Form 10- K, as modified by the annual report on Form 10- K/A, for the year ended December 31, 2024, filed with the Securities and Exchange Commission (the "SEC") on March 20, 2025 and March 27, 2025, respectively, and in this quarterly report on Form 10-Q.</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6" w:name="page57"/>
    <w:bookmarkEnd w:id="5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10 -Q should not be regarded as a representation by us that our plans and objectives will be achieved. These risks and uncertainties include those described or identified in "Risk Factors" in Part I, Item 1A of our annual report on Form 10-K, as modified by the annual report on Form 10-K/A, for the year ended December 31, 2024, filed with the SEC on March 20, 2025 and March 27, 2025, respectively.</w:t>
      </w:r>
    </w:p>
    <w:p>
      <w:pPr>
        <w:spacing w:after="0" w:line="153" w:lineRule="exact"/>
        <w:rPr>
          <w:sz w:val="20"/>
          <w:szCs w:val="20"/>
          <w:color w:val="auto"/>
        </w:rPr>
      </w:pPr>
    </w:p>
    <w:p>
      <w:pPr>
        <w:ind w:right="20"/>
        <w:spacing w:after="0" w:line="189" w:lineRule="exact"/>
        <w:rPr>
          <w:sz w:val="20"/>
          <w:szCs w:val="20"/>
          <w:color w:val="auto"/>
        </w:rPr>
      </w:pPr>
      <w:r>
        <w:rPr>
          <w:rFonts w:ascii="Times New Roman" w:cs="Times New Roman" w:eastAsia="Times New Roman" w:hAnsi="Times New Roman"/>
          <w:sz w:val="16"/>
          <w:szCs w:val="16"/>
          <w:color w:val="auto"/>
        </w:rPr>
        <w:t>We have based the forward-looking statements included in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on information available to us on the date of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quarterly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29" w:lineRule="exact"/>
        <w:rPr>
          <w:sz w:val="20"/>
          <w:szCs w:val="20"/>
          <w:color w:val="auto"/>
        </w:rPr>
      </w:pPr>
    </w:p>
    <w:p>
      <w:pPr>
        <w:ind w:right="40"/>
        <w:spacing w:after="0" w:line="194" w:lineRule="exact"/>
        <w:rPr>
          <w:sz w:val="20"/>
          <w:szCs w:val="20"/>
          <w:color w:val="auto"/>
        </w:rPr>
      </w:pPr>
      <w:r>
        <w:rPr>
          <w:rFonts w:ascii="Times New Roman" w:cs="Times New Roman" w:eastAsia="Times New Roman" w:hAnsi="Times New Roman"/>
          <w:sz w:val="16"/>
          <w:szCs w:val="16"/>
          <w:color w:val="auto"/>
        </w:rPr>
        <w:t>The following analysis of our financial condition and results of operations should be read in conjunction with our consolidated financial statements and the related notes thereto contained elsewhere in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Runway Growth Finance Corp. ("we," "us," "our," or the "Company"), a Maryland corporation formed on August 31, 2015, is structured as an externally managed, non-diversified closed- 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spacing w:after="0" w:line="11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have elected to be regulated as a business development company ("BDC") under the Investment Company Act of 1940, as amended (together with the rules and regulations promulgated thereunder,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3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(the "JOBS Act"). We will remain an emerging growth company until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12b- 2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3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We are externally managed by Runway Growth Capital LLC ("RGC"), an investment adviser that has registered with the SEC under the Investment Advisers Act of 1940, as amended. Runway Administrator Services LLC (the "Administrator"), a wholly-owned subsidiary of RGC, provides all the administrative services necessary for us to operate.</w:t>
      </w:r>
    </w:p>
    <w:p>
      <w:pPr>
        <w:spacing w:after="0" w:line="12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RGC, and certain other funds and accounts sponsored or managed by RGC and/or its affiliates, including BC Partners Advisors L.P. (collectively our "Affiliates"), rely on an order (the "Order") granted by the SEC that permits us greater flexibility than the 1940 Act permits to negotiate the terms of co-investments if our Board of Directors determines that it would be advantageous for us to co- invest with other accounts sponsored or managed by RGC and/or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7" w:name="page58"/>
    <w:bookmarkEnd w:id="5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6"/>
          <w:szCs w:val="16"/>
          <w:color w:val="auto"/>
        </w:rPr>
        <w:t>investment opportunities and the ability to achieve greater diversification. Under the terms of the Order, a majority of our independent directors are required to make certain determinations in connection with a co -investment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Composition and Investment Activity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Composition</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At March 31, 2025, we had investments in 52 companies, representing 23 companies in which we held debt and warrant investments, 3 companies in which we held debt investments and shares of common stock, preferred stock, or a combination with warrants, 5 companies in which we held a debt investment only, 13 companies in which we held warrant investments only, and 8 companies in which we held shares of common stock, preferred stock, equity interests, or a combination thereof with warrants.</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6"/>
          <w:szCs w:val="16"/>
          <w:color w:val="auto"/>
        </w:rPr>
        <w:t>At December 31, 2024, we had investments in 57 companies, representing 23 companies in which we held debt and warrant investments, 5 companies in which we held debt investments and shares of common stock, preferred stock, or a combination with warrants, 4 companies in which we held a debt investment only, 17 companies in which we held warrant investments only, and 8 companies in which we held shares of common stock, preferred stock, equity interests, or a combination thereof with warrants.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fair value of our investments, by asset class, as of March 31, 2025 and December 31,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4"/>
                <w:szCs w:val="14"/>
                <w:color w:val="auto"/>
              </w:rPr>
            </w:pPr>
          </w:p>
        </w:tc>
        <w:tc>
          <w:tcPr>
            <w:tcW w:w="18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1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Portfolio Investments</w:t>
            </w: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1140" w:type="dxa"/>
            <w:vAlign w:val="bottom"/>
            <w:shd w:val="clear" w:color="auto" w:fill="CFF0FC"/>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944,988</w:t>
            </w:r>
          </w:p>
        </w:tc>
        <w:tc>
          <w:tcPr>
            <w:tcW w:w="56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926,072</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92.22</w:t>
            </w:r>
          </w:p>
        </w:tc>
        <w:tc>
          <w:tcPr>
            <w:tcW w:w="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 Lien Term Loans</w:t>
            </w:r>
          </w:p>
        </w:tc>
        <w:tc>
          <w:tcPr>
            <w:tcW w:w="114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20,551</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20,316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Preferred Stocks</w:t>
            </w:r>
          </w:p>
        </w:tc>
        <w:tc>
          <w:tcPr>
            <w:tcW w:w="11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49,147</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36,216</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Stocks</w:t>
            </w:r>
          </w:p>
        </w:tc>
        <w:tc>
          <w:tcPr>
            <w:tcW w:w="11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6,534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836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Equity Interest</w:t>
            </w:r>
          </w:p>
        </w:tc>
        <w:tc>
          <w:tcPr>
            <w:tcW w:w="11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6,550</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6,874</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14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23,296</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13,919</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1140" w:type="dxa"/>
            <w:vAlign w:val="bottom"/>
            <w:shd w:val="clear" w:color="auto" w:fill="CFF0FC"/>
          </w:tcPr>
          <w:p>
            <w:pPr>
              <w:jc w:val="right"/>
              <w:ind w:right="9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1,051,066</w:t>
            </w:r>
          </w:p>
        </w:tc>
        <w:tc>
          <w:tcPr>
            <w:tcW w:w="560" w:type="dxa"/>
            <w:vAlign w:val="bottom"/>
            <w:gridSpan w:val="2"/>
            <w:shd w:val="clear" w:color="auto" w:fill="CFF0FC"/>
          </w:tcPr>
          <w:p>
            <w:pPr>
              <w:jc w:val="right"/>
              <w:ind w:right="1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1,004,233</w:t>
            </w:r>
          </w:p>
        </w:tc>
        <w:tc>
          <w:tcPr>
            <w:tcW w:w="2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w:t>
            </w:r>
          </w:p>
        </w:tc>
        <w:tc>
          <w:tcPr>
            <w:tcW w:w="2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4300" w:type="dxa"/>
            <w:vAlign w:val="bottom"/>
            <w:tcBorders>
              <w:top w:val="single" w:sz="8" w:color="CFF0FC"/>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Portfolio Investments</w:t>
            </w: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1140" w:type="dxa"/>
            <w:vAlign w:val="bottom"/>
            <w:shd w:val="clear" w:color="auto" w:fill="CFF0FC"/>
          </w:tcPr>
          <w:p>
            <w:pPr>
              <w:jc w:val="right"/>
              <w:ind w:right="95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966,155</w:t>
            </w:r>
          </w:p>
        </w:tc>
        <w:tc>
          <w:tcPr>
            <w:tcW w:w="56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950,092</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88.24</w:t>
            </w:r>
          </w:p>
        </w:tc>
        <w:tc>
          <w:tcPr>
            <w:tcW w:w="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 Lien Term Loans</w:t>
            </w:r>
          </w:p>
        </w:tc>
        <w:tc>
          <w:tcPr>
            <w:tcW w:w="114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20,445</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20,152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Preferred Stocks</w:t>
            </w:r>
          </w:p>
        </w:tc>
        <w:tc>
          <w:tcPr>
            <w:tcW w:w="11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77,247</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82,641</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Stocks</w:t>
            </w:r>
          </w:p>
        </w:tc>
        <w:tc>
          <w:tcPr>
            <w:tcW w:w="114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9,141</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2,833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Equity Interest</w:t>
            </w:r>
          </w:p>
        </w:tc>
        <w:tc>
          <w:tcPr>
            <w:tcW w:w="1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6,550</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6,940</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14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24,345</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14,182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FF0FC"/>
            </w:tcBorders>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1140" w:type="dxa"/>
            <w:vAlign w:val="bottom"/>
            <w:tcBorders>
              <w:bottom w:val="single" w:sz="8" w:color="auto"/>
            </w:tcBorders>
            <w:shd w:val="clear" w:color="auto" w:fill="CFF0FC"/>
          </w:tcPr>
          <w:p>
            <w:pPr>
              <w:jc w:val="right"/>
              <w:ind w:right="9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1,103,883</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auto"/>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20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w:t>
            </w:r>
          </w:p>
        </w:tc>
        <w:tc>
          <w:tcPr>
            <w:tcW w:w="2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231F20"/>
        </w:rPr>
        <w:t xml:space="preserve">For the three months ended March 31, 2025, our debt investment portfolio had a dollar-weighted annualized yield of 15.4%. For the </w:t>
      </w:r>
      <w:r>
        <w:rPr>
          <w:rFonts w:ascii="Times New Roman" w:cs="Times New Roman" w:eastAsia="Times New Roman" w:hAnsi="Times New Roman"/>
          <w:sz w:val="16"/>
          <w:szCs w:val="16"/>
          <w:color w:val="000000"/>
        </w:rPr>
        <w:t>three months ended March 31,</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2024</w:t>
      </w:r>
      <w:r>
        <w:rPr>
          <w:rFonts w:ascii="Times New Roman" w:cs="Times New Roman" w:eastAsia="Times New Roman" w:hAnsi="Times New Roman"/>
          <w:sz w:val="16"/>
          <w:szCs w:val="16"/>
          <w:color w:val="231F20"/>
        </w:rPr>
        <w:t>, our debt investment portfolio had a dollar -weighted annualized yield of 17.4%. We calculate the yield on dollar -weighted debt investments for any period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measured as (1) total related investment income during the period divided by (2) the daily average of the fair value of debt investments outstanding during the period, including any debt investments on non-accrual status. As of March 31, 2025, our debt investments had a dollar-weighted average term of 56 months at origination and a dollar-weighted average remaining term of 34 months, or approximately 2.8 years. As of March 31, 2025, substantially all of our debt investments had a committed principal amount of between $6.0 million and $75.0 million and pay cash interest at annual interest rates of between 6.3% and 14.1%.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8" w:name="page59"/>
    <w:bookmarkEnd w:id="5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The following table shows our dollar-weighted annualized yield by investment type for the </w:t>
      </w:r>
      <w:r>
        <w:rPr>
          <w:rFonts w:ascii="Times New Roman" w:cs="Times New Roman" w:eastAsia="Times New Roman" w:hAnsi="Times New Roman"/>
          <w:sz w:val="16"/>
          <w:szCs w:val="16"/>
          <w:color w:val="000000"/>
        </w:rPr>
        <w:t>three months ended March 31, 2025 and 2024</w:t>
      </w:r>
      <w:r>
        <w:rPr>
          <w:rFonts w:ascii="Times New Roman" w:cs="Times New Roman" w:eastAsia="Times New Roman" w:hAnsi="Times New Roman"/>
          <w:sz w:val="16"/>
          <w:szCs w:val="16"/>
          <w:color w:val="231F20"/>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9"/>
              </w:rPr>
              <w:t>Fair Value</w:t>
            </w:r>
            <w:r>
              <w:rPr>
                <w:rFonts w:ascii="Times New Roman" w:cs="Times New Roman" w:eastAsia="Times New Roman" w:hAnsi="Times New Roman"/>
                <w:sz w:val="16"/>
                <w:szCs w:val="16"/>
                <w:b w:val="1"/>
                <w:bCs w:val="1"/>
                <w:color w:val="auto"/>
                <w:w w:val="99"/>
                <w:vertAlign w:val="superscript"/>
              </w:rPr>
              <w:t>(1)</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w w:val="95"/>
              </w:rPr>
              <w:t>Cost</w:t>
            </w:r>
            <w:r>
              <w:rPr>
                <w:rFonts w:ascii="Times New Roman" w:cs="Times New Roman" w:eastAsia="Times New Roman" w:hAnsi="Times New Roman"/>
                <w:sz w:val="16"/>
                <w:szCs w:val="16"/>
                <w:b w:val="1"/>
                <w:bCs w:val="1"/>
                <w:color w:val="auto"/>
                <w:w w:val="95"/>
                <w:vertAlign w:val="superscript"/>
              </w:rPr>
              <w:t>(2)</w:t>
            </w:r>
          </w:p>
        </w:tc>
        <w:tc>
          <w:tcPr>
            <w:tcW w:w="360" w:type="dxa"/>
            <w:vAlign w:val="bottom"/>
          </w:tcPr>
          <w:p>
            <w:pPr>
              <w:spacing w:after="0"/>
              <w:rPr>
                <w:sz w:val="16"/>
                <w:szCs w:val="16"/>
                <w:color w:val="auto"/>
              </w:rPr>
            </w:pPr>
          </w:p>
        </w:tc>
      </w:tr>
      <w:tr>
        <w:trPr>
          <w:trHeight w:val="156"/>
        </w:trPr>
        <w:tc>
          <w:tcPr>
            <w:tcW w:w="2820" w:type="dxa"/>
            <w:vAlign w:val="bottom"/>
          </w:tcPr>
          <w:p>
            <w:pPr>
              <w:spacing w:after="0"/>
              <w:rPr>
                <w:sz w:val="13"/>
                <w:szCs w:val="13"/>
                <w:color w:val="auto"/>
              </w:rPr>
            </w:pPr>
          </w:p>
        </w:tc>
        <w:tc>
          <w:tcPr>
            <w:tcW w:w="4000" w:type="dxa"/>
            <w:vAlign w:val="bottom"/>
            <w:gridSpan w:val="4"/>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20" w:type="dxa"/>
            <w:vAlign w:val="bottom"/>
          </w:tcPr>
          <w:p>
            <w:pPr>
              <w:spacing w:after="0"/>
              <w:rPr>
                <w:sz w:val="13"/>
                <w:szCs w:val="13"/>
                <w:color w:val="auto"/>
              </w:rPr>
            </w:pPr>
          </w:p>
        </w:tc>
        <w:tc>
          <w:tcPr>
            <w:tcW w:w="2760" w:type="dxa"/>
            <w:vAlign w:val="bottom"/>
            <w:gridSpan w:val="3"/>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60" w:type="dxa"/>
            <w:vAlign w:val="bottom"/>
          </w:tcPr>
          <w:p>
            <w:pPr>
              <w:spacing w:after="0"/>
              <w:rPr>
                <w:sz w:val="13"/>
                <w:szCs w:val="13"/>
                <w:color w:val="auto"/>
              </w:rPr>
            </w:pPr>
          </w:p>
        </w:tc>
      </w:tr>
      <w:tr>
        <w:trPr>
          <w:trHeight w:val="170"/>
        </w:trPr>
        <w:tc>
          <w:tcPr>
            <w:tcW w:w="4800" w:type="dxa"/>
            <w:vAlign w:val="bottom"/>
            <w:gridSpan w:val="2"/>
          </w:tcPr>
          <w:p>
            <w:pPr>
              <w:ind w:left="452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4"/>
                <w:szCs w:val="14"/>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148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4"/>
                <w:szCs w:val="14"/>
                <w:color w:val="auto"/>
              </w:rPr>
            </w:pPr>
          </w:p>
        </w:tc>
      </w:tr>
      <w:tr>
        <w:trPr>
          <w:trHeight w:val="156"/>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r>
      <w:tr>
        <w:trPr>
          <w:trHeight w:val="156"/>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Debt investments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w:t>
            </w:r>
          </w:p>
        </w:tc>
        <w:tc>
          <w:tcPr>
            <w:tcW w:w="90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62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8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Equity interest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900" w:type="dxa"/>
            <w:vAlign w:val="bottom"/>
            <w:shd w:val="clear" w:color="auto" w:fill="CFF0FC"/>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62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0.73</w:t>
            </w:r>
          </w:p>
        </w:tc>
        <w:tc>
          <w:tcPr>
            <w:tcW w:w="3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All investments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w:t>
            </w:r>
          </w:p>
        </w:tc>
        <w:tc>
          <w:tcPr>
            <w:tcW w:w="90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62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r>
      <w:tr>
        <w:trPr>
          <w:trHeight w:val="44"/>
        </w:trPr>
        <w:tc>
          <w:tcPr>
            <w:tcW w:w="2820" w:type="dxa"/>
            <w:vAlign w:val="bottom"/>
            <w:tcBorders>
              <w:bottom w:val="single" w:sz="8" w:color="auto"/>
            </w:tcBorders>
          </w:tcPr>
          <w:p>
            <w:pPr>
              <w:spacing w:after="0"/>
              <w:rPr>
                <w:sz w:val="3"/>
                <w:szCs w:val="3"/>
                <w:color w:val="auto"/>
              </w:rPr>
            </w:pPr>
          </w:p>
        </w:tc>
        <w:tc>
          <w:tcPr>
            <w:tcW w:w="1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60" w:type="dxa"/>
            <w:vAlign w:val="bottom"/>
          </w:tcPr>
          <w:p>
            <w:pPr>
              <w:spacing w:after="0"/>
              <w:rPr>
                <w:sz w:val="3"/>
                <w:szCs w:val="3"/>
                <w:color w:val="auto"/>
              </w:rPr>
            </w:pPr>
          </w:p>
        </w:tc>
      </w:tr>
    </w:tbl>
    <w:p>
      <w:pPr>
        <w:spacing w:after="0" w:line="83"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81" w:lineRule="exact"/>
        <w:rPr>
          <w:sz w:val="20"/>
          <w:szCs w:val="20"/>
          <w:color w:val="auto"/>
        </w:rPr>
      </w:pPr>
    </w:p>
    <w:p>
      <w:pPr>
        <w:ind w:right="340"/>
        <w:spacing w:after="0" w:line="212"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Activity</w:t>
      </w:r>
    </w:p>
    <w:p>
      <w:pPr>
        <w:spacing w:after="0" w:line="19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three months ended March 31, 2025, we funded $ 15.3 million in three existing portfolio companies, net of upfront loan origination fees and refinances. We also received $75.0 million in sales and prepayments from four portfolio companies and $3.7 million in scheduled principal repayments from one portfolio company. Of the sales and prepayments, $38.1 million in proceeds was from the termination of warrants, sale of preferred stock, sale of equity interest, or sale of common stock. During the three months ended March 31, 2024, we funded $19.7 million in one new portfolio company, and $5.0 million in one existing portfolio company, net of upfront loan origination fees and refinances. We also received $34.4 million in loan prepayments from two portfolio companies and $0.4 million in scheduled principal payments from one portfolio company. There were no proceeds from the termination of warrants, sale of preferred stock, sale of equity interest, or sale of common stock during the three months ended March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Reconciliation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our investment portfolio for the three months ended March 31, 2025 and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14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1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380" w:type="dxa"/>
            <w:vAlign w:val="bottom"/>
            <w:vMerge w:val="restart"/>
          </w:tcPr>
          <w:p>
            <w:pPr>
              <w:jc w:val="right"/>
              <w:ind w:right="9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Beginning investment portfolio</w:t>
            </w:r>
          </w:p>
        </w:tc>
        <w:tc>
          <w:tcPr>
            <w:tcW w:w="1460" w:type="dxa"/>
            <w:vAlign w:val="bottom"/>
            <w:shd w:val="clear" w:color="auto" w:fill="CFF0FC"/>
          </w:tcPr>
          <w:p>
            <w:pPr>
              <w:jc w:val="right"/>
              <w:ind w:right="119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1,076,840</w:t>
            </w:r>
          </w:p>
        </w:tc>
        <w:tc>
          <w:tcPr>
            <w:tcW w:w="3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1,067,009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investments</w:t>
            </w:r>
          </w:p>
        </w:tc>
        <w:tc>
          <w:tcPr>
            <w:tcW w:w="146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15,320</w:t>
            </w:r>
          </w:p>
        </w:tc>
        <w:tc>
          <w:tcPr>
            <w:tcW w:w="920" w:type="dxa"/>
            <w:vAlign w:val="bottom"/>
          </w:tcPr>
          <w:p>
            <w:pPr>
              <w:spacing w:after="0"/>
              <w:rPr>
                <w:sz w:val="13"/>
                <w:szCs w:val="13"/>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24,642</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14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3,260</w:t>
            </w:r>
          </w:p>
        </w:tc>
        <w:tc>
          <w:tcPr>
            <w:tcW w:w="3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Sales and prepayments of investments</w:t>
            </w:r>
          </w:p>
        </w:tc>
        <w:tc>
          <w:tcPr>
            <w:tcW w:w="146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(74,978)</w:t>
            </w:r>
          </w:p>
        </w:tc>
        <w:tc>
          <w:tcPr>
            <w:tcW w:w="920" w:type="dxa"/>
            <w:vAlign w:val="bottom"/>
          </w:tcPr>
          <w:p>
            <w:pPr>
              <w:spacing w:after="0"/>
              <w:rPr>
                <w:sz w:val="13"/>
                <w:szCs w:val="13"/>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(34,449)</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Scheduled repayments of investments</w:t>
            </w:r>
          </w:p>
        </w:tc>
        <w:tc>
          <w:tcPr>
            <w:tcW w:w="14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(3,665)</w:t>
            </w:r>
          </w:p>
        </w:tc>
        <w:tc>
          <w:tcPr>
            <w:tcW w:w="9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(413)</w:t>
            </w:r>
          </w:p>
        </w:tc>
        <w:tc>
          <w:tcPr>
            <w:tcW w:w="0" w:type="dxa"/>
            <w:vAlign w:val="bottom"/>
          </w:tcPr>
          <w:p>
            <w:pPr>
              <w:spacing w:after="0"/>
              <w:rPr>
                <w:sz w:val="1"/>
                <w:szCs w:val="1"/>
                <w:color w:val="auto"/>
              </w:rPr>
            </w:pPr>
          </w:p>
        </w:tc>
      </w:tr>
      <w:tr>
        <w:trPr>
          <w:trHeight w:val="156"/>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Sales and maturities of U.S. Treasury Bills</w:t>
            </w:r>
          </w:p>
        </w:tc>
        <w:tc>
          <w:tcPr>
            <w:tcW w:w="14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(42,029)</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Amortization of fixed income premiums or accretion of discounts</w:t>
            </w:r>
          </w:p>
        </w:tc>
        <w:tc>
          <w:tcPr>
            <w:tcW w:w="14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3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4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6,057</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4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(19,790)</w:t>
            </w:r>
          </w:p>
        </w:tc>
        <w:tc>
          <w:tcPr>
            <w:tcW w:w="9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(6,617)</w:t>
            </w:r>
          </w:p>
        </w:tc>
        <w:tc>
          <w:tcPr>
            <w:tcW w:w="0" w:type="dxa"/>
            <w:vAlign w:val="bottom"/>
          </w:tcPr>
          <w:p>
            <w:pPr>
              <w:spacing w:after="0"/>
              <w:rPr>
                <w:sz w:val="1"/>
                <w:szCs w:val="1"/>
                <w:color w:val="auto"/>
              </w:rPr>
            </w:pPr>
          </w:p>
        </w:tc>
      </w:tr>
      <w:tr>
        <w:trPr>
          <w:trHeight w:val="156"/>
        </w:trPr>
        <w:tc>
          <w:tcPr>
            <w:tcW w:w="55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Ending investment portfolio</w:t>
            </w:r>
          </w:p>
        </w:tc>
        <w:tc>
          <w:tcPr>
            <w:tcW w:w="1460" w:type="dxa"/>
            <w:vAlign w:val="bottom"/>
            <w:tcBorders>
              <w:bottom w:val="single" w:sz="8" w:color="auto"/>
            </w:tcBorders>
          </w:tcPr>
          <w:p>
            <w:pPr>
              <w:jc w:val="right"/>
              <w:ind w:right="11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1,004,233</w:t>
            </w:r>
          </w:p>
        </w:tc>
        <w:tc>
          <w:tcPr>
            <w:tcW w:w="360" w:type="dxa"/>
            <w:vAlign w:val="bottom"/>
          </w:tcPr>
          <w:p>
            <w:pPr>
              <w:spacing w:after="0"/>
              <w:rPr>
                <w:sz w:val="13"/>
                <w:szCs w:val="13"/>
                <w:color w:val="auto"/>
              </w:rPr>
            </w:pPr>
          </w:p>
        </w:tc>
        <w:tc>
          <w:tcPr>
            <w:tcW w:w="920" w:type="dxa"/>
            <w:vAlign w:val="bottom"/>
            <w:tcBorders>
              <w:bottom w:val="single" w:sz="8" w:color="auto"/>
            </w:tcBorders>
          </w:tcPr>
          <w:p>
            <w:pPr>
              <w:jc w:val="right"/>
              <w:ind w:right="6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1,016,332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9" w:name="page60"/>
    <w:bookmarkEnd w:id="5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 Quality</w:t>
      </w:r>
    </w:p>
    <w:p>
      <w:pPr>
        <w:spacing w:after="0" w:line="15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ectPr>
          <w:pgSz w:w="11900" w:h="16840" w:orient="portrait"/>
          <w:cols w:equalWidth="0" w:num="1">
            <w:col w:w="10560"/>
          </w:cols>
          <w:pgMar w:left="660" w:top="555" w:right="680" w:bottom="1440" w:gutter="0" w:footer="0" w:header="0"/>
        </w:sectPr>
      </w:pPr>
    </w:p>
    <w:p>
      <w:pPr>
        <w:spacing w:after="0" w:line="92" w:lineRule="exact"/>
        <w:rPr>
          <w:sz w:val="20"/>
          <w:szCs w:val="20"/>
          <w:color w:val="auto"/>
        </w:rPr>
      </w:pPr>
    </w:p>
    <w:p>
      <w:pPr>
        <w:jc w:val="center"/>
        <w:ind w:right="3580"/>
        <w:spacing w:after="0"/>
        <w:rPr>
          <w:sz w:val="20"/>
          <w:szCs w:val="20"/>
          <w:color w:val="auto"/>
        </w:rPr>
      </w:pPr>
      <w:r>
        <w:rPr>
          <w:rFonts w:ascii="Times New Roman" w:cs="Times New Roman" w:eastAsia="Times New Roman" w:hAnsi="Times New Roman"/>
          <w:sz w:val="13"/>
          <w:szCs w:val="13"/>
          <w:b w:val="1"/>
          <w:bCs w:val="1"/>
          <w:color w:val="auto"/>
        </w:rPr>
        <w:t>Investment</w:t>
      </w:r>
    </w:p>
    <w:p>
      <w:pPr>
        <w:spacing w:after="0" w:line="23"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3"/>
          <w:szCs w:val="13"/>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818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3"/>
          <w:szCs w:val="13"/>
          <w:b w:val="1"/>
          <w:bCs w:val="1"/>
          <w:color w:val="auto"/>
        </w:rPr>
        <w:t>Rating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12700</wp:posOffset>
            </wp:positionV>
            <wp:extent cx="59683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8365" cy="7620"/>
                    </a:xfrm>
                    <a:prstGeom prst="rect">
                      <a:avLst/>
                    </a:prstGeom>
                    <a:noFill/>
                  </pic:spPr>
                </pic:pic>
              </a:graphicData>
            </a:graphic>
          </wp:anchor>
        </w:drawing>
      </w:r>
    </w:p>
    <w:p>
      <w:pPr>
        <w:spacing w:after="0" w:line="95" w:lineRule="exact"/>
        <w:rPr>
          <w:sz w:val="20"/>
          <w:szCs w:val="20"/>
          <w:color w:val="auto"/>
        </w:rPr>
      </w:pPr>
    </w:p>
    <w:p>
      <w:pPr>
        <w:sectPr>
          <w:pgSz w:w="11900" w:h="16840" w:orient="portrait"/>
          <w:cols w:equalWidth="0" w:num="2">
            <w:col w:w="4660" w:space="720"/>
            <w:col w:w="5180"/>
          </w:cols>
          <w:pgMar w:left="660" w:top="555" w:right="680" w:bottom="1440" w:gutter="0" w:footer="0" w:header="0"/>
          <w:type w:val="continuous"/>
        </w:sectPr>
      </w:pPr>
    </w:p>
    <w:p>
      <w:pPr>
        <w:ind w:left="1180" w:hanging="676"/>
        <w:spacing w:after="0"/>
        <w:tabs>
          <w:tab w:leader="none" w:pos="118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6707505" cy="114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left="1180" w:right="20" w:hanging="676"/>
        <w:spacing w:after="0" w:line="250" w:lineRule="auto"/>
        <w:tabs>
          <w:tab w:leader="none" w:pos="11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at or reasonably close to plan. Acceptable business prospects, enterprise value, and financial coverage. Maintaining key covenant and payment compliance as agreed. Generally,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707505" cy="198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ind w:left="1180" w:right="220" w:hanging="676"/>
        <w:spacing w:after="0" w:line="250" w:lineRule="auto"/>
        <w:tabs>
          <w:tab w:leader="none" w:pos="11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180" w:right="40" w:hanging="676"/>
        <w:spacing w:after="0" w:line="250" w:lineRule="auto"/>
        <w:tabs>
          <w:tab w:leader="none" w:pos="1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707505" cy="1981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ind w:left="1180" w:right="260" w:hanging="676"/>
        <w:spacing w:after="0" w:line="263" w:lineRule="auto"/>
        <w:tabs>
          <w:tab w:leader="none" w:pos="11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investment ratings of our debt investments at fair value as of March 31, 2025 and December 31, 2024 (dollars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Number of Portfolio</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Number of Portfolio</w:t>
            </w:r>
          </w:p>
        </w:tc>
        <w:tc>
          <w:tcPr>
            <w:tcW w:w="0" w:type="dxa"/>
            <w:vAlign w:val="bottom"/>
          </w:tcPr>
          <w:p>
            <w:pPr>
              <w:spacing w:after="0"/>
              <w:rPr>
                <w:sz w:val="1"/>
                <w:szCs w:val="1"/>
                <w:color w:val="auto"/>
              </w:rPr>
            </w:pPr>
          </w:p>
        </w:tc>
      </w:tr>
      <w:tr>
        <w:trPr>
          <w:trHeight w:val="138"/>
        </w:trPr>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Investment Rating</w:t>
            </w:r>
          </w:p>
        </w:tc>
        <w:tc>
          <w:tcPr>
            <w:tcW w:w="2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16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Companies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16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Companies</w:t>
            </w:r>
          </w:p>
        </w:tc>
        <w:tc>
          <w:tcPr>
            <w:tcW w:w="0" w:type="dxa"/>
            <w:vAlign w:val="bottom"/>
          </w:tcPr>
          <w:p>
            <w:pPr>
              <w:spacing w:after="0"/>
              <w:rPr>
                <w:sz w:val="1"/>
                <w:szCs w:val="1"/>
                <w:color w:val="auto"/>
              </w:rPr>
            </w:pPr>
          </w:p>
        </w:tc>
      </w:tr>
      <w:tr>
        <w:trPr>
          <w:trHeight w:val="156"/>
        </w:trPr>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27,217</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2.53 %</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706,810</w:t>
            </w:r>
          </w:p>
        </w:tc>
        <w:tc>
          <w:tcPr>
            <w:tcW w:w="360" w:type="dxa"/>
            <w:vAlign w:val="bottom"/>
          </w:tcPr>
          <w:p>
            <w:pPr>
              <w:spacing w:after="0"/>
              <w:rPr>
                <w:sz w:val="13"/>
                <w:szCs w:val="13"/>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70.38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671,839</w:t>
            </w:r>
          </w:p>
        </w:tc>
        <w:tc>
          <w:tcPr>
            <w:tcW w:w="30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62.39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6"/>
        </w:trPr>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201,075</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20.02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231,488</w:t>
            </w:r>
          </w:p>
        </w:tc>
        <w:tc>
          <w:tcPr>
            <w:tcW w:w="30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6"/>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240" w:type="dxa"/>
            <w:vAlign w:val="bottom"/>
          </w:tcPr>
          <w:p>
            <w:pPr>
              <w:spacing w:after="0"/>
              <w:rPr>
                <w:sz w:val="13"/>
                <w:szCs w:val="13"/>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33,527</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3.34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34,120</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4,976</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0.50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5,580</w:t>
            </w:r>
          </w:p>
        </w:tc>
        <w:tc>
          <w:tcPr>
            <w:tcW w:w="30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0.52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946,388</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970,244</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Non-Accrual Status</w:t>
      </w:r>
    </w:p>
    <w:p>
      <w:pPr>
        <w:spacing w:after="0" w:line="15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Generally, when interest and/or principal payments on a loan become past due, or if we otherwise do not expect the borrower to be able to service its debt and other obligations, we will place the loan on non- accrual status and will cease recognizing interest income on that loan for financial reporting purposes until all principal and interest have been brought current through payment or due to a restructuring such that the interest income is deemed to be collectible.</w:t>
      </w:r>
    </w:p>
    <w:p>
      <w:pPr>
        <w:spacing w:after="0" w:line="12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cost, fair value, and types of income not recorded in "Interest income" on the Consolidated Statements of Operations related to senior secured term loans on non-accrual status as of March 31, 2025 and December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9"/>
              </w:rPr>
              <w:t>Forgone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Forgone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as 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tcPr>
          <w:p>
            <w:pPr>
              <w:jc w:val="center"/>
              <w:ind w:left="194"/>
              <w:spacing w:after="0" w:line="145" w:lineRule="exact"/>
              <w:rPr>
                <w:sz w:val="20"/>
                <w:szCs w:val="20"/>
                <w:color w:val="auto"/>
              </w:rPr>
            </w:pPr>
            <w:r>
              <w:rPr>
                <w:rFonts w:ascii="Times New Roman" w:cs="Times New Roman" w:eastAsia="Times New Roman" w:hAnsi="Times New Roman"/>
                <w:sz w:val="13"/>
                <w:szCs w:val="13"/>
                <w:b w:val="1"/>
                <w:bCs w:val="1"/>
                <w:color w:val="auto"/>
                <w:w w:val="98"/>
              </w:rPr>
              <w:t>Date of Non-</w:t>
            </w:r>
          </w:p>
        </w:tc>
        <w:tc>
          <w:tcPr>
            <w:tcW w:w="120" w:type="dxa"/>
            <w:vAlign w:val="bottom"/>
          </w:tcPr>
          <w:p>
            <w:pPr>
              <w:spacing w:after="0"/>
              <w:rPr>
                <w:sz w:val="12"/>
                <w:szCs w:val="12"/>
                <w:color w:val="auto"/>
              </w:rPr>
            </w:pPr>
          </w:p>
        </w:tc>
        <w:tc>
          <w:tcPr>
            <w:tcW w:w="800" w:type="dxa"/>
            <w:vAlign w:val="bottom"/>
          </w:tcPr>
          <w:p>
            <w:pPr>
              <w:jc w:val="center"/>
              <w:ind w:right="174"/>
              <w:spacing w:after="0" w:line="14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2"/>
                <w:szCs w:val="12"/>
                <w:color w:val="auto"/>
              </w:rPr>
            </w:pPr>
          </w:p>
        </w:tc>
        <w:tc>
          <w:tcPr>
            <w:tcW w:w="900" w:type="dxa"/>
            <w:vAlign w:val="bottom"/>
            <w:gridSpan w:val="2"/>
          </w:tcPr>
          <w:p>
            <w:pPr>
              <w:jc w:val="center"/>
              <w:ind w:right="54"/>
              <w:spacing w:after="0" w:line="145" w:lineRule="exact"/>
              <w:rPr>
                <w:sz w:val="20"/>
                <w:szCs w:val="20"/>
                <w:color w:val="auto"/>
              </w:rPr>
            </w:pPr>
            <w:r>
              <w:rPr>
                <w:rFonts w:ascii="Times New Roman" w:cs="Times New Roman" w:eastAsia="Times New Roman" w:hAnsi="Times New Roman"/>
                <w:sz w:val="13"/>
                <w:szCs w:val="13"/>
                <w:b w:val="1"/>
                <w:bCs w:val="1"/>
                <w:color w:val="auto"/>
              </w:rPr>
              <w:t>Accretion of</w:t>
            </w:r>
          </w:p>
        </w:tc>
        <w:tc>
          <w:tcPr>
            <w:tcW w:w="1040" w:type="dxa"/>
            <w:vAlign w:val="bottom"/>
            <w:gridSpan w:val="3"/>
          </w:tcPr>
          <w:p>
            <w:pPr>
              <w:jc w:val="right"/>
              <w:ind w:right="34"/>
              <w:spacing w:after="0" w:line="145" w:lineRule="exact"/>
              <w:rPr>
                <w:sz w:val="20"/>
                <w:szCs w:val="20"/>
                <w:color w:val="auto"/>
              </w:rPr>
            </w:pPr>
            <w:r>
              <w:rPr>
                <w:rFonts w:ascii="Times New Roman" w:cs="Times New Roman" w:eastAsia="Times New Roman" w:hAnsi="Times New Roman"/>
                <w:sz w:val="13"/>
                <w:szCs w:val="13"/>
                <w:b w:val="1"/>
                <w:bCs w:val="1"/>
                <w:color w:val="auto"/>
              </w:rPr>
              <w:t>Total Forgone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left="114"/>
              <w:spacing w:after="0" w:line="145"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rPr>
              <w:t>Accrual</w:t>
            </w:r>
          </w:p>
        </w:tc>
        <w:tc>
          <w:tcPr>
            <w:tcW w:w="120" w:type="dxa"/>
            <w:vAlign w:val="bottom"/>
          </w:tcPr>
          <w:p>
            <w:pPr>
              <w:spacing w:after="0"/>
              <w:rPr>
                <w:sz w:val="15"/>
                <w:szCs w:val="15"/>
                <w:color w:val="auto"/>
              </w:rPr>
            </w:pPr>
          </w:p>
        </w:tc>
        <w:tc>
          <w:tcPr>
            <w:tcW w:w="80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3"/>
                <w:szCs w:val="13"/>
                <w:b w:val="1"/>
                <w:bCs w:val="1"/>
                <w:color w:val="auto"/>
                <w:w w:val="96"/>
              </w:rPr>
              <w:t>Income</w:t>
            </w:r>
            <w:r>
              <w:rPr>
                <w:rFonts w:ascii="Times New Roman" w:cs="Times New Roman" w:eastAsia="Times New Roman" w:hAnsi="Times New Roman"/>
                <w:sz w:val="16"/>
                <w:szCs w:val="16"/>
                <w:b w:val="1"/>
                <w:bCs w:val="1"/>
                <w:color w:val="auto"/>
                <w:w w:val="96"/>
                <w:vertAlign w:val="superscript"/>
              </w:rPr>
              <w:t>(1)</w:t>
            </w:r>
          </w:p>
        </w:tc>
        <w:tc>
          <w:tcPr>
            <w:tcW w:w="120" w:type="dxa"/>
            <w:vAlign w:val="bottom"/>
          </w:tcPr>
          <w:p>
            <w:pPr>
              <w:spacing w:after="0"/>
              <w:rPr>
                <w:sz w:val="15"/>
                <w:szCs w:val="15"/>
                <w:color w:val="auto"/>
              </w:rPr>
            </w:pPr>
          </w:p>
        </w:tc>
        <w:tc>
          <w:tcPr>
            <w:tcW w:w="900" w:type="dxa"/>
            <w:vAlign w:val="bottom"/>
            <w:gridSpan w:val="2"/>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OID and ETP</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w w:val="94"/>
              </w:rPr>
              <w:t xml:space="preserve">Income </w:t>
            </w:r>
            <w:r>
              <w:rPr>
                <w:rFonts w:ascii="Times New Roman" w:cs="Times New Roman" w:eastAsia="Times New Roman" w:hAnsi="Times New Roman"/>
                <w:sz w:val="16"/>
                <w:szCs w:val="16"/>
                <w:b w:val="1"/>
                <w:bCs w:val="1"/>
                <w:color w:val="auto"/>
                <w:w w:val="94"/>
                <w:vertAlign w:val="superscript"/>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 Basis</w:t>
            </w:r>
          </w:p>
        </w:tc>
        <w:tc>
          <w:tcPr>
            <w:tcW w:w="120" w:type="dxa"/>
            <w:vAlign w:val="bottom"/>
          </w:tcPr>
          <w:p>
            <w:pPr>
              <w:spacing w:after="0"/>
              <w:rPr>
                <w:sz w:val="15"/>
                <w:szCs w:val="15"/>
                <w:color w:val="auto"/>
              </w:rPr>
            </w:pPr>
          </w:p>
        </w:tc>
        <w:tc>
          <w:tcPr>
            <w:tcW w:w="8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5"/>
                <w:szCs w:val="15"/>
                <w:color w:val="auto"/>
              </w:rPr>
            </w:pPr>
          </w:p>
        </w:tc>
        <w:tc>
          <w:tcPr>
            <w:tcW w:w="8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1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JobGet Holdings, Inc. (fka Snagajob.com, Inc.)</w:t>
            </w:r>
          </w:p>
        </w:tc>
        <w:tc>
          <w:tcPr>
            <w:tcW w:w="148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3"/>
                <w:szCs w:val="13"/>
                <w:color w:val="auto"/>
              </w:rPr>
              <w:t>3/31/2024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4,368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4,651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3,774</w:t>
            </w:r>
          </w:p>
        </w:tc>
        <w:tc>
          <w:tcPr>
            <w:tcW w:w="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2,574</w:t>
            </w:r>
          </w:p>
        </w:tc>
        <w:tc>
          <w:tcPr>
            <w:tcW w:w="8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w w:val="99"/>
              </w:rPr>
              <w:t>1/1/2024</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4,887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2,403</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0.24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FF0FC"/>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5,227</w:t>
            </w:r>
          </w:p>
        </w:tc>
        <w:tc>
          <w:tcPr>
            <w:tcW w:w="2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283</w:t>
            </w:r>
          </w:p>
        </w:tc>
        <w:tc>
          <w:tcPr>
            <w:tcW w:w="2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5,510</w:t>
            </w:r>
          </w:p>
        </w:tc>
        <w:tc>
          <w:tcPr>
            <w:tcW w:w="2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8,661</w:t>
            </w:r>
          </w:p>
        </w:tc>
        <w:tc>
          <w:tcPr>
            <w:tcW w:w="380" w:type="dxa"/>
            <w:vAlign w:val="bottom"/>
            <w:gridSpan w:val="2"/>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4,976</w:t>
            </w:r>
          </w:p>
        </w:tc>
        <w:tc>
          <w:tcPr>
            <w:tcW w:w="880" w:type="dxa"/>
            <w:vAlign w:val="bottom"/>
            <w:gridSpan w:val="2"/>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0.50</w:t>
            </w:r>
          </w:p>
        </w:tc>
        <w:tc>
          <w:tcPr>
            <w:tcW w:w="1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040" w:type="dxa"/>
            <w:vAlign w:val="bottom"/>
            <w:tcBorders>
              <w:top w:val="single" w:sz="8" w:color="CFF0FC"/>
            </w:tcBorders>
          </w:tcPr>
          <w:p>
            <w:pPr>
              <w:spacing w:after="0"/>
              <w:rPr>
                <w:sz w:val="11"/>
                <w:szCs w:val="11"/>
                <w:color w:val="auto"/>
              </w:rPr>
            </w:pPr>
          </w:p>
        </w:tc>
        <w:tc>
          <w:tcPr>
            <w:tcW w:w="14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JobGet Holdings, Inc. (fka Snagajob.com, Inc.)</w:t>
            </w:r>
          </w:p>
        </w:tc>
        <w:tc>
          <w:tcPr>
            <w:tcW w:w="148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3"/>
                <w:szCs w:val="13"/>
                <w:color w:val="auto"/>
              </w:rPr>
              <w:t>3/31/2024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4,243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4,526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3,774</w:t>
            </w:r>
          </w:p>
        </w:tc>
        <w:tc>
          <w:tcPr>
            <w:tcW w:w="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3,431</w:t>
            </w:r>
          </w:p>
        </w:tc>
        <w:tc>
          <w:tcPr>
            <w:tcW w:w="8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0.32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w w:val="99"/>
              </w:rPr>
              <w:t>1/1/2024</w:t>
            </w: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4,952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2,148</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Borders>
              <w:bottom w:val="single" w:sz="8" w:color="CFF0FC"/>
            </w:tcBorders>
            <w:shd w:val="clear" w:color="auto" w:fill="CFF0FC"/>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4,929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283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5,213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FF0FC"/>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8,726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FF0FC"/>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5,580</w:t>
            </w: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0.52</w:t>
            </w:r>
          </w:p>
        </w:tc>
        <w:tc>
          <w:tcPr>
            <w:tcW w:w="16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Forgone interest income includes $0.3 million of accrued interest income that was reversed upon placement on non-accrual status.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type w:val="continuous"/>
        </w:sectPr>
      </w:pPr>
    </w:p>
    <w:bookmarkStart w:id="60" w:name="page61"/>
    <w:bookmarkEnd w:id="6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15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An important measure of our financial performance is "Net increase (decrease) in net assets resulting from operations" on the Consolidated Statements of Operations, which includes "Net investment income (loss)", "Net realized gain (loss) on investments" and "Net change in unrealized gain (loss) on investments". "Net investment income (loss)" is the difference between our income from interest, dividends, fees and other income and our operating expenses, including interest on borrowed funds. "Net realized gain (loss) on investments" is the difference between the proceeds received from dispositions of portfolio investments and U.S. Treasury Bills and their amortized cost. "Net change in unrealized gain (loss) on investments" is the net change in the fair value of our investment portfolio.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March 31, 2025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compares the results of our operations for the three months ended March 31, 2025 and 2024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gridSpan w:val="5"/>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3"/>
                <w:szCs w:val="13"/>
                <w:color w:val="auto"/>
              </w:rPr>
            </w:pP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28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3"/>
                <w:szCs w:val="13"/>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210"/>
        </w:trPr>
        <w:tc>
          <w:tcPr>
            <w:tcW w:w="4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3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Interest, fee and dividend income</w:t>
            </w: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35,209</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0.94</w:t>
            </w: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39,881</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0.99</w:t>
            </w:r>
          </w:p>
        </w:tc>
        <w:tc>
          <w:tcPr>
            <w:tcW w:w="0" w:type="dxa"/>
            <w:vAlign w:val="bottom"/>
          </w:tcPr>
          <w:p>
            <w:pPr>
              <w:spacing w:after="0"/>
              <w:rPr>
                <w:sz w:val="1"/>
                <w:szCs w:val="1"/>
                <w:color w:val="auto"/>
              </w:rPr>
            </w:pPr>
          </w:p>
        </w:tc>
      </w:tr>
      <w:tr>
        <w:trPr>
          <w:trHeight w:val="156"/>
        </w:trPr>
        <w:tc>
          <w:tcPr>
            <w:tcW w:w="4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income</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0.01</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35,398</w:t>
            </w:r>
          </w:p>
        </w:tc>
        <w:tc>
          <w:tcPr>
            <w:tcW w:w="2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0.95</w:t>
            </w:r>
          </w:p>
        </w:tc>
        <w:tc>
          <w:tcPr>
            <w:tcW w:w="2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40,009</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0.99</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Management fees</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4,009</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0.11</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3,952</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156"/>
        </w:trPr>
        <w:tc>
          <w:tcPr>
            <w:tcW w:w="4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Incentive fees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3,929</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0.10</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0.12</w:t>
            </w: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Interest and other debt financing expenses</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10,287</w:t>
            </w:r>
          </w:p>
        </w:tc>
        <w:tc>
          <w:tcPr>
            <w:tcW w:w="2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0.28</w:t>
            </w:r>
          </w:p>
        </w:tc>
        <w:tc>
          <w:tcPr>
            <w:tcW w:w="2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10,860</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0.27</w:t>
            </w:r>
          </w:p>
        </w:tc>
        <w:tc>
          <w:tcPr>
            <w:tcW w:w="0" w:type="dxa"/>
            <w:vAlign w:val="bottom"/>
          </w:tcPr>
          <w:p>
            <w:pPr>
              <w:spacing w:after="0"/>
              <w:rPr>
                <w:sz w:val="1"/>
                <w:szCs w:val="1"/>
                <w:color w:val="auto"/>
              </w:rPr>
            </w:pPr>
          </w:p>
        </w:tc>
      </w:tr>
      <w:tr>
        <w:trPr>
          <w:trHeight w:val="156"/>
        </w:trPr>
        <w:tc>
          <w:tcPr>
            <w:tcW w:w="4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Professional fees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0.01</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Administration agreement expenses</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0.02</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56"/>
        </w:trPr>
        <w:tc>
          <w:tcPr>
            <w:tcW w:w="4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 expense</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Tax expense</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expenses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0.01</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19,799</w:t>
            </w:r>
          </w:p>
        </w:tc>
        <w:tc>
          <w:tcPr>
            <w:tcW w:w="2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0.53</w:t>
            </w:r>
          </w:p>
        </w:tc>
        <w:tc>
          <w:tcPr>
            <w:tcW w:w="2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21,345</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0.53</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300" w:type="dxa"/>
            <w:vAlign w:val="bottom"/>
          </w:tcPr>
          <w:p>
            <w:pPr>
              <w:spacing w:after="0"/>
              <w:rPr>
                <w:sz w:val="13"/>
                <w:szCs w:val="13"/>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15,599</w:t>
            </w:r>
          </w:p>
        </w:tc>
        <w:tc>
          <w:tcPr>
            <w:tcW w:w="200" w:type="dxa"/>
            <w:vAlign w:val="bottom"/>
          </w:tcPr>
          <w:p>
            <w:pPr>
              <w:spacing w:after="0"/>
              <w:rPr>
                <w:sz w:val="13"/>
                <w:szCs w:val="13"/>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0.42</w:t>
            </w:r>
          </w:p>
        </w:tc>
        <w:tc>
          <w:tcPr>
            <w:tcW w:w="280" w:type="dxa"/>
            <w:vAlign w:val="bottom"/>
          </w:tcPr>
          <w:p>
            <w:pPr>
              <w:spacing w:after="0"/>
              <w:rPr>
                <w:sz w:val="13"/>
                <w:szCs w:val="1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18,664</w:t>
            </w:r>
          </w:p>
        </w:tc>
        <w:tc>
          <w:tcPr>
            <w:tcW w:w="20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0.46</w:t>
            </w: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Realized gain (loss) on investments</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6,057</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0.16</w:t>
            </w:r>
          </w:p>
        </w:tc>
        <w:tc>
          <w:tcPr>
            <w:tcW w:w="2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change in unrealized gain (loss) on investments</w:t>
            </w:r>
          </w:p>
        </w:tc>
        <w:tc>
          <w:tcPr>
            <w:tcW w:w="30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(19,790)</w:t>
            </w:r>
          </w:p>
        </w:tc>
        <w:tc>
          <w:tcPr>
            <w:tcW w:w="20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(0.53)</w:t>
            </w:r>
          </w:p>
        </w:tc>
        <w:tc>
          <w:tcPr>
            <w:tcW w:w="2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(6,617)</w:t>
            </w:r>
          </w:p>
        </w:tc>
        <w:tc>
          <w:tcPr>
            <w:tcW w:w="20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(0.16)</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300" w:type="dxa"/>
            <w:vAlign w:val="bottom"/>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1,866</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FF0FC"/>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0.05</w:t>
            </w:r>
          </w:p>
        </w:tc>
        <w:tc>
          <w:tcPr>
            <w:tcW w:w="280" w:type="dxa"/>
            <w:vAlign w:val="bottom"/>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12,047</w:t>
            </w:r>
          </w:p>
        </w:tc>
        <w:tc>
          <w:tcPr>
            <w:tcW w:w="20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0.30</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360" w:right="740"/>
        <w:spacing w:after="0" w:line="201"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The basic per share figures noted above are based on weighted averages of 37,347,428 and 40,392,255 shares outstanding for the three months ended March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1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 potential, private companies. We typically invest in senior secured loans that generally fall into two strategies: Sponsored Growth Lending and Non-Sponsored Growth Lending. We generally receive warrants and/or other equity from our investments. We expect our global loan originations will generally range from between $30-$150 million, with our allocation being in the range of $20-$45 million.</w:t>
      </w:r>
    </w:p>
    <w:p>
      <w:pPr>
        <w:spacing w:after="0" w:line="15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spacing w:after="0" w:line="14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Investment income for the three months ended March 31, 2025 and 2024 was $35.4 million and $40.0 million, respectively, and includes non- recurring income of $ 1.9 million and $3.8 million, respectively. Non- recurring income includes, but is not limited to, acceleration of unaccreted OID, prepayment fees, and amendment fees. The decrease in investment income for the three months ended March 31, 2025 compared to the three months ended March 31, 2024 was primarily due to falling interest rates and decrease in the average outstanding principal on interest-earning debt investments as a result of loan repayments and our loan to JobGet Holdings, Inc. moving to non-accrual status.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61" w:name="page62"/>
    <w:bookmarkEnd w:id="6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2"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68" w:lineRule="exact"/>
        <w:rPr>
          <w:sz w:val="20"/>
          <w:szCs w:val="20"/>
          <w:color w:val="auto"/>
        </w:rPr>
      </w:pPr>
    </w:p>
    <w:p>
      <w:pPr>
        <w:jc w:val="both"/>
        <w:ind w:left="360" w:right="120"/>
        <w:spacing w:after="0" w:line="243" w:lineRule="auto"/>
        <w:rPr>
          <w:sz w:val="20"/>
          <w:szCs w:val="20"/>
          <w:color w:val="auto"/>
        </w:rPr>
      </w:pPr>
      <w:r>
        <w:rPr>
          <w:rFonts w:ascii="Times New Roman" w:cs="Times New Roman" w:eastAsia="Times New Roman" w:hAnsi="Times New Roman"/>
          <w:sz w:val="16"/>
          <w:szCs w:val="16"/>
          <w:color w:val="auto"/>
        </w:rPr>
        <w:t>•our pro-rata portion of fees and expenses related to an initial public offering in connection with a Spin-Off transaction, meaning either a transaction whereby (a) we offer our stockholders the option to elect to either (i) retain their ownership of shares of our common stock, or (ii) exchange their shares of our common stock for shares of common stock in a newly formed entity that will elect to be regulated as a BDC under the 1940 Act and treated as a RIC under Subchapter M of the Code; or (b) we complete a listing of our securities on any securities exchange;</w:t>
      </w:r>
    </w:p>
    <w:p>
      <w:pPr>
        <w:spacing w:after="0" w:line="71" w:lineRule="exact"/>
        <w:rPr>
          <w:sz w:val="20"/>
          <w:szCs w:val="20"/>
          <w:color w:val="auto"/>
        </w:rPr>
      </w:pPr>
    </w:p>
    <w:p>
      <w:pPr>
        <w:ind w:left="360" w:right="3920"/>
        <w:spacing w:after="0" w:line="411" w:lineRule="auto"/>
        <w:rPr>
          <w:sz w:val="20"/>
          <w:szCs w:val="20"/>
          <w:color w:val="auto"/>
        </w:rPr>
      </w:pPr>
      <w:r>
        <w:rPr>
          <w:rFonts w:ascii="Times New Roman" w:cs="Times New Roman" w:eastAsia="Times New Roman" w:hAnsi="Times New Roman"/>
          <w:sz w:val="14"/>
          <w:szCs w:val="14"/>
          <w:color w:val="auto"/>
        </w:rPr>
        <w:t>•fees and expenses related to public and private offerings, sales and repurchases of our securities; •calculating our net asset value (including the cost and expenses of any independent valuation firm);</w:t>
      </w:r>
    </w:p>
    <w:p>
      <w:pPr>
        <w:spacing w:after="0" w:line="1" w:lineRule="exact"/>
        <w:rPr>
          <w:sz w:val="20"/>
          <w:szCs w:val="20"/>
          <w:color w:val="auto"/>
        </w:rPr>
      </w:pPr>
    </w:p>
    <w:p>
      <w:pPr>
        <w:ind w:left="360" w:right="160"/>
        <w:spacing w:after="0" w:line="247" w:lineRule="auto"/>
        <w:rPr>
          <w:sz w:val="20"/>
          <w:szCs w:val="20"/>
          <w:color w:val="auto"/>
        </w:rPr>
      </w:pPr>
      <w:r>
        <w:rPr>
          <w:rFonts w:ascii="Times New Roman" w:cs="Times New Roman" w:eastAsia="Times New Roman" w:hAnsi="Times New Roman"/>
          <w:sz w:val="16"/>
          <w:szCs w:val="16"/>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payable on debt incurred to finance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•sales and purchases of our common stock and other securities;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•management fees and incentive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•administration fees payable under the Administration Agreement;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•federal and state registration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•all costs of registration and listing our securities on any securities exchange;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•U.S. federal, state and local taxes;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•independent directors’ fees and expenses;</w:t>
      </w:r>
    </w:p>
    <w:p>
      <w:pPr>
        <w:spacing w:after="0" w:line="92" w:lineRule="exact"/>
        <w:rPr>
          <w:sz w:val="20"/>
          <w:szCs w:val="20"/>
          <w:color w:val="auto"/>
        </w:rPr>
      </w:pPr>
    </w:p>
    <w:p>
      <w:pPr>
        <w:ind w:left="360" w:right="1280"/>
        <w:spacing w:after="0" w:line="360" w:lineRule="auto"/>
        <w:rPr>
          <w:sz w:val="20"/>
          <w:szCs w:val="20"/>
          <w:color w:val="auto"/>
        </w:rPr>
      </w:pPr>
      <w:r>
        <w:rPr>
          <w:rFonts w:ascii="Times New Roman" w:cs="Times New Roman" w:eastAsia="Times New Roman" w:hAnsi="Times New Roman"/>
          <w:sz w:val="16"/>
          <w:szCs w:val="16"/>
          <w:color w:val="auto"/>
        </w:rPr>
        <w:t>•costs of preparing and filing reports or other documents required by the SEC, the Financial Industry Regulatory Authority or other regulators; •costs of any reports, proxy statements or other notices to stockholders, including printing costs;</w:t>
      </w:r>
    </w:p>
    <w:p>
      <w:pPr>
        <w:ind w:left="360"/>
        <w:spacing w:after="0"/>
        <w:rPr>
          <w:sz w:val="20"/>
          <w:szCs w:val="20"/>
          <w:color w:val="auto"/>
        </w:rPr>
      </w:pPr>
      <w:r>
        <w:rPr>
          <w:rFonts w:ascii="Times New Roman" w:cs="Times New Roman" w:eastAsia="Times New Roman" w:hAnsi="Times New Roman"/>
          <w:sz w:val="16"/>
          <w:szCs w:val="16"/>
          <w:color w:val="auto"/>
        </w:rPr>
        <w:t>•our allocable portion of any fidelity bond, directors’ and officers’ errors and omissions liability insurance, and any other insurance premiums;</w:t>
      </w:r>
    </w:p>
    <w:p>
      <w:pPr>
        <w:spacing w:after="0" w:line="92"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•direct costs and expenses of administration, including printing, mailing, long distance telephone, copying, secretarial and other staff, independent auditors and outside legal costs; and</w:t>
      </w:r>
    </w:p>
    <w:p>
      <w:pPr>
        <w:spacing w:after="0" w:line="59" w:lineRule="exact"/>
        <w:rPr>
          <w:sz w:val="20"/>
          <w:szCs w:val="20"/>
          <w:color w:val="auto"/>
        </w:rPr>
      </w:pPr>
    </w:p>
    <w:p>
      <w:pPr>
        <w:ind w:left="360" w:right="140"/>
        <w:spacing w:after="0" w:line="247" w:lineRule="auto"/>
        <w:rPr>
          <w:sz w:val="20"/>
          <w:szCs w:val="20"/>
          <w:color w:val="auto"/>
        </w:rPr>
      </w:pPr>
      <w:r>
        <w:rPr>
          <w:rFonts w:ascii="Times New Roman" w:cs="Times New Roman" w:eastAsia="Times New Roman" w:hAnsi="Times New Roman"/>
          <w:sz w:val="16"/>
          <w:szCs w:val="16"/>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Operating expenses for the three months ended March 31, 2025 and 2024 were $19.8 million and $21.3 million, respectively. Operating expenses decreased for the three months ended March 31, 2025 from the three months ended March 31, 2024 primarily due to a decrease in performance -based incentive fees and interest and other debt financing expenses. Operating expenses per share for the three months ended March 31, 2025 and 2024 were $0.53 and $0.53, respectively.</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62" w:name="page63"/>
    <w:bookmarkEnd w:id="6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color w:val="auto"/>
        </w:rPr>
        <w:t>Management fees for the three months ended March 31, 2025 and 2024 were $4.0 million and $4.0 million, respectively. Management fees remained relatively unchanged for the three months ended March 31, 2025 when compared to the three months ended March 31, 2024.</w:t>
      </w:r>
    </w:p>
    <w:p>
      <w:pPr>
        <w:spacing w:after="0" w:line="11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Incentive fees for the three months ended March 31, 2025 and 2024 were $3.9 million and $ 4.7 million, respectively. Incentive fees decreased for the three months ended March 31, 2025 from the three months ended March 31, 2024 primarily due to a decrease in net investment income. For the three months ended March 31, 2025, $3.0 million of the incentive fees were payable in cash and $0.9 million were deferred and accrued. For the three months ended March 31, 2024, $3.6 million of the incentive fees were payable in cash and $1.1 million were deferred and accrued. Incentive fees per share for the three months ended March 31, 2025 and 2024 were $0.10 and $0.12,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Investment Income</w:t>
      </w:r>
    </w:p>
    <w:p>
      <w:pPr>
        <w:spacing w:after="0" w:line="15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Net investment income for the three months ended March 31, 2025 and 2024 was $15.6 million and $18.7 million, respectively. Net investment income decreased for the three months ended March 31, 2025 from the three months ended March 31, 2024 primarily due to a decrease in investment income related to falling interest rates and a decrease in average outstanding principal on debt investments. Net investment income per share for the three months ended March 31, 2025 and 2024 was $0.42 and $0.46,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Gain (Loss) on Investments</w:t>
      </w:r>
    </w:p>
    <w:p>
      <w:pPr>
        <w:spacing w:after="0" w:line="15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net realized gain on investments of $6.1 million for the three months ended March 31, 2025 was attributable to a realized gain on our investment in Gynesonics, Inc. offset by a realized loss on our investment in Quantum Corporation. There were no net realized gains or losses on investments for the three months ended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Change in Unrealized Gain (Loss) on Investments</w:t>
      </w:r>
    </w:p>
    <w:p>
      <w:pPr>
        <w:spacing w:after="0" w:line="15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Net change in unrealized loss on investments of $19.8 million for the three months ended March 31, 2025 was primarily due to a release of prior unrealized gain on our investment in Gynesonics, Inc. and a decrease in the fair value of our investments in JobGet Holdings, Inc. (fka Snagajob.com, Inc.), Marley Spoon SE, and zSpace, Inc. The decrease in fair value was partially offset by a release of prior unrealized loss on our investment in Quantum Corporation. The net change in unrealized loss on investments of $6.6 million for the three months ended March 31, 2024 was primarily due to a decrease in the fair value of our investments in CareCloud, Inc., JobGet Holdings, Inc. (fka Snagajob.com, Inc.), Mingle Healthcare Solutions, Inc., FiscalNote, Inc., and Coginiti Corp.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Increase (Decrease) in Net Assets Resulting from Operations</w:t>
      </w:r>
    </w:p>
    <w:p>
      <w:pPr>
        <w:spacing w:after="0" w:line="144"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We had a net increase in net assets resulting from operations of $1.9 million for the three months ended March 31, 2025, as compared to a net increase in net assets resulting from operations of $12.0 million for the three months ended March 31, 2024.</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63" w:name="page64"/>
    <w:bookmarkEnd w:id="6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Condition, Liquidity, Capital Resources and Obligations</w:t>
      </w:r>
    </w:p>
    <w:p>
      <w:pPr>
        <w:spacing w:after="0" w:line="15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2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During the three months ended March 31, 2025 and 2024, we principally funded our operations from (i) cash receipts from interest, dividend, and fee income from our investment portfolio, (ii) cash proceeds from the realization of portfolio investments through the repayments of debt investments and the sale of debt and equity investments, and (iii) borrowings under our Credit Facility.</w:t>
      </w:r>
    </w:p>
    <w:p>
      <w:pPr>
        <w:spacing w:after="0" w:line="11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During the three months ended March 31, 2025, our operating activities provided $73.6 million of cash and cash equivalents, compared to $68.6 million provided by operating activities during the three months ended March 31, 2024. The $5.0 million increase in cash provided by operating activities was primarily due to a decrease in purchases of investments.</w:t>
      </w:r>
    </w:p>
    <w:p>
      <w:pPr>
        <w:spacing w:after="0" w:line="116"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During the three months ended March 31, 2025, our financing activities used $ 61.0 million of cash, compared to $64.7 million used in financing activities during the three months ended March 31, 2024. The $3.7 million decrease in cash used in financing activities was primarily due to the timing of our dividend payment and decreased share repurchases of $10.6 million, offset by decreased net borrowing activity of $23.0 million.</w:t>
      </w:r>
    </w:p>
    <w:p>
      <w:pPr>
        <w:spacing w:after="0" w:line="128"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As of March 31, 2025, our net assets totaled $503.3 million, with a net asset value per share of $13.48. We intend to continue to operate in order to generate cash flows from operations, including income earned from investments in our portfolio companies. Our primary use of funds will be investments in portfolio companies and cash distributions to holders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 Liquidity and Capital Resources</w:t>
      </w:r>
    </w:p>
    <w:p>
      <w:pPr>
        <w:spacing w:after="0" w:line="15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As of March 31, 2025, we had $315.4 million in available liquidity, including $18.4 million in cash and cash equivalents, and $297.0 million available under our Credit Facility, subject to borrowing base capacity. As of March 31, 2025, we had $253.0 million of secured debt outstanding under our Credit Facility, which are floating interest rate obligations and $247.3 million of unsecured debt outstanding under the 2026 and 2027 Notes, which are all fixed interest rate debt obligations. Refer to "Note 7 – Borrowings" to our consolidated financial statements in Part I, Item 1 of this Form 10-Q for additional discussion of our debt obligations.</w:t>
      </w:r>
    </w:p>
    <w:p>
      <w:pPr>
        <w:spacing w:after="0" w:line="15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Pursuant to the 1940 Act, we are permitted to incur borrowings, issue debt securities, or issue preferred stock if, immediately after the borrowings or issuance, the ratio of total assets (less total liabilities other than indebtedness) to total indebtedness plus preferred stock is at least 150%. As of March 31, 2025 and December 31, 2024, our asset coverage ratio was 201% and 192%, respectively.</w:t>
      </w:r>
    </w:p>
    <w:p>
      <w:pPr>
        <w:spacing w:after="0" w:line="11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As detailed above, our diverse and well-structured balance sheet is designed to provide a long-term focused and sustainable investment platform. Currently, we believe we have sufficient liquidity to support our near-term capital requirements.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64" w:name="page65"/>
    <w:bookmarkEnd w:id="6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Commitments and Obligations</w:t>
      </w:r>
    </w:p>
    <w:p>
      <w:pPr>
        <w:spacing w:after="0" w:line="14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Our significant contractual payment obligations relate to our borrowings and deferred incentive fees. As of March 31, 2025, we had $500.3 million in debt outstanding, none of which was due within the next year, $ 247.3 million within 1 to 3 years, and $253.0 million beyond 3 years. As of March 31, 2025, we had $11.0 million of deferred incentive fees, $3.6 million of which was due within the next year, $4.9 million within 1 to 3 years, and $2.5 million beyond 3 years.</w:t>
      </w:r>
    </w:p>
    <w:p>
      <w:pPr>
        <w:spacing w:after="0" w:line="11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spacing w:after="0" w:line="11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Our unfunded commitments may be significant from time to time. As of March 31, 2025, we had a total of $162.2 million in unfunded commitments which was comprised of $132.8 million to provide debt financing to our portfolio companies and $29.4 million in unfunded commitments to provide equity financing to the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March 31, 2025, we had $24.8 million of available unfunded commitments to portfolio companies that are eligible to be drawn based on achieved milestones and $29.4 million in unfunded capital commitments to Runway-Cadma I LLC. Refer to "Note 8 – Commitments and Contingencies" to our consolidated financial statements in Part I, Item 1 of this Form 10-Q for a summary of unfunded commitments by portfolio company as of March 31, 2025.</w:t>
      </w:r>
    </w:p>
    <w:p>
      <w:pPr>
        <w:spacing w:after="0" w:line="128"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cs="Times New Roman" w:eastAsia="Times New Roman" w:hAnsi="Times New Roman"/>
          <w:sz w:val="16"/>
          <w:szCs w:val="16"/>
          <w:i w:val="1"/>
          <w:i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Repurchase Program</w:t>
      </w:r>
    </w:p>
    <w:p>
      <w:pPr>
        <w:spacing w:after="0" w:line="14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On February 24, 2022, our Board of Directors approved a share repurchase program (the "First Repurchase Program") under which we were authorized to repurchase up to $25.0 million of our outstanding common stock, at management’s discretion from time to time in open-market transactions and in accordance with all applicable securities laws and regulations. We repurchased 871,345 shares in connection with the First Repurchase Program for an aggregate purchase price of $10.8 million. The First Repurchase Program expired on February 24, 2023.</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November 2, 2023, our Board of Directors approved a share repurchase program (the "Second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1,961,938 shares in connection with the Second Repurchase Program for an aggregate purchase price of $23.5 million. The Second Repurchase Program expired on November 2, 2024.</w:t>
      </w:r>
    </w:p>
    <w:p>
      <w:pPr>
        <w:spacing w:after="0" w:line="11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On July 30, 2024, our Board of Directors approved a share repurchase program (the "Third Repurchase Program") under which we may repurchase up to $15.0 million of our outstanding shares of common stock, at management's discretion from time to time in open-market transactions and in accordance with all applicable securities laws and regulations. If not renewed, the Third Repurchase Program will terminate upon the earlier of (i) July 30, 2025 or (ii) the repurchase of $15.0 million of our shares of common stock. From the inception of the Third Repurchase Program through March 31, 2025, we repurchased 1,199,867 shares for an aggregate purchase price of $12.5 million.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5" w:name="page66"/>
    <w:bookmarkEnd w:id="6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64"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During the three months ended March 31, 2025, we declared dividends in the amount of $13.4 million of which $13.2 million were payable in cash and the remainder to be distributed in shares to stockholders pursuant to our Dividend Reinvestment Plan. For the three months ended March 31, 2024, we declared dividends in the amount of $19.0 million of which $18.8 million were distributed in cash and the remainder distributed in shares to stockholders pursuant to our Dividend Reinvestment Plan.</w:t>
      </w:r>
    </w:p>
    <w:p>
      <w:pPr>
        <w:spacing w:after="0" w:line="131"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Refer to "Note 9 – Net Assets" of our consolidated financial statements in Part I, Item 1 of this Form 10-Q for a summary of the distributions declared and paid since inception.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Estimates</w:t>
      </w:r>
    </w:p>
    <w:p>
      <w:pPr>
        <w:spacing w:after="0" w:line="19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 Summary of Significant Accounting Policies" to our consolidated financial statements in Part I, Item 1 of this Form 10-Q. We consider the most significant accounting policies to be those related to our Fair Value Measurements and Income Taxes.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6" w:name="page67"/>
    <w:bookmarkEnd w:id="6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9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as well as uncertainty with respect to trade policies, restrictions and tariffs, has introduced significant volatility in the financial markets, and the effects of this volatility could materially impact our market risks. For additional information concerning the market risks we face and their potential impact on our business and our operating results, see Part II, Item 1A. Risk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19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are subject to financial market risks, including changes in interest rates. Interest rate risk is defined as the sensitivity of our current and future earnings to interest rate volatility, variability of spread relationships, the difference in re -pricing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p>
    <w:p>
      <w:pPr>
        <w:spacing w:after="0" w:line="17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As of March 31, 2025, 96.3% of our performing debt portfolio investments bore interest at variable rates, of which 76.0% were based on SOFR and 24.0% were based on Prime.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$17.0 million and decrease our investment income by a maximum of $11.0 million, due to certain floors, on an annual basis.</w:t>
      </w:r>
    </w:p>
    <w:p>
      <w:pPr>
        <w:spacing w:after="0" w:line="167"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color w:val="auto"/>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refer to "Note 7 – Borrowings" to our consolidated financial statements in Part I, Item 1 of this Form 10-Q.</w:t>
      </w:r>
    </w:p>
    <w:p>
      <w:pPr>
        <w:spacing w:after="0" w:line="1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SWAP contracts and forward contracts subject to the requirements of the 1940 Act. While hedging activities may insulate us against adverse changes in interest rates, they may also</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7" w:name="page68"/>
    <w:bookmarkEnd w:id="6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limit our ability to participate in benefits of lower interest rates with respect to our portfolio of investments with fixed interest rates. As of March 31, 2025, we did not have any hedging instruments.</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9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92"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that occurred during our most recently completed fiscal quarter that have materially affected, or are reasonably likely to materially affect, our internal control over financial reporting.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68" w:name="page69"/>
    <w:bookmarkEnd w:id="6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5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would have a material effect upon our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5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You should carefully consider the risks contained in this quarterly report on Form 10-Q, including our interim consolidated financial statements and the related notes thereto, before making a decision to purchase our securities.</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There have been no material changes known to us during the period ended March 31, 2025 to the risk factors discussed in "Risk Factors" in Part I, Item 1A of our annual report on Form 10-K, as modified by the annual report on Form 10-K/A, for the fiscal year ended December 31, 2024, filed with the SEC on March 20, 2025 and March 27, 2025, respectively.</w:t>
      </w:r>
    </w:p>
    <w:p>
      <w:pPr>
        <w:spacing w:after="0" w:line="12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risks and uncertainties described in our annual report on Form 10-K are not the only ones we may face. Additional risks and uncertainties not currently known to us or that we currently deem to be immaterial also may materially adversely affect our business, financial condition and/or operating results. If any of the risks listed in our annual report on Form 10-K actually occur, our business, financial condition or results of operations could be materially adversely affected. If that happens, you may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38" w:lineRule="exact"/>
        <w:rPr>
          <w:sz w:val="20"/>
          <w:szCs w:val="20"/>
          <w:color w:val="auto"/>
        </w:rPr>
      </w:pPr>
    </w:p>
    <w:p>
      <w:pPr>
        <w:ind w:right="400"/>
        <w:spacing w:after="0" w:line="203" w:lineRule="exact"/>
        <w:rPr>
          <w:sz w:val="20"/>
          <w:szCs w:val="20"/>
          <w:color w:val="auto"/>
        </w:rPr>
      </w:pPr>
      <w:r>
        <w:rPr>
          <w:rFonts w:ascii="Times New Roman" w:cs="Times New Roman" w:eastAsia="Times New Roman" w:hAnsi="Times New Roman"/>
          <w:sz w:val="16"/>
          <w:szCs w:val="16"/>
          <w:color w:val="auto"/>
        </w:rPr>
        <w:t>Other than pursuant to our Dividend Reinvestment Plan, and except as previously reported by us on our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we did not sell any securities during the period covered by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that were not registered under the Securities Act.</w:t>
      </w:r>
    </w:p>
    <w:p>
      <w:pPr>
        <w:spacing w:after="0" w:line="1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As part of our Second Repurchase Program and Third Repurchase Program, we have maintained repurchase plans in accordance with Rule 10b5 -1 (collectively the "Rule 10b5-1 Plan") promulgated under the Securities Exchange Act of 1934, as amended (the "Exchange Act"). During the three months ended March 31, 2025, there were no shares repurchased under the Third Repurchase Program. Future repurchases may be made as open market or privately negotiated transactions as described above. The Second Repurchase Program expired on November 2, 2024. We have no obligation to repurchase stock under the Third Repurchase Program and may suspend or terminate the Third Repurchase Program at any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86" w:lineRule="exact"/>
        <w:rPr>
          <w:sz w:val="20"/>
          <w:szCs w:val="20"/>
          <w:color w:val="auto"/>
        </w:rPr>
      </w:pPr>
    </w:p>
    <w:p>
      <w:pPr>
        <w:ind w:left="220" w:hanging="214"/>
        <w:spacing w:after="0"/>
        <w:tabs>
          <w:tab w:leader="none" w:pos="220" w:val="left"/>
        </w:tabs>
        <w:numPr>
          <w:ilvl w:val="0"/>
          <w:numId w:val="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None.</w:t>
      </w:r>
    </w:p>
    <w:p>
      <w:pPr>
        <w:spacing w:after="0" w:line="152" w:lineRule="exact"/>
        <w:rPr>
          <w:rFonts w:ascii="Times New Roman" w:cs="Times New Roman" w:eastAsia="Times New Roman" w:hAnsi="Times New Roman"/>
          <w:sz w:val="16"/>
          <w:szCs w:val="16"/>
          <w:b w:val="1"/>
          <w:bCs w:val="1"/>
          <w:i w:val="1"/>
          <w:iCs w:val="1"/>
          <w:color w:val="auto"/>
        </w:rPr>
      </w:pPr>
    </w:p>
    <w:p>
      <w:pPr>
        <w:ind w:left="220" w:hanging="214"/>
        <w:spacing w:after="0"/>
        <w:tabs>
          <w:tab w:leader="none" w:pos="220" w:val="left"/>
        </w:tabs>
        <w:numPr>
          <w:ilvl w:val="0"/>
          <w:numId w:val="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None.</w:t>
      </w:r>
    </w:p>
    <w:p>
      <w:pPr>
        <w:spacing w:after="0" w:line="152" w:lineRule="exact"/>
        <w:rPr>
          <w:rFonts w:ascii="Times New Roman" w:cs="Times New Roman" w:eastAsia="Times New Roman" w:hAnsi="Times New Roman"/>
          <w:sz w:val="16"/>
          <w:szCs w:val="16"/>
          <w:b w:val="1"/>
          <w:bCs w:val="1"/>
          <w:i w:val="1"/>
          <w:iCs w:val="1"/>
          <w:color w:val="auto"/>
        </w:rPr>
      </w:pPr>
    </w:p>
    <w:p>
      <w:pPr>
        <w:ind w:left="220" w:hanging="214"/>
        <w:spacing w:after="0"/>
        <w:tabs>
          <w:tab w:leader="none" w:pos="220" w:val="left"/>
        </w:tabs>
        <w:numPr>
          <w:ilvl w:val="0"/>
          <w:numId w:val="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Rule 10b5-1 Disclosure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9" w:name="page70"/>
    <w:bookmarkEnd w:id="6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as part of this report or hereby incorporated by reference to exhibits previously filed with the SEC: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3.1</w:t>
            </w:r>
          </w:p>
        </w:tc>
        <w:tc>
          <w:tcPr>
            <w:tcW w:w="2180" w:type="dxa"/>
            <w:vAlign w:val="bottom"/>
            <w:gridSpan w:val="4"/>
            <w:vMerge w:val="restart"/>
          </w:tcPr>
          <w:p>
            <w:pPr>
              <w:spacing w:after="0"/>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Articles of Amendment and Restatement</w:t>
              </w:r>
            </w:hyperlink>
          </w:p>
        </w:tc>
        <w:tc>
          <w:tcPr>
            <w:tcW w:w="100" w:type="dxa"/>
            <w:vAlign w:val="bottom"/>
            <w:tcBorders>
              <w:bottom w:val="single" w:sz="8" w:color="0000EE"/>
            </w:tcBorders>
            <w:gridSpan w:val="2"/>
          </w:tcPr>
          <w:p>
            <w:pPr>
              <w:jc w:val="right"/>
              <w:spacing w:after="0"/>
              <w:rPr>
                <w:rFonts w:ascii="Times New Roman" w:cs="Times New Roman" w:eastAsia="Times New Roman" w:hAnsi="Times New Roman"/>
                <w:sz w:val="8"/>
                <w:szCs w:val="8"/>
                <w:color w:val="0000FF"/>
                <w:w w:val="85"/>
              </w:rPr>
            </w:pPr>
            <w:hyperlink r:id="rId87">
              <w:r>
                <w:rPr>
                  <w:rFonts w:ascii="Times New Roman" w:cs="Times New Roman" w:eastAsia="Times New Roman" w:hAnsi="Times New Roman"/>
                  <w:sz w:val="8"/>
                  <w:szCs w:val="8"/>
                  <w:color w:val="0000FF"/>
                  <w:w w:val="85"/>
                </w:rPr>
                <w:t>(1)</w:t>
              </w:r>
            </w:hyperlink>
          </w:p>
        </w:tc>
        <w:tc>
          <w:tcPr>
            <w:tcW w:w="3560" w:type="dxa"/>
            <w:vAlign w:val="bottom"/>
            <w:gridSpan w:val="3"/>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324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2180" w:type="dxa"/>
            <w:vAlign w:val="bottom"/>
            <w:tcBorders>
              <w:bottom w:val="single" w:sz="8" w:color="0000EE"/>
            </w:tcBorders>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3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3.2</w:t>
            </w:r>
          </w:p>
        </w:tc>
        <w:tc>
          <w:tcPr>
            <w:tcW w:w="1280" w:type="dxa"/>
            <w:vAlign w:val="bottom"/>
            <w:vMerge w:val="restart"/>
          </w:tcPr>
          <w:p>
            <w:pPr>
              <w:spacing w:after="0"/>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Articles of Amendment</w:t>
              </w:r>
            </w:hyperlink>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7"/>
                <w:szCs w:val="7"/>
                <w:color w:val="0000FF"/>
                <w:w w:val="72"/>
              </w:rPr>
              <w:t>(2)</w:t>
            </w:r>
          </w:p>
        </w:tc>
        <w:tc>
          <w:tcPr>
            <w:tcW w:w="740" w:type="dxa"/>
            <w:vAlign w:val="bottom"/>
            <w:vMerge w:val="restart"/>
          </w:tcPr>
          <w:p>
            <w:pPr>
              <w:spacing w:after="0"/>
              <w:rPr>
                <w:sz w:val="20"/>
                <w:szCs w:val="20"/>
                <w:color w:val="auto"/>
              </w:rPr>
            </w:pPr>
          </w:p>
        </w:tc>
        <w:tc>
          <w:tcPr>
            <w:tcW w:w="100" w:type="dxa"/>
            <w:vAlign w:val="bottom"/>
            <w:gridSpan w:val="2"/>
          </w:tcPr>
          <w:p>
            <w:pPr>
              <w:spacing w:after="0"/>
              <w:rPr>
                <w:sz w:val="20"/>
                <w:szCs w:val="20"/>
                <w:color w:val="auto"/>
              </w:rPr>
            </w:pPr>
          </w:p>
        </w:tc>
        <w:tc>
          <w:tcPr>
            <w:tcW w:w="3640" w:type="dxa"/>
            <w:vAlign w:val="bottom"/>
            <w:gridSpan w:val="4"/>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324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1280" w:type="dxa"/>
            <w:vAlign w:val="bottom"/>
            <w:tcBorders>
              <w:bottom w:val="single" w:sz="8" w:color="0000E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0000FF"/>
                <w:w w:val="85"/>
              </w:rPr>
              <w:t>(2)</w:t>
            </w:r>
          </w:p>
        </w:tc>
        <w:tc>
          <w:tcPr>
            <w:tcW w:w="36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3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3.3</w:t>
            </w:r>
          </w:p>
        </w:tc>
        <w:tc>
          <w:tcPr>
            <w:tcW w:w="2100" w:type="dxa"/>
            <w:vAlign w:val="bottom"/>
            <w:gridSpan w:val="3"/>
            <w:vMerge w:val="restart"/>
          </w:tcPr>
          <w:p>
            <w:pPr>
              <w:spacing w:after="0"/>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Second Amended and Restated Bylaws</w:t>
              </w:r>
            </w:hyperlink>
          </w:p>
        </w:tc>
        <w:tc>
          <w:tcPr>
            <w:tcW w:w="100" w:type="dxa"/>
            <w:vAlign w:val="bottom"/>
            <w:tcBorders>
              <w:bottom w:val="single" w:sz="8" w:color="0000EE"/>
            </w:tcBorders>
            <w:gridSpan w:val="2"/>
            <w:vMerge w:val="continue"/>
          </w:tcPr>
          <w:p>
            <w:pPr>
              <w:spacing w:after="0"/>
              <w:rPr>
                <w:sz w:val="20"/>
                <w:szCs w:val="20"/>
                <w:color w:val="auto"/>
              </w:rPr>
            </w:pPr>
          </w:p>
        </w:tc>
        <w:tc>
          <w:tcPr>
            <w:tcW w:w="3640" w:type="dxa"/>
            <w:vAlign w:val="bottom"/>
            <w:gridSpan w:val="4"/>
            <w:vMerge w:val="restart"/>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2100" w:type="dxa"/>
            <w:vAlign w:val="bottom"/>
            <w:tcBorders>
              <w:bottom w:val="single" w:sz="8" w:color="0000EE"/>
            </w:tcBorders>
            <w:gridSpan w:val="3"/>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3640" w:type="dxa"/>
            <w:vAlign w:val="bottom"/>
            <w:gridSpan w:val="4"/>
            <w:vMerge w:val="continue"/>
          </w:tcPr>
          <w:p>
            <w:pPr>
              <w:spacing w:after="0"/>
              <w:rPr>
                <w:sz w:val="3"/>
                <w:szCs w:val="3"/>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0000FF"/>
                <w:w w:val="72"/>
              </w:rPr>
              <w:t>(3)</w:t>
            </w:r>
          </w:p>
        </w:tc>
        <w:tc>
          <w:tcPr>
            <w:tcW w:w="3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4.1</w:t>
            </w:r>
          </w:p>
        </w:tc>
        <w:tc>
          <w:tcPr>
            <w:tcW w:w="5840" w:type="dxa"/>
            <w:vAlign w:val="bottom"/>
            <w:gridSpan w:val="9"/>
            <w:vMerge w:val="restart"/>
          </w:tcPr>
          <w:p>
            <w:pPr>
              <w:spacing w:after="0"/>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Master Note Purchase Agreement dated April 7, 2025 for 7.51% Series 2025A Senior Notes due April 7, 2028</w:t>
              </w:r>
            </w:hyperlink>
          </w:p>
        </w:tc>
        <w:tc>
          <w:tcPr>
            <w:tcW w:w="80" w:type="dxa"/>
            <w:vAlign w:val="bottom"/>
            <w:tcBorders>
              <w:bottom w:val="single" w:sz="8" w:color="0000EE"/>
            </w:tcBorders>
            <w:vMerge w:val="continue"/>
          </w:tcPr>
          <w:p>
            <w:pPr>
              <w:spacing w:after="0"/>
              <w:rPr>
                <w:sz w:val="20"/>
                <w:szCs w:val="20"/>
                <w:color w:val="auto"/>
              </w:rPr>
            </w:pPr>
          </w:p>
        </w:tc>
        <w:tc>
          <w:tcPr>
            <w:tcW w:w="324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5840" w:type="dxa"/>
            <w:vAlign w:val="bottom"/>
            <w:tcBorders>
              <w:bottom w:val="single" w:sz="8" w:color="0000EE"/>
            </w:tcBorders>
            <w:gridSpan w:val="9"/>
            <w:vMerge w:val="continue"/>
          </w:tcPr>
          <w:p>
            <w:pPr>
              <w:spacing w:after="0"/>
              <w:rPr>
                <w:sz w:val="3"/>
                <w:szCs w:val="3"/>
                <w:color w:val="auto"/>
              </w:rPr>
            </w:pPr>
          </w:p>
        </w:tc>
        <w:tc>
          <w:tcPr>
            <w:tcW w:w="80" w:type="dxa"/>
            <w:vAlign w:val="bottom"/>
          </w:tcPr>
          <w:p>
            <w:pPr>
              <w:spacing w:after="0"/>
              <w:rPr>
                <w:sz w:val="3"/>
                <w:szCs w:val="3"/>
                <w:color w:val="auto"/>
              </w:rPr>
            </w:pPr>
          </w:p>
        </w:tc>
        <w:tc>
          <w:tcPr>
            <w:tcW w:w="3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9160" w:type="dxa"/>
            <w:vAlign w:val="bottom"/>
            <w:gridSpan w:val="13"/>
          </w:tcPr>
          <w:p>
            <w:pPr>
              <w:spacing w:after="0" w:line="150"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14 of the Securities Exchange Act of 1934, as amended*</w:t>
              </w:r>
            </w:hyperlink>
          </w:p>
        </w:tc>
        <w:tc>
          <w:tcPr>
            <w:tcW w:w="0" w:type="dxa"/>
            <w:vAlign w:val="bottom"/>
          </w:tcPr>
          <w:p>
            <w:pPr>
              <w:spacing w:after="0"/>
              <w:rPr>
                <w:sz w:val="1"/>
                <w:szCs w:val="1"/>
                <w:color w:val="auto"/>
              </w:rPr>
            </w:pPr>
          </w:p>
        </w:tc>
      </w:tr>
      <w:tr>
        <w:trPr>
          <w:trHeight w:val="29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6260" w:type="dxa"/>
            <w:vAlign w:val="bottom"/>
            <w:tcBorders>
              <w:top w:val="single" w:sz="8" w:color="0000EE"/>
            </w:tcBorders>
            <w:gridSpan w:val="12"/>
          </w:tcPr>
          <w:p>
            <w:pPr>
              <w:spacing w:after="0" w:line="150"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14 of the Securities Exchange Act of 1934, as amended*</w:t>
              </w:r>
            </w:hyperlink>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6220" w:type="dxa"/>
            <w:vAlign w:val="bottom"/>
            <w:tcBorders>
              <w:top w:val="single" w:sz="8" w:color="0000EE"/>
            </w:tcBorders>
            <w:gridSpan w:val="11"/>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2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53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c>
          <w:tcPr>
            <w:tcW w:w="20" w:type="dxa"/>
            <w:vAlign w:val="bottom"/>
            <w:tcBorders>
              <w:top w:val="single" w:sz="8" w:color="0000EE"/>
            </w:tcBorders>
          </w:tcPr>
          <w:p>
            <w:pPr>
              <w:spacing w:after="0"/>
              <w:rPr>
                <w:sz w:val="24"/>
                <w:szCs w:val="24"/>
                <w:color w:val="auto"/>
              </w:rPr>
            </w:pPr>
          </w:p>
        </w:tc>
        <w:tc>
          <w:tcPr>
            <w:tcW w:w="3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 *</w:t>
            </w:r>
          </w:p>
        </w:tc>
        <w:tc>
          <w:tcPr>
            <w:tcW w:w="0" w:type="dxa"/>
            <w:vAlign w:val="bottom"/>
          </w:tcPr>
          <w:p>
            <w:pPr>
              <w:spacing w:after="0"/>
              <w:rPr>
                <w:sz w:val="1"/>
                <w:szCs w:val="1"/>
                <w:color w:val="auto"/>
              </w:rPr>
            </w:pP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91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The cover page from the Company's Quarterly Report on Form 10-Q for the quarter ended March 31, 2025 has been formatted in Inline XBRL.*</w:t>
            </w: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600" w:hanging="207"/>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Filed herewith.</w:t>
      </w:r>
    </w:p>
    <w:p>
      <w:pPr>
        <w:spacing w:after="0" w:line="79"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 filed with the SEC on December 19, 2016.</w:t>
      </w:r>
    </w:p>
    <w:p>
      <w:pPr>
        <w:spacing w:after="0" w:line="104"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 filed with the SEC on August 19, 2021.</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3"/>
          <w:szCs w:val="13"/>
          <w:color w:val="auto"/>
        </w:rPr>
        <w:t>Previously filed as an exhibit to the Registrant's Current Report on Form 8-K filed with the SEC on April 7, 2025.</w:t>
      </w: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20"/>
          </w:cols>
          <w:pgMar w:left="660" w:top="555" w:right="1220" w:bottom="1440" w:gutter="0" w:footer="0" w:header="0"/>
        </w:sectPr>
      </w:pPr>
    </w:p>
    <w:bookmarkStart w:id="70" w:name="page71"/>
    <w:bookmarkEnd w:id="7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12, 2025</w:t>
      </w:r>
    </w:p>
    <w:tbl>
      <w:tblPr>
        <w:tblLayout w:type="fixed"/>
        <w:tblInd w:w="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7320" w:type="dxa"/>
            <w:vAlign w:val="bottom"/>
            <w:gridSpan w:val="2"/>
          </w:tcPr>
          <w:p>
            <w:pPr>
              <w:ind w:left="2160"/>
              <w:spacing w:after="0" w:line="175" w:lineRule="exact"/>
              <w:rPr>
                <w:sz w:val="20"/>
                <w:szCs w:val="20"/>
                <w:color w:val="auto"/>
              </w:rPr>
            </w:pPr>
            <w:r>
              <w:rPr>
                <w:rFonts w:ascii="Times New Roman" w:cs="Times New Roman" w:eastAsia="Times New Roman" w:hAnsi="Times New Roman"/>
                <w:sz w:val="16"/>
                <w:szCs w:val="16"/>
                <w:color w:val="auto"/>
              </w:rPr>
              <w:t>By: /s/ R. David Spreng</w:t>
            </w:r>
          </w:p>
        </w:tc>
      </w:tr>
      <w:tr>
        <w:trPr>
          <w:trHeight w:val="159"/>
        </w:trPr>
        <w:tc>
          <w:tcPr>
            <w:tcW w:w="3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8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R. David Spreng</w:t>
            </w:r>
          </w:p>
        </w:tc>
      </w:tr>
      <w:tr>
        <w:trPr>
          <w:trHeight w:val="180"/>
        </w:trPr>
        <w:tc>
          <w:tcPr>
            <w:tcW w:w="3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President, Chief Executive Officer</w:t>
            </w:r>
          </w:p>
        </w:tc>
      </w:tr>
      <w:tr>
        <w:trPr>
          <w:trHeight w:val="203"/>
        </w:trPr>
        <w:tc>
          <w:tcPr>
            <w:tcW w:w="3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5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Date: May 12, 2025</w:t>
            </w:r>
          </w:p>
        </w:tc>
        <w:tc>
          <w:tcPr>
            <w:tcW w:w="7320" w:type="dxa"/>
            <w:vAlign w:val="bottom"/>
            <w:gridSpan w:val="2"/>
          </w:tcPr>
          <w:p>
            <w:pPr>
              <w:ind w:left="2160"/>
              <w:spacing w:after="0"/>
              <w:rPr>
                <w:sz w:val="20"/>
                <w:szCs w:val="20"/>
                <w:color w:val="auto"/>
              </w:rPr>
            </w:pPr>
            <w:r>
              <w:rPr>
                <w:rFonts w:ascii="Times New Roman" w:cs="Times New Roman" w:eastAsia="Times New Roman" w:hAnsi="Times New Roman"/>
                <w:sz w:val="16"/>
                <w:szCs w:val="16"/>
                <w:color w:val="auto"/>
              </w:rPr>
              <w:t>By: /s/ Thomas B. Raterman</w:t>
            </w:r>
          </w:p>
        </w:tc>
      </w:tr>
      <w:tr>
        <w:trPr>
          <w:trHeight w:val="159"/>
        </w:trPr>
        <w:tc>
          <w:tcPr>
            <w:tcW w:w="3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8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Thomas B. Raterman</w:t>
            </w:r>
          </w:p>
        </w:tc>
      </w:tr>
      <w:tr>
        <w:trPr>
          <w:trHeight w:val="180"/>
        </w:trPr>
        <w:tc>
          <w:tcPr>
            <w:tcW w:w="3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Chief Financial Officer, Treasurer and Secretary</w:t>
            </w:r>
          </w:p>
        </w:tc>
      </w:tr>
      <w:tr>
        <w:trPr>
          <w:trHeight w:val="203"/>
        </w:trPr>
        <w:tc>
          <w:tcPr>
            <w:tcW w:w="3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576"/>
        </w:trPr>
        <w:tc>
          <w:tcPr>
            <w:tcW w:w="3240" w:type="dxa"/>
            <w:vAlign w:val="bottom"/>
          </w:tcPr>
          <w:p>
            <w:pPr>
              <w:spacing w:after="0"/>
              <w:rPr>
                <w:sz w:val="24"/>
                <w:szCs w:val="24"/>
                <w:color w:val="auto"/>
              </w:rPr>
            </w:pPr>
          </w:p>
        </w:tc>
        <w:tc>
          <w:tcPr>
            <w:tcW w:w="24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69</w:t>
            </w:r>
          </w:p>
        </w:tc>
        <w:tc>
          <w:tcPr>
            <w:tcW w:w="4840" w:type="dxa"/>
            <w:vAlign w:val="bottom"/>
          </w:tcPr>
          <w:p>
            <w:pPr>
              <w:spacing w:after="0"/>
              <w:rPr>
                <w:sz w:val="24"/>
                <w:szCs w:val="24"/>
                <w:color w:val="auto"/>
              </w:rPr>
            </w:pPr>
          </w:p>
        </w:tc>
      </w:tr>
      <w:tr>
        <w:trPr>
          <w:trHeight w:val="674"/>
        </w:trPr>
        <w:tc>
          <w:tcPr>
            <w:tcW w:w="3240" w:type="dxa"/>
            <w:vAlign w:val="bottom"/>
            <w:tcBorders>
              <w:bottom w:val="single" w:sz="8" w:color="EEEEEE"/>
            </w:tcBorders>
          </w:tcPr>
          <w:p>
            <w:pPr>
              <w:spacing w:after="0"/>
              <w:rPr>
                <w:sz w:val="24"/>
                <w:szCs w:val="24"/>
                <w:color w:val="auto"/>
              </w:rPr>
            </w:pPr>
          </w:p>
        </w:tc>
        <w:tc>
          <w:tcPr>
            <w:tcW w:w="2480" w:type="dxa"/>
            <w:vAlign w:val="bottom"/>
            <w:tcBorders>
              <w:bottom w:val="single" w:sz="8" w:color="EEEEEE"/>
            </w:tcBorders>
          </w:tcPr>
          <w:p>
            <w:pPr>
              <w:spacing w:after="0"/>
              <w:rPr>
                <w:sz w:val="24"/>
                <w:szCs w:val="24"/>
                <w:color w:val="auto"/>
              </w:rPr>
            </w:pPr>
          </w:p>
        </w:tc>
        <w:tc>
          <w:tcPr>
            <w:tcW w:w="48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 David Spreng, as Chief Executive Officer,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Runway Growth Finance Corp.;</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Date: May 12, 2025</w:t>
            </w:r>
          </w:p>
        </w:tc>
        <w:tc>
          <w:tcPr>
            <w:tcW w:w="31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6"/>
              </w:rPr>
              <w:t>/s/ R. David Spreng</w:t>
            </w:r>
          </w:p>
        </w:tc>
      </w:tr>
      <w:tr>
        <w:trPr>
          <w:trHeight w:val="180"/>
        </w:trPr>
        <w:tc>
          <w:tcPr>
            <w:tcW w:w="3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R. David Spreng</w:t>
            </w:r>
          </w:p>
        </w:tc>
      </w:tr>
      <w:tr>
        <w:trPr>
          <w:trHeight w:val="205"/>
        </w:trPr>
        <w:tc>
          <w:tcPr>
            <w:tcW w:w="3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120" w:type="dxa"/>
            <w:vAlign w:val="bottom"/>
          </w:tcPr>
          <w:p>
            <w:pPr>
              <w:jc w:val="center"/>
              <w:ind w:right="722"/>
              <w:spacing w:after="0"/>
              <w:rPr>
                <w:sz w:val="20"/>
                <w:szCs w:val="20"/>
                <w:color w:val="auto"/>
              </w:rPr>
            </w:pPr>
            <w:r>
              <w:rPr>
                <w:rFonts w:ascii="Times New Roman" w:cs="Times New Roman" w:eastAsia="Times New Roman" w:hAnsi="Times New Roman"/>
                <w:sz w:val="16"/>
                <w:szCs w:val="16"/>
                <w:b w:val="1"/>
                <w:bCs w:val="1"/>
                <w:color w:val="auto"/>
                <w:w w:val="96"/>
              </w:rPr>
              <w:t>Chief Executive Officer</w:t>
            </w:r>
          </w:p>
        </w:tc>
      </w:tr>
      <w:tr>
        <w:trPr>
          <w:trHeight w:val="1226"/>
        </w:trPr>
        <w:tc>
          <w:tcPr>
            <w:tcW w:w="3280" w:type="dxa"/>
            <w:vAlign w:val="bottom"/>
            <w:tcBorders>
              <w:bottom w:val="single" w:sz="8" w:color="EEEEEE"/>
            </w:tcBorders>
          </w:tcPr>
          <w:p>
            <w:pPr>
              <w:spacing w:after="0"/>
              <w:rPr>
                <w:sz w:val="24"/>
                <w:szCs w:val="24"/>
                <w:color w:val="auto"/>
              </w:rPr>
            </w:pPr>
          </w:p>
        </w:tc>
        <w:tc>
          <w:tcPr>
            <w:tcW w:w="316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Thomas B. Raterman, as Chief Financial Officer,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Runway Growth Finance Corp.;</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Date: May 12, 2025</w:t>
            </w:r>
          </w:p>
        </w:tc>
        <w:tc>
          <w:tcPr>
            <w:tcW w:w="31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6"/>
              </w:rPr>
              <w:t>/s/ Thomas B. Raterman</w:t>
            </w:r>
          </w:p>
        </w:tc>
      </w:tr>
      <w:tr>
        <w:trPr>
          <w:trHeight w:val="180"/>
        </w:trPr>
        <w:tc>
          <w:tcPr>
            <w:tcW w:w="3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Thomas B. Raterman</w:t>
            </w:r>
          </w:p>
        </w:tc>
      </w:tr>
      <w:tr>
        <w:trPr>
          <w:trHeight w:val="205"/>
        </w:trPr>
        <w:tc>
          <w:tcPr>
            <w:tcW w:w="3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b w:val="1"/>
                <w:bCs w:val="1"/>
                <w:color w:val="auto"/>
                <w:w w:val="97"/>
              </w:rPr>
              <w:t>Chief Financial Officer</w:t>
            </w:r>
          </w:p>
        </w:tc>
      </w:tr>
      <w:tr>
        <w:trPr>
          <w:trHeight w:val="1034"/>
        </w:trPr>
        <w:tc>
          <w:tcPr>
            <w:tcW w:w="3280" w:type="dxa"/>
            <w:vAlign w:val="bottom"/>
            <w:tcBorders>
              <w:bottom w:val="single" w:sz="8" w:color="EEEEEE"/>
            </w:tcBorders>
          </w:tcPr>
          <w:p>
            <w:pPr>
              <w:spacing w:after="0"/>
              <w:rPr>
                <w:sz w:val="24"/>
                <w:szCs w:val="24"/>
                <w:color w:val="auto"/>
              </w:rPr>
            </w:pPr>
          </w:p>
        </w:tc>
        <w:tc>
          <w:tcPr>
            <w:tcW w:w="316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ind w:right="20"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Runway Growth Finance Corp.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Date: May 12, 2025</w:t>
            </w:r>
          </w:p>
        </w:tc>
        <w:tc>
          <w:tcPr>
            <w:tcW w:w="31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6"/>
              </w:rPr>
              <w:t>/s/ R. David Spreng</w:t>
            </w:r>
          </w:p>
        </w:tc>
      </w:tr>
      <w:tr>
        <w:trPr>
          <w:trHeight w:val="180"/>
        </w:trPr>
        <w:tc>
          <w:tcPr>
            <w:tcW w:w="3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R. David Spreng</w:t>
            </w:r>
          </w:p>
        </w:tc>
      </w:tr>
      <w:tr>
        <w:trPr>
          <w:trHeight w:val="205"/>
        </w:trPr>
        <w:tc>
          <w:tcPr>
            <w:tcW w:w="3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120" w:type="dxa"/>
            <w:vAlign w:val="bottom"/>
          </w:tcPr>
          <w:p>
            <w:pPr>
              <w:jc w:val="center"/>
              <w:ind w:right="722"/>
              <w:spacing w:after="0"/>
              <w:rPr>
                <w:sz w:val="20"/>
                <w:szCs w:val="20"/>
                <w:color w:val="auto"/>
              </w:rPr>
            </w:pPr>
            <w:r>
              <w:rPr>
                <w:rFonts w:ascii="Times New Roman" w:cs="Times New Roman" w:eastAsia="Times New Roman" w:hAnsi="Times New Roman"/>
                <w:sz w:val="16"/>
                <w:szCs w:val="16"/>
                <w:b w:val="1"/>
                <w:bCs w:val="1"/>
                <w:color w:val="auto"/>
                <w:w w:val="96"/>
              </w:rPr>
              <w:t>Chief Executive Officer</w:t>
            </w:r>
          </w:p>
        </w:tc>
      </w:tr>
      <w:tr>
        <w:trPr>
          <w:trHeight w:val="1034"/>
        </w:trPr>
        <w:tc>
          <w:tcPr>
            <w:tcW w:w="3280" w:type="dxa"/>
            <w:vAlign w:val="bottom"/>
            <w:tcBorders>
              <w:bottom w:val="single" w:sz="8" w:color="EEEEEE"/>
            </w:tcBorders>
          </w:tcPr>
          <w:p>
            <w:pPr>
              <w:spacing w:after="0"/>
              <w:rPr>
                <w:sz w:val="24"/>
                <w:szCs w:val="24"/>
                <w:color w:val="auto"/>
              </w:rPr>
            </w:pPr>
          </w:p>
        </w:tc>
        <w:tc>
          <w:tcPr>
            <w:tcW w:w="316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ind w:right="20"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Runway Growth Finance Corp.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Date: May 12, 2025</w:t>
            </w:r>
          </w:p>
        </w:tc>
        <w:tc>
          <w:tcPr>
            <w:tcW w:w="31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6"/>
              </w:rPr>
              <w:t>/s/ Thomas B. Raterman</w:t>
            </w:r>
          </w:p>
        </w:tc>
      </w:tr>
      <w:tr>
        <w:trPr>
          <w:trHeight w:val="180"/>
        </w:trPr>
        <w:tc>
          <w:tcPr>
            <w:tcW w:w="3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Thomas B. Raterman</w:t>
            </w:r>
          </w:p>
        </w:tc>
      </w:tr>
      <w:tr>
        <w:trPr>
          <w:trHeight w:val="205"/>
        </w:trPr>
        <w:tc>
          <w:tcPr>
            <w:tcW w:w="3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b w:val="1"/>
                <w:bCs w:val="1"/>
                <w:color w:val="auto"/>
                <w:w w:val="97"/>
              </w:rPr>
              <w:t>Chief Financial Officer</w:t>
            </w:r>
          </w:p>
        </w:tc>
      </w:tr>
      <w:tr>
        <w:trPr>
          <w:trHeight w:val="1226"/>
        </w:trPr>
        <w:tc>
          <w:tcPr>
            <w:tcW w:w="3280" w:type="dxa"/>
            <w:vAlign w:val="bottom"/>
            <w:tcBorders>
              <w:bottom w:val="single" w:sz="8" w:color="EEEEEE"/>
            </w:tcBorders>
          </w:tcPr>
          <w:p>
            <w:pPr>
              <w:spacing w:after="0"/>
              <w:rPr>
                <w:sz w:val="24"/>
                <w:szCs w:val="24"/>
                <w:color w:val="auto"/>
              </w:rPr>
            </w:pPr>
          </w:p>
        </w:tc>
        <w:tc>
          <w:tcPr>
            <w:tcW w:w="316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5" w:name="page76"/>
    <w:bookmarkEnd w:id="7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5"/>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87" Type="http://schemas.openxmlformats.org/officeDocument/2006/relationships/hyperlink" Target="https://www.sec.gov/Archives/edgar/data/1653384/000114420416140270/v454968_ex3-1.htm" TargetMode="External"/><Relationship Id="rId88" Type="http://schemas.openxmlformats.org/officeDocument/2006/relationships/hyperlink" Target="https://www.sec.gov/Archives/edgar/data/0001653384/000165338421000016/rgc-20210819ex31cb84ffa.htm" TargetMode="External"/><Relationship Id="rId89" Type="http://schemas.openxmlformats.org/officeDocument/2006/relationships/hyperlink" Target="https://www.sec.gov/Archives/edgar/data/0001653384/000165338421000016/rgc-20210819ex32804659c.htm" TargetMode="External"/><Relationship Id="rId90" Type="http://schemas.openxmlformats.org/officeDocument/2006/relationships/hyperlink" Target="https://www.sec.gov/Archives/edgar/data/1653384/000110465925033086/tm251186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2025-05-12T15:28:27Z</dcterms:created>
  <dcterms:modified xsi:type="dcterms:W3CDTF">2025-05-12T15:28:27Z</dcterms:modified>
</cp:coreProperties>
</file>