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jc w:val="left"/>
        <w:rPr/>
      </w:pPr>
      <w:hyperlink w:anchor="toc">
        <w:bookmarkStart w:id="0" w:name="rway-20231231.htm"/>
        <w:bookmarkStart w:id="1" w:name="ksrway20231231"/>
        <w:bookmarkEnd w:id="0"/>
        <w:bookmarkEnd w:id="1"/>
        <w:r>
          <w:rPr>
            <w:rStyle w:val="InternetLink"/>
            <w:rFonts w:ascii="Times New Roman" w:hAnsi="Times New Roman"/>
            <w:color w:val="0563C1"/>
            <w:sz w:val="20"/>
          </w:rPr>
          <w:t>Table of Contents</w:t>
        </w:r>
      </w:hyperlink>
    </w:p>
    <w:p>
      <w:pPr>
        <w:pStyle w:val="TextBody"/>
        <w:pBdr>
          <w:top w:val="single" w:sz="24" w:space="1" w:color="000000"/>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16"/>
        </w:rPr>
      </w:pPr>
      <w:r>
        <w:rPr>
          <w:rFonts w:ascii="Times New Roman" w:hAnsi="Times New Roman"/>
          <w:b/>
          <w:color w:val="000000"/>
          <w:sz w:val="16"/>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FORM 10-K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both"/>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color w:val="000000"/>
        </w:rPr>
        <w:t xml:space="preserve">☒ </w:t>
      </w:r>
      <w:r>
        <w:rPr>
          <w:rFonts w:ascii="Times New Roman" w:hAnsi="Times New Roman"/>
          <w:b/>
          <w:color w:val="000000"/>
          <w:sz w:val="16"/>
        </w:rPr>
        <w:t>ANNUAL REPORT PURSUANT TO SECTION 13 OR 15(d) OF THE SECURITIES EXCHANGE ACT OF 1934</w:t>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 THE FISCAL YEAR ENDED December 31, 2023</w:t>
      </w:r>
    </w:p>
    <w:p>
      <w:pPr>
        <w:pStyle w:val="TextBody"/>
        <w:bidi w:val="0"/>
        <w:jc w:val="center"/>
        <w:rPr/>
      </w:pPr>
      <w:r>
        <w:rPr/>
        <w:t> </w:t>
      </w:r>
    </w:p>
    <w:p>
      <w:pPr>
        <w:pStyle w:val="TextBody"/>
        <w:bidi w:val="0"/>
        <w:jc w:val="left"/>
        <w:rPr/>
      </w:pPr>
      <w:r>
        <w:rPr>
          <w:color w:val="000000"/>
        </w:rPr>
        <w:t xml:space="preserve">☐ </w:t>
      </w:r>
      <w:r>
        <w:rPr>
          <w:rFonts w:ascii="Times New Roman" w:hAnsi="Times New Roman"/>
          <w:b/>
          <w:color w:val="000000"/>
          <w:sz w:val="16"/>
        </w:rPr>
        <w:t>TRANSITION REPORT PURSUANT TO SECTION 13 OR 15(d) OF THE SECURITIES EXCHANGE ACT OF 1934</w:t>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COMMISSION FILE NUMBER: 814-01180</w:t>
      </w:r>
    </w:p>
    <w:p>
      <w:pPr>
        <w:pStyle w:val="TextBody"/>
        <w:bidi w:val="0"/>
        <w:jc w:val="center"/>
        <w:rPr>
          <w:rFonts w:ascii="Times New Roman" w:hAnsi="Times New Roman"/>
          <w:b/>
          <w:color w:val="000000"/>
          <w:sz w:val="32"/>
        </w:rPr>
      </w:pPr>
      <w:r>
        <w:rPr>
          <w:rFonts w:ascii="Times New Roman" w:hAnsi="Times New Roman"/>
          <w:b/>
          <w:color w:val="000000"/>
          <w:sz w:val="32"/>
        </w:rPr>
        <w:t>Runway Growth Finance Corp.</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bidi w:val="0"/>
        <w:jc w:val="center"/>
        <w:rPr/>
      </w:pPr>
      <w:r>
        <w:rPr/>
        <w:t> </w:t>
      </w:r>
    </w:p>
    <w:tbl>
      <w:tblPr>
        <w:tblW w:w="5728" w:type="dxa"/>
        <w:jc w:val="left"/>
        <w:tblInd w:w="0" w:type="dxa"/>
        <w:tblLayout w:type="fixed"/>
        <w:tblCellMar>
          <w:top w:w="28" w:type="dxa"/>
          <w:left w:w="28" w:type="dxa"/>
          <w:bottom w:w="28" w:type="dxa"/>
          <w:right w:w="28" w:type="dxa"/>
        </w:tblCellMar>
      </w:tblPr>
      <w:tblGrid>
        <w:gridCol w:w="2866"/>
        <w:gridCol w:w="2671"/>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Maryland </w:t>
            </w:r>
            <w:r>
              <w:rPr>
                <w:rFonts w:ascii="Times New Roman" w:hAnsi="Times New Roman"/>
                <w:color w:val="000000"/>
                <w:sz w:val="16"/>
              </w:rPr>
              <w:br/>
              <w:t xml:space="preserve">(State of incorporation) </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47-5049745</w:t>
            </w:r>
            <w:r>
              <w:rPr>
                <w:rFonts w:ascii="Times New Roman" w:hAnsi="Times New Roman"/>
                <w:color w:val="000000"/>
                <w:sz w:val="16"/>
              </w:rPr>
              <w:t xml:space="preserve"> </w:t>
              <w:br/>
              <w:t xml:space="preserve">(I.R.S. Employer Identification No.) </w:t>
            </w:r>
          </w:p>
        </w:tc>
        <w:tc>
          <w:tcPr>
            <w:tcW w:w="191" w:type="dxa"/>
            <w:tcBorders/>
            <w:vAlign w:val="center"/>
          </w:tcPr>
          <w:p>
            <w:pPr>
              <w:pStyle w:val="TableContents"/>
              <w:bidi w:val="0"/>
              <w:spacing w:before="0" w:after="283"/>
              <w:jc w:val="center"/>
              <w:rPr/>
            </w:pPr>
            <w:r>
              <w:rPr/>
              <w:t> </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205 N. Michigan Ave., Suite 4200</w:t>
            </w:r>
            <w:r>
              <w:rPr>
                <w:rFonts w:ascii="Times New Roman" w:hAnsi="Times New Roman"/>
                <w:color w:val="000000"/>
                <w:sz w:val="16"/>
              </w:rPr>
              <w:br/>
            </w:r>
            <w:r>
              <w:rPr>
                <w:rFonts w:ascii="Times New Roman" w:hAnsi="Times New Roman"/>
                <w:b/>
                <w:color w:val="000000"/>
                <w:sz w:val="16"/>
              </w:rPr>
              <w:t>Chicago, Illinois</w:t>
            </w:r>
            <w:r>
              <w:rPr>
                <w:rFonts w:ascii="Times New Roman" w:hAnsi="Times New Roman"/>
                <w:color w:val="000000"/>
                <w:sz w:val="16"/>
              </w:rPr>
              <w:br/>
              <w:t>(Address of principal executive offices)</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60601 </w:t>
            </w:r>
            <w:r>
              <w:rPr>
                <w:rFonts w:ascii="Times New Roman" w:hAnsi="Times New Roman"/>
                <w:color w:val="000000"/>
                <w:sz w:val="16"/>
              </w:rPr>
              <w:br/>
              <w:t>(Zip Code)</w:t>
            </w:r>
          </w:p>
        </w:tc>
        <w:tc>
          <w:tcPr>
            <w:tcW w:w="191" w:type="dxa"/>
            <w:tcBorders/>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(312)</w:t>
      </w:r>
      <w:r>
        <w:rPr>
          <w:rFonts w:ascii="Times New Roman" w:hAnsi="Times New Roman"/>
          <w:color w:val="000000"/>
          <w:sz w:val="20"/>
        </w:rPr>
        <w:t xml:space="preserve"> </w:t>
      </w:r>
      <w:r>
        <w:rPr>
          <w:rFonts w:ascii="Times New Roman" w:hAnsi="Times New Roman"/>
          <w:b/>
          <w:color w:val="000000"/>
          <w:sz w:val="16"/>
        </w:rPr>
        <w:t>698</w:t>
        <w:noBreakHyphen/>
        <w:t>6902</w:t>
      </w:r>
    </w:p>
    <w:p>
      <w:pPr>
        <w:pStyle w:val="TextBody"/>
        <w:bidi w:val="0"/>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SECURITIES REGISTERED PURSUANT TO SECTION 12(b) OF THE ACT:</w:t>
      </w:r>
    </w:p>
    <w:p>
      <w:pPr>
        <w:pStyle w:val="TextBody"/>
        <w:bidi w:val="0"/>
        <w:jc w:val="center"/>
        <w:rPr/>
      </w:pPr>
      <w:r>
        <w:rPr/>
        <w:t> </w:t>
      </w:r>
    </w:p>
    <w:tbl>
      <w:tblPr>
        <w:tblW w:w="7244" w:type="dxa"/>
        <w:jc w:val="left"/>
        <w:tblInd w:w="0" w:type="dxa"/>
        <w:tblLayout w:type="fixed"/>
        <w:tblCellMar>
          <w:top w:w="28" w:type="dxa"/>
          <w:left w:w="28" w:type="dxa"/>
          <w:bottom w:w="28" w:type="dxa"/>
          <w:right w:w="28" w:type="dxa"/>
        </w:tblCellMar>
      </w:tblPr>
      <w:tblGrid>
        <w:gridCol w:w="161"/>
        <w:gridCol w:w="3091"/>
        <w:gridCol w:w="1261"/>
        <w:gridCol w:w="2731"/>
      </w:tblGrid>
      <w:tr>
        <w:trPr/>
        <w:tc>
          <w:tcPr>
            <w:tcW w:w="161"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30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center"/>
              <w:rPr/>
            </w:pPr>
            <w:r>
              <w:rPr/>
              <w:t> </w:t>
            </w:r>
          </w:p>
        </w:tc>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Title of each class</w:t>
            </w:r>
            <w:r>
              <w:rPr>
                <w:rFonts w:ascii="Times New Roman" w:hAnsi="Times New Roman"/>
                <w:color w:val="000000"/>
                <w:sz w:val="14"/>
              </w:rPr>
              <w:t xml:space="preserve">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Trading Symbol(s)</w:t>
            </w:r>
            <w:r>
              <w:rPr>
                <w:rFonts w:ascii="Times New Roman" w:hAnsi="Times New Roman"/>
                <w:color w:val="000000"/>
                <w:sz w:val="14"/>
              </w:rPr>
              <w:t xml:space="preserve"> </w:t>
            </w:r>
          </w:p>
        </w:tc>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Name of each exchange on which registered</w:t>
            </w:r>
            <w:r>
              <w:rPr>
                <w:rFonts w:ascii="Times New Roman" w:hAnsi="Times New Roman"/>
                <w:color w:val="000000"/>
                <w:sz w:val="14"/>
              </w:rPr>
              <w:t xml:space="preserve"> </w:t>
            </w:r>
          </w:p>
        </w:tc>
      </w:tr>
      <w:tr>
        <w:trPr/>
        <w:tc>
          <w:tcPr>
            <w:tcW w:w="161" w:type="dxa"/>
            <w:tcBorders/>
            <w:vAlign w:val="center"/>
          </w:tcPr>
          <w:p>
            <w:pPr>
              <w:pStyle w:val="TableContents"/>
              <w:bidi w:val="0"/>
              <w:spacing w:before="0" w:after="283"/>
              <w:jc w:val="center"/>
              <w:rPr/>
            </w:pPr>
            <w:r>
              <w:rPr/>
              <w:t> </w:t>
            </w:r>
          </w:p>
        </w:tc>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Common Stock, par value $0.01 per share</w:t>
            </w:r>
            <w:r>
              <w:rPr>
                <w:rFonts w:ascii="Times New Roman" w:hAnsi="Times New Roman"/>
                <w:color w:val="000000"/>
                <w:sz w:val="20"/>
              </w:rPr>
              <w:t xml:space="preserve">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RWAY </w:t>
            </w:r>
          </w:p>
        </w:tc>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Global Select Market LLC</w:t>
            </w:r>
          </w:p>
        </w:tc>
      </w:tr>
      <w:tr>
        <w:trPr/>
        <w:tc>
          <w:tcPr>
            <w:tcW w:w="161" w:type="dxa"/>
            <w:tcBorders/>
            <w:vAlign w:val="center"/>
          </w:tcPr>
          <w:p>
            <w:pPr>
              <w:pStyle w:val="TableContents"/>
              <w:bidi w:val="0"/>
              <w:spacing w:before="0" w:after="283"/>
              <w:jc w:val="center"/>
              <w:rPr/>
            </w:pPr>
            <w:r>
              <w:rPr/>
              <w:t> </w:t>
            </w:r>
          </w:p>
        </w:tc>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7.50% Notes due 2027</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RWAYL</w:t>
            </w:r>
          </w:p>
        </w:tc>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Global Select Market LLC</w:t>
            </w:r>
          </w:p>
        </w:tc>
      </w:tr>
      <w:tr>
        <w:trPr/>
        <w:tc>
          <w:tcPr>
            <w:tcW w:w="161" w:type="dxa"/>
            <w:tcBorders/>
            <w:vAlign w:val="center"/>
          </w:tcPr>
          <w:p>
            <w:pPr>
              <w:pStyle w:val="TableContents"/>
              <w:bidi w:val="0"/>
              <w:spacing w:before="0" w:after="283"/>
              <w:jc w:val="center"/>
              <w:rPr/>
            </w:pPr>
            <w:r>
              <w:rPr/>
              <w:t> </w:t>
            </w:r>
          </w:p>
        </w:tc>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8.00% Notes due 2027</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RWAYZ</w:t>
            </w:r>
          </w:p>
        </w:tc>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Global Select Market LLC</w:t>
            </w:r>
          </w:p>
        </w:tc>
      </w:tr>
    </w:tbl>
    <w:p>
      <w:pPr>
        <w:pStyle w:val="TextBody"/>
        <w:bidi w:val="0"/>
        <w:jc w:val="left"/>
        <w:rPr/>
      </w:pPr>
      <w:r>
        <w:rPr/>
        <w:t> </w:t>
      </w:r>
    </w:p>
    <w:p>
      <w:pPr>
        <w:pStyle w:val="TextBody"/>
        <w:pBdr>
          <w:bottom w:val="single" w:sz="6" w:space="1" w:color="000000"/>
        </w:pBdr>
        <w:bidi w:val="0"/>
        <w:jc w:val="center"/>
        <w:rPr/>
      </w:pPr>
      <w:r>
        <w:rPr/>
        <w:t> </w:t>
      </w:r>
    </w:p>
    <w:p>
      <w:pPr>
        <w:pStyle w:val="TextBody"/>
        <w:bidi w:val="0"/>
        <w:spacing w:before="0" w:after="6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SECURITIES REGISTERED PURSUANT TO SECTION 12(g) OF THE ACT:</w:t>
      </w:r>
    </w:p>
    <w:p>
      <w:pPr>
        <w:pStyle w:val="TextBody"/>
        <w:bidi w:val="0"/>
        <w:jc w:val="center"/>
        <w:rPr>
          <w:rFonts w:ascii="Times New Roman" w:hAnsi="Times New Roman"/>
          <w:color w:val="000000"/>
          <w:sz w:val="16"/>
        </w:rPr>
      </w:pPr>
      <w:r>
        <w:rPr>
          <w:rFonts w:ascii="Times New Roman" w:hAnsi="Times New Roman"/>
          <w:color w:val="000000"/>
          <w:sz w:val="16"/>
        </w:rPr>
        <w:t>None</w:t>
      </w:r>
    </w:p>
    <w:p>
      <w:pPr>
        <w:pStyle w:val="TextBody"/>
        <w:pBdr>
          <w:bottom w:val="single" w:sz="6" w:space="1" w:color="000000"/>
        </w:pBdr>
        <w:bidi w:val="0"/>
        <w:spacing w:before="60" w:after="283"/>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 ☐ No</w:t>
      </w:r>
      <w:r>
        <w:rPr>
          <w:rFonts w:ascii="Times New Roman" w:hAnsi="Times New Roman"/>
          <w:color w:val="000000"/>
          <w:sz w:val="20"/>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☐ No</w:t>
      </w:r>
      <w:r>
        <w:rPr>
          <w:rFonts w:ascii="Times New Roman" w:hAnsi="Times New Roman"/>
          <w:color w:val="000000"/>
          <w:sz w:val="20"/>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☒ </w:t>
      </w:r>
      <w:r>
        <w:rPr>
          <w:rFonts w:ascii="Times New Roman" w:hAnsi="Times New Roman"/>
          <w:color w:val="000000"/>
          <w:sz w:val="16"/>
        </w:rPr>
        <w:t>No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w:t>
      </w:r>
      <w:r>
        <w:rPr>
          <w:rFonts w:ascii="Times New Roman" w:hAnsi="Times New Roman"/>
          <w:color w:val="000000"/>
          <w:sz w:val="20"/>
        </w:rPr>
        <w:t> ☒ </w:t>
      </w:r>
      <w:r>
        <w:rPr>
          <w:rFonts w:ascii="Times New Roman" w:hAnsi="Times New Roman"/>
          <w:color w:val="000000"/>
          <w:sz w:val="16"/>
        </w:rPr>
        <w:t>No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noBreakHyphen/>
        <w:t>2 of the Exchange Act.</w:t>
      </w:r>
      <w:r>
        <w:rPr>
          <w:rFonts w:ascii="Times New Roman" w:hAnsi="Times New Roman"/>
          <w:color w:val="000000"/>
          <w:sz w:val="20"/>
        </w:rPr>
        <w:t xml:space="preserve"> </w:t>
      </w:r>
    </w:p>
    <w:p>
      <w:pPr>
        <w:pStyle w:val="TextBody"/>
        <w:bidi w:val="0"/>
        <w:jc w:val="both"/>
        <w:rPr/>
      </w:pPr>
      <w:r>
        <w:rPr/>
        <w:t> </w:t>
      </w:r>
    </w:p>
    <w:tbl>
      <w:tblPr>
        <w:tblW w:w="4637" w:type="dxa"/>
        <w:jc w:val="left"/>
        <w:tblInd w:w="0" w:type="dxa"/>
        <w:tblLayout w:type="fixed"/>
        <w:tblCellMar>
          <w:top w:w="28" w:type="dxa"/>
          <w:left w:w="28" w:type="dxa"/>
          <w:bottom w:w="28" w:type="dxa"/>
          <w:right w:w="28" w:type="dxa"/>
        </w:tblCellMar>
      </w:tblPr>
      <w:tblGrid>
        <w:gridCol w:w="2311"/>
        <w:gridCol w:w="2326"/>
      </w:tblGrid>
      <w:tr>
        <w:trPr/>
        <w:tc>
          <w:tcPr>
            <w:tcW w:w="2311"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Large accelerated filer ☐ </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Accelerated filer ☐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Non-accelerated filer</w:t>
            </w:r>
            <w:r>
              <w:rPr>
                <w:rFonts w:ascii="Times New Roman" w:hAnsi="Times New Roman"/>
                <w:color w:val="000000"/>
                <w:sz w:val="20"/>
              </w:rPr>
              <w:t xml:space="preserve"> ☒ </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 xml:space="preserve">Smaller reporting company </w:t>
            </w:r>
            <w:r>
              <w:rPr>
                <w:rFonts w:ascii="Times New Roman" w:hAnsi="Times New Roman"/>
                <w:color w:val="000000"/>
                <w:sz w:val="20"/>
              </w:rPr>
              <w:t xml:space="preserve">☐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 xml:space="preserve">Emerging growth company </w:t>
            </w:r>
            <w:r>
              <w:rPr>
                <w:rFonts w:ascii="Times New Roman" w:hAnsi="Times New Roman"/>
                <w:color w:val="000000"/>
                <w:sz w:val="20"/>
              </w:rPr>
              <w:t xml:space="preserve">☒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31F2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is a shell company (as defined in Rule 12b</w:t>
        <w:noBreakHyphen/>
        <w:t>2 of the Exchange Act).   Yes ☐ No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The aggregate market value of the Registrant's common stock held by non-affiliates of the Registrant as of the last day of the Registrant's most recently completed second fiscal quarter was approximately $293</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based upon the last close price of $12.35 reported for such date on the Nasdaq Global Select Market LLC.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There were 40,509,269</w:t>
      </w:r>
      <w:r>
        <w:rPr>
          <w:rFonts w:ascii="Times New Roman" w:hAnsi="Times New Roman"/>
          <w:color w:val="000000"/>
          <w:sz w:val="20"/>
        </w:rPr>
        <w:t xml:space="preserve"> </w:t>
      </w:r>
      <w:r>
        <w:rPr>
          <w:rFonts w:ascii="Times New Roman" w:hAnsi="Times New Roman"/>
          <w:color w:val="000000"/>
          <w:sz w:val="16"/>
        </w:rPr>
        <w:t>shares of the Registrant’s common stock outstanding as of March 7, 2024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Auditor Firm ID: 49</w:t>
      </w:r>
      <w:r>
        <w:rPr>
          <w:rFonts w:ascii="Times New Roman" w:hAnsi="Times New Roman"/>
          <w:color w:val="000000"/>
          <w:sz w:val="20"/>
        </w:rPr>
        <w:t xml:space="preserve"> </w:t>
      </w:r>
      <w:r>
        <w:rPr>
          <w:rFonts w:ascii="Times New Roman" w:hAnsi="Times New Roman"/>
          <w:color w:val="000000"/>
          <w:sz w:val="16"/>
        </w:rPr>
        <w:t>Auditor Name: RSM US LLP</w:t>
      </w:r>
      <w:r>
        <w:rPr>
          <w:rFonts w:ascii="Times New Roman" w:hAnsi="Times New Roman"/>
          <w:color w:val="000000"/>
          <w:sz w:val="20"/>
        </w:rPr>
        <w:t xml:space="preserve"> </w:t>
      </w:r>
      <w:r>
        <w:rPr>
          <w:rFonts w:ascii="Times New Roman" w:hAnsi="Times New Roman"/>
          <w:color w:val="000000"/>
          <w:sz w:val="16"/>
        </w:rPr>
        <w:t>Auditor Location: Chicago, Illinois</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pBdr>
          <w:top w:val="single" w:sz="8" w:space="1" w:color="000000"/>
          <w:bottom w:val="single" w:sz="24"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2" w:name="toc"/>
      <w:bookmarkEnd w:id="2"/>
      <w:r>
        <w:rPr>
          <w:rFonts w:ascii="Times New Roman" w:hAnsi="Times New Roman"/>
          <w:b/>
          <w:color w:val="000000"/>
          <w:sz w:val="20"/>
        </w:rPr>
        <w:t>TABLE OF CONTENTS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60"/>
        <w:gridCol w:w="8347"/>
        <w:gridCol w:w="146"/>
        <w:gridCol w:w="752"/>
      </w:tblGrid>
      <w:tr>
        <w:trPr/>
        <w:tc>
          <w:tcPr>
            <w:tcW w:w="960" w:type="dxa"/>
            <w:tcBorders/>
            <w:vAlign w:val="center"/>
          </w:tcPr>
          <w:p>
            <w:pPr>
              <w:pStyle w:val="TableContents"/>
              <w:bidi w:val="0"/>
              <w:spacing w:before="0" w:after="283"/>
              <w:jc w:val="left"/>
              <w:rPr>
                <w:sz w:val="4"/>
                <w:szCs w:val="4"/>
              </w:rPr>
            </w:pPr>
            <w:r>
              <w:rPr>
                <w:sz w:val="4"/>
                <w:szCs w:val="4"/>
              </w:rPr>
            </w:r>
          </w:p>
        </w:tc>
        <w:tc>
          <w:tcPr>
            <w:tcW w:w="8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960" w:type="dxa"/>
            <w:tcBorders/>
            <w:vAlign w:val="center"/>
          </w:tcPr>
          <w:p>
            <w:pPr>
              <w:pStyle w:val="TableContents"/>
              <w:bidi w:val="0"/>
              <w:spacing w:before="0" w:after="283"/>
              <w:jc w:val="left"/>
              <w:rPr/>
            </w:pPr>
            <w:r>
              <w:rPr/>
              <w:t> </w:t>
            </w:r>
          </w:p>
        </w:tc>
        <w:tc>
          <w:tcPr>
            <w:tcW w:w="83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 </w:t>
            </w:r>
          </w:p>
        </w:tc>
      </w:tr>
      <w:tr>
        <w:trPr/>
        <w:tc>
          <w:tcPr>
            <w:tcW w:w="960" w:type="dxa"/>
            <w:tcBorders/>
            <w:vAlign w:val="center"/>
          </w:tcPr>
          <w:p>
            <w:pPr>
              <w:pStyle w:val="TableContents"/>
              <w:bidi w:val="0"/>
              <w:spacing w:before="0" w:after="283"/>
              <w:jc w:val="left"/>
              <w:rPr/>
            </w:pPr>
            <w:r>
              <w:rPr/>
              <w:t> </w:t>
            </w:r>
          </w:p>
        </w:tc>
        <w:tc>
          <w:tcPr>
            <w:tcW w:w="83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752"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PAGE</w:t>
            </w:r>
          </w:p>
        </w:tc>
      </w:tr>
      <w:tr>
        <w:trPr/>
        <w:tc>
          <w:tcPr>
            <w:tcW w:w="9307" w:type="dxa"/>
            <w:gridSpan w:val="2"/>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14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ind w:left="0" w:right="0" w:firstLine="144"/>
              <w:jc w:val="right"/>
              <w:rPr/>
            </w:pPr>
            <w:r>
              <w:rPr/>
              <w:t> </w:t>
            </w:r>
          </w:p>
        </w:tc>
      </w:tr>
      <w:tr>
        <w:trPr/>
        <w:tc>
          <w:tcPr>
            <w:tcW w:w="960" w:type="dxa"/>
            <w:tcBorders/>
            <w:vAlign w:val="center"/>
          </w:tcPr>
          <w:p>
            <w:pPr>
              <w:pStyle w:val="TableContents"/>
              <w:pBdr/>
              <w:bidi w:val="0"/>
              <w:spacing w:before="0" w:after="283"/>
              <w:ind w:left="0" w:right="0" w:hanging="144"/>
              <w:jc w:val="left"/>
              <w:rPr/>
            </w:pPr>
            <w:hyperlink w:anchor="item1business_632152">
              <w:r>
                <w:rPr>
                  <w:rStyle w:val="InternetLink"/>
                  <w:rFonts w:ascii="Times New Roman" w:hAnsi="Times New Roman"/>
                  <w:color w:val="000000"/>
                  <w:sz w:val="20"/>
                </w:rPr>
                <w:t>Item 1.</w:t>
              </w:r>
            </w:hyperlink>
          </w:p>
        </w:tc>
        <w:tc>
          <w:tcPr>
            <w:tcW w:w="8347" w:type="dxa"/>
            <w:tcBorders/>
            <w:vAlign w:val="center"/>
          </w:tcPr>
          <w:p>
            <w:pPr>
              <w:pStyle w:val="TableContents"/>
              <w:bidi w:val="0"/>
              <w:spacing w:before="0" w:after="283"/>
              <w:jc w:val="left"/>
              <w:rPr/>
            </w:pPr>
            <w:hyperlink w:anchor="item1business_632152">
              <w:r>
                <w:rPr>
                  <w:rStyle w:val="InternetLink"/>
                  <w:rFonts w:ascii="Times New Roman" w:hAnsi="Times New Roman"/>
                  <w:color w:val="0000FF"/>
                  <w:sz w:val="20"/>
                  <w:u w:val="single"/>
                </w:rPr>
                <w:t>Business</w:t>
              </w:r>
            </w:hyperlink>
            <w:hyperlink w:anchor="item1business_632152">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3</w:t>
            </w:r>
          </w:p>
        </w:tc>
      </w:tr>
      <w:tr>
        <w:trPr/>
        <w:tc>
          <w:tcPr>
            <w:tcW w:w="960" w:type="dxa"/>
            <w:tcBorders/>
            <w:shd w:fill="CCEEFF" w:val="clear"/>
            <w:vAlign w:val="center"/>
          </w:tcPr>
          <w:p>
            <w:pPr>
              <w:pStyle w:val="TableContents"/>
              <w:pBdr/>
              <w:bidi w:val="0"/>
              <w:spacing w:before="0" w:after="283"/>
              <w:ind w:left="0" w:right="0" w:hanging="144"/>
              <w:jc w:val="left"/>
              <w:rPr/>
            </w:pPr>
            <w:hyperlink w:anchor="item1ariskfactors_767097">
              <w:r>
                <w:rPr>
                  <w:rStyle w:val="InternetLink"/>
                  <w:rFonts w:ascii="Times New Roman" w:hAnsi="Times New Roman"/>
                  <w:color w:val="000000"/>
                  <w:sz w:val="20"/>
                </w:rPr>
                <w:t>Item 1A.</w:t>
              </w:r>
            </w:hyperlink>
          </w:p>
        </w:tc>
        <w:tc>
          <w:tcPr>
            <w:tcW w:w="8347" w:type="dxa"/>
            <w:tcBorders/>
            <w:shd w:fill="CCEEFF" w:val="clear"/>
            <w:vAlign w:val="center"/>
          </w:tcPr>
          <w:p>
            <w:pPr>
              <w:pStyle w:val="TableContents"/>
              <w:bidi w:val="0"/>
              <w:spacing w:before="0" w:after="283"/>
              <w:jc w:val="left"/>
              <w:rPr/>
            </w:pPr>
            <w:hyperlink w:anchor="item1ariskfactors_767097">
              <w:r>
                <w:rPr>
                  <w:rStyle w:val="InternetLink"/>
                  <w:rFonts w:ascii="Times New Roman" w:hAnsi="Times New Roman"/>
                  <w:color w:val="0000FF"/>
                  <w:sz w:val="20"/>
                  <w:u w:val="single"/>
                </w:rPr>
                <w:t>Risk Factors</w:t>
              </w:r>
            </w:hyperlink>
            <w:hyperlink w:anchor="item1ariskfactors_767097">
              <w:r>
                <w:rPr>
                  <w:rStyle w:val="InternetLink"/>
                  <w:rFonts w:ascii="Times New Roman" w:hAnsi="Times New Roman"/>
                  <w:color w:val="0000FF"/>
                  <w:sz w:val="20"/>
                </w:rPr>
                <w:t xml:space="preserve"> </w:t>
              </w:r>
            </w:hyperlink>
          </w:p>
        </w:tc>
        <w:tc>
          <w:tcPr>
            <w:tcW w:w="14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24</w:t>
            </w:r>
          </w:p>
        </w:tc>
      </w:tr>
      <w:tr>
        <w:trPr/>
        <w:tc>
          <w:tcPr>
            <w:tcW w:w="960" w:type="dxa"/>
            <w:tcBorders/>
            <w:vAlign w:val="center"/>
          </w:tcPr>
          <w:p>
            <w:pPr>
              <w:pStyle w:val="TableContents"/>
              <w:pBdr/>
              <w:bidi w:val="0"/>
              <w:spacing w:before="0" w:after="283"/>
              <w:ind w:left="0" w:right="0" w:hanging="144"/>
              <w:jc w:val="left"/>
              <w:rPr/>
            </w:pPr>
            <w:hyperlink w:anchor="item1bunresolvedstaffcomments_715901">
              <w:r>
                <w:rPr>
                  <w:rStyle w:val="InternetLink"/>
                  <w:rFonts w:ascii="Times New Roman" w:hAnsi="Times New Roman"/>
                  <w:color w:val="000000"/>
                  <w:sz w:val="20"/>
                </w:rPr>
                <w:t>Item 1B.</w:t>
              </w:r>
            </w:hyperlink>
          </w:p>
        </w:tc>
        <w:tc>
          <w:tcPr>
            <w:tcW w:w="8347" w:type="dxa"/>
            <w:tcBorders/>
            <w:vAlign w:val="center"/>
          </w:tcPr>
          <w:p>
            <w:pPr>
              <w:pStyle w:val="TableContents"/>
              <w:bidi w:val="0"/>
              <w:spacing w:before="0" w:after="283"/>
              <w:jc w:val="left"/>
              <w:rPr/>
            </w:pPr>
            <w:hyperlink w:anchor="item1bunresolvedstaffcomments_715901">
              <w:r>
                <w:rPr>
                  <w:rStyle w:val="InternetLink"/>
                  <w:rFonts w:ascii="Times New Roman" w:hAnsi="Times New Roman"/>
                  <w:color w:val="0000FF"/>
                  <w:sz w:val="20"/>
                  <w:u w:val="single"/>
                </w:rPr>
                <w:t>Unresolved Staff Comments</w:t>
              </w:r>
            </w:hyperlink>
            <w:hyperlink w:anchor="item1bunresolvedstaffcomments_715901">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58</w:t>
            </w:r>
          </w:p>
        </w:tc>
      </w:tr>
      <w:tr>
        <w:trPr/>
        <w:tc>
          <w:tcPr>
            <w:tcW w:w="960" w:type="dxa"/>
            <w:tcBorders/>
            <w:shd w:fill="CCEEFF" w:val="clear"/>
            <w:vAlign w:val="center"/>
          </w:tcPr>
          <w:p>
            <w:pPr>
              <w:pStyle w:val="TableContents"/>
              <w:pBdr/>
              <w:bidi w:val="0"/>
              <w:spacing w:before="0" w:after="283"/>
              <w:ind w:left="0" w:right="0" w:hanging="144"/>
              <w:jc w:val="left"/>
              <w:rPr/>
            </w:pPr>
            <w:hyperlink w:anchor="item1bunresolvedstaffcomments_715901">
              <w:r>
                <w:rPr>
                  <w:rStyle w:val="InternetLink"/>
                  <w:rFonts w:ascii="Times New Roman" w:hAnsi="Times New Roman"/>
                  <w:color w:val="000000"/>
                  <w:sz w:val="20"/>
                </w:rPr>
                <w:t>Item 1C.</w:t>
              </w:r>
            </w:hyperlink>
          </w:p>
        </w:tc>
        <w:tc>
          <w:tcPr>
            <w:tcW w:w="8347" w:type="dxa"/>
            <w:tcBorders/>
            <w:shd w:fill="CCEEFF" w:val="cle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14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58</w:t>
            </w:r>
          </w:p>
        </w:tc>
      </w:tr>
      <w:tr>
        <w:trPr/>
        <w:tc>
          <w:tcPr>
            <w:tcW w:w="960" w:type="dxa"/>
            <w:tcBorders/>
            <w:vAlign w:val="center"/>
          </w:tcPr>
          <w:p>
            <w:pPr>
              <w:pStyle w:val="TableContents"/>
              <w:pBdr/>
              <w:bidi w:val="0"/>
              <w:spacing w:before="0" w:after="283"/>
              <w:ind w:left="0" w:right="0" w:hanging="144"/>
              <w:jc w:val="left"/>
              <w:rPr/>
            </w:pPr>
            <w:hyperlink w:anchor="item2properties_653484">
              <w:r>
                <w:rPr>
                  <w:rStyle w:val="InternetLink"/>
                  <w:rFonts w:ascii="Times New Roman" w:hAnsi="Times New Roman"/>
                  <w:color w:val="000000"/>
                  <w:sz w:val="20"/>
                </w:rPr>
                <w:t>Item 2.</w:t>
              </w:r>
            </w:hyperlink>
          </w:p>
        </w:tc>
        <w:tc>
          <w:tcPr>
            <w:tcW w:w="8347" w:type="dxa"/>
            <w:tcBorders/>
            <w:vAlign w:val="center"/>
          </w:tcPr>
          <w:p>
            <w:pPr>
              <w:pStyle w:val="TableContents"/>
              <w:bidi w:val="0"/>
              <w:spacing w:before="0" w:after="283"/>
              <w:jc w:val="left"/>
              <w:rPr/>
            </w:pPr>
            <w:hyperlink w:anchor="item2properties_653484">
              <w:r>
                <w:rPr>
                  <w:rStyle w:val="InternetLink"/>
                  <w:rFonts w:ascii="Times New Roman" w:hAnsi="Times New Roman"/>
                  <w:color w:val="0000FF"/>
                  <w:sz w:val="20"/>
                  <w:u w:val="single"/>
                </w:rPr>
                <w:t>Properties</w:t>
              </w:r>
            </w:hyperlink>
            <w:hyperlink w:anchor="item2properties_653484">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59</w:t>
            </w:r>
          </w:p>
        </w:tc>
      </w:tr>
      <w:tr>
        <w:trPr/>
        <w:tc>
          <w:tcPr>
            <w:tcW w:w="960" w:type="dxa"/>
            <w:tcBorders/>
            <w:shd w:fill="CCEEFF" w:val="clear"/>
            <w:vAlign w:val="center"/>
          </w:tcPr>
          <w:p>
            <w:pPr>
              <w:pStyle w:val="TableContents"/>
              <w:pBdr/>
              <w:bidi w:val="0"/>
              <w:spacing w:before="0" w:after="283"/>
              <w:ind w:left="0" w:right="0" w:hanging="144"/>
              <w:jc w:val="left"/>
              <w:rPr/>
            </w:pPr>
            <w:hyperlink w:anchor="item3legalproceedings_119224">
              <w:r>
                <w:rPr>
                  <w:rStyle w:val="InternetLink"/>
                  <w:rFonts w:ascii="Times New Roman" w:hAnsi="Times New Roman"/>
                  <w:color w:val="000000"/>
                  <w:sz w:val="20"/>
                </w:rPr>
                <w:t>Item 3.</w:t>
              </w:r>
            </w:hyperlink>
          </w:p>
        </w:tc>
        <w:tc>
          <w:tcPr>
            <w:tcW w:w="8347" w:type="dxa"/>
            <w:tcBorders/>
            <w:shd w:fill="CCEEFF" w:val="clear"/>
            <w:vAlign w:val="center"/>
          </w:tcPr>
          <w:p>
            <w:pPr>
              <w:pStyle w:val="TableContents"/>
              <w:bidi w:val="0"/>
              <w:spacing w:before="0" w:after="283"/>
              <w:jc w:val="left"/>
              <w:rPr/>
            </w:pPr>
            <w:hyperlink w:anchor="item3legalproceedings_119224">
              <w:r>
                <w:rPr>
                  <w:rStyle w:val="InternetLink"/>
                  <w:rFonts w:ascii="Times New Roman" w:hAnsi="Times New Roman"/>
                  <w:color w:val="0000FF"/>
                  <w:sz w:val="20"/>
                  <w:u w:val="single"/>
                </w:rPr>
                <w:t>Legal Proceedings</w:t>
              </w:r>
            </w:hyperlink>
            <w:hyperlink w:anchor="item3legalproceedings_119224">
              <w:r>
                <w:rPr>
                  <w:rStyle w:val="InternetLink"/>
                  <w:rFonts w:ascii="Times New Roman" w:hAnsi="Times New Roman"/>
                  <w:color w:val="0000FF"/>
                  <w:sz w:val="20"/>
                </w:rPr>
                <w:t xml:space="preserve"> </w:t>
              </w:r>
            </w:hyperlink>
          </w:p>
        </w:tc>
        <w:tc>
          <w:tcPr>
            <w:tcW w:w="14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59</w:t>
            </w:r>
          </w:p>
        </w:tc>
      </w:tr>
      <w:tr>
        <w:trPr/>
        <w:tc>
          <w:tcPr>
            <w:tcW w:w="960" w:type="dxa"/>
            <w:tcBorders/>
            <w:vAlign w:val="center"/>
          </w:tcPr>
          <w:p>
            <w:pPr>
              <w:pStyle w:val="TableContents"/>
              <w:pBdr/>
              <w:bidi w:val="0"/>
              <w:spacing w:before="0" w:after="283"/>
              <w:ind w:left="0" w:right="0" w:hanging="144"/>
              <w:jc w:val="left"/>
              <w:rPr/>
            </w:pPr>
            <w:hyperlink w:anchor="item4minesafetydisclosures_118322">
              <w:r>
                <w:rPr>
                  <w:rStyle w:val="InternetLink"/>
                  <w:rFonts w:ascii="Times New Roman" w:hAnsi="Times New Roman"/>
                  <w:color w:val="000000"/>
                  <w:sz w:val="20"/>
                </w:rPr>
                <w:t>Item 4.</w:t>
              </w:r>
            </w:hyperlink>
          </w:p>
        </w:tc>
        <w:tc>
          <w:tcPr>
            <w:tcW w:w="8347" w:type="dxa"/>
            <w:tcBorders/>
            <w:vAlign w:val="center"/>
          </w:tcPr>
          <w:p>
            <w:pPr>
              <w:pStyle w:val="TableContents"/>
              <w:bidi w:val="0"/>
              <w:spacing w:before="0" w:after="283"/>
              <w:jc w:val="left"/>
              <w:rPr/>
            </w:pPr>
            <w:hyperlink w:anchor="item4minesafetydisclosures_118322">
              <w:r>
                <w:rPr>
                  <w:rStyle w:val="InternetLink"/>
                  <w:rFonts w:ascii="Times New Roman" w:hAnsi="Times New Roman"/>
                  <w:color w:val="0000FF"/>
                  <w:sz w:val="20"/>
                  <w:u w:val="single"/>
                </w:rPr>
                <w:t>Mine Safety Disclosures</w:t>
              </w:r>
            </w:hyperlink>
            <w:hyperlink w:anchor="item4minesafetydisclosures_118322">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9307" w:type="dxa"/>
            <w:gridSpan w:val="2"/>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14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ind w:left="0" w:right="0" w:firstLine="144"/>
              <w:jc w:val="right"/>
              <w:rPr/>
            </w:pPr>
            <w:r>
              <w:rPr/>
              <w:t> </w:t>
            </w:r>
          </w:p>
        </w:tc>
      </w:tr>
      <w:tr>
        <w:trPr/>
        <w:tc>
          <w:tcPr>
            <w:tcW w:w="960" w:type="dxa"/>
            <w:tcBorders/>
            <w:vAlign w:val="center"/>
          </w:tcPr>
          <w:p>
            <w:pPr>
              <w:pStyle w:val="TableContents"/>
              <w:pBdr/>
              <w:bidi w:val="0"/>
              <w:spacing w:before="0" w:after="283"/>
              <w:ind w:left="0" w:right="0" w:hanging="144"/>
              <w:jc w:val="left"/>
              <w:rPr/>
            </w:pPr>
            <w:hyperlink w:anchor="item5marketforregistrantscommonequityrel">
              <w:r>
                <w:rPr>
                  <w:rStyle w:val="InternetLink"/>
                  <w:rFonts w:ascii="Times New Roman" w:hAnsi="Times New Roman"/>
                  <w:color w:val="000000"/>
                  <w:sz w:val="20"/>
                </w:rPr>
                <w:t>Item 5.</w:t>
              </w:r>
            </w:hyperlink>
          </w:p>
        </w:tc>
        <w:tc>
          <w:tcPr>
            <w:tcW w:w="8347" w:type="dxa"/>
            <w:tcBorders/>
            <w:vAlign w:val="center"/>
          </w:tcPr>
          <w:p>
            <w:pPr>
              <w:pStyle w:val="TableContents"/>
              <w:bidi w:val="0"/>
              <w:spacing w:before="0" w:after="283"/>
              <w:jc w:val="left"/>
              <w:rPr/>
            </w:pPr>
            <w:hyperlink w:anchor="item5marketforregistrantscommonequityrel">
              <w:r>
                <w:rPr>
                  <w:rStyle w:val="InternetLink"/>
                  <w:rFonts w:ascii="Times New Roman" w:hAnsi="Times New Roman"/>
                  <w:color w:val="0000FF"/>
                  <w:sz w:val="20"/>
                  <w:u w:val="single"/>
                </w:rPr>
                <w:t>Market for Registrant’s Common Equity, Related Stockholder Matters and Issuer Purchases of Equity Securities</w:t>
              </w:r>
            </w:hyperlink>
            <w:hyperlink w:anchor="item5marketforregistrantscommonequityrel">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60</w:t>
            </w:r>
          </w:p>
        </w:tc>
      </w:tr>
      <w:tr>
        <w:trPr/>
        <w:tc>
          <w:tcPr>
            <w:tcW w:w="960" w:type="dxa"/>
            <w:tcBorders/>
            <w:shd w:fill="CCEEFF" w:val="clear"/>
            <w:vAlign w:val="center"/>
          </w:tcPr>
          <w:p>
            <w:pPr>
              <w:pStyle w:val="TableContents"/>
              <w:pBdr/>
              <w:bidi w:val="0"/>
              <w:spacing w:before="0" w:after="283"/>
              <w:ind w:left="0" w:right="0" w:hanging="144"/>
              <w:jc w:val="left"/>
              <w:rPr/>
            </w:pPr>
            <w:hyperlink w:anchor="item6selectedfinancialdata_540295">
              <w:r>
                <w:rPr>
                  <w:rStyle w:val="InternetLink"/>
                  <w:rFonts w:ascii="Times New Roman" w:hAnsi="Times New Roman"/>
                  <w:color w:val="000000"/>
                  <w:sz w:val="20"/>
                </w:rPr>
                <w:t>Item 6.</w:t>
              </w:r>
            </w:hyperlink>
          </w:p>
        </w:tc>
        <w:tc>
          <w:tcPr>
            <w:tcW w:w="8347" w:type="dxa"/>
            <w:tcBorders/>
            <w:shd w:fill="CCEEFF" w:val="clear"/>
            <w:vAlign w:val="center"/>
          </w:tcPr>
          <w:p>
            <w:pPr>
              <w:pStyle w:val="TableContents"/>
              <w:bidi w:val="0"/>
              <w:spacing w:before="0" w:after="283"/>
              <w:jc w:val="left"/>
              <w:rPr/>
            </w:pPr>
            <w:hyperlink w:anchor="item6selectedfinancialdata_540295">
              <w:r>
                <w:rPr>
                  <w:rStyle w:val="InternetLink"/>
                  <w:rFonts w:ascii="Times New Roman" w:hAnsi="Times New Roman"/>
                  <w:color w:val="0000FF"/>
                  <w:sz w:val="20"/>
                </w:rPr>
                <w:t xml:space="preserve">Reserved </w:t>
              </w:r>
            </w:hyperlink>
          </w:p>
        </w:tc>
        <w:tc>
          <w:tcPr>
            <w:tcW w:w="14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62</w:t>
            </w:r>
          </w:p>
        </w:tc>
      </w:tr>
      <w:tr>
        <w:trPr/>
        <w:tc>
          <w:tcPr>
            <w:tcW w:w="960" w:type="dxa"/>
            <w:tcBorders/>
            <w:vAlign w:val="center"/>
          </w:tcPr>
          <w:p>
            <w:pPr>
              <w:pStyle w:val="TableContents"/>
              <w:pBdr/>
              <w:bidi w:val="0"/>
              <w:spacing w:before="0" w:after="283"/>
              <w:ind w:left="0" w:right="0" w:hanging="144"/>
              <w:jc w:val="left"/>
              <w:rPr/>
            </w:pPr>
            <w:hyperlink w:anchor="item7managementsdiscussionandanalysisoff">
              <w:r>
                <w:rPr>
                  <w:rStyle w:val="InternetLink"/>
                  <w:rFonts w:ascii="Times New Roman" w:hAnsi="Times New Roman"/>
                  <w:color w:val="000000"/>
                  <w:sz w:val="20"/>
                </w:rPr>
                <w:t>Item 7.</w:t>
              </w:r>
            </w:hyperlink>
          </w:p>
        </w:tc>
        <w:tc>
          <w:tcPr>
            <w:tcW w:w="8347" w:type="dxa"/>
            <w:tcBorders/>
            <w:vAlign w:val="center"/>
          </w:tcPr>
          <w:p>
            <w:pPr>
              <w:pStyle w:val="TableContents"/>
              <w:bidi w:val="0"/>
              <w:spacing w:before="0" w:after="283"/>
              <w:jc w:val="left"/>
              <w:rPr/>
            </w:pPr>
            <w:hyperlink w:anchor="item7managementsdiscussionandanalysisoff">
              <w:r>
                <w:rPr>
                  <w:rStyle w:val="InternetLink"/>
                  <w:rFonts w:ascii="Times New Roman" w:hAnsi="Times New Roman"/>
                  <w:color w:val="0000FF"/>
                  <w:sz w:val="20"/>
                  <w:u w:val="single"/>
                </w:rPr>
                <w:t>Management’s Discussion and Analysis of Financial Condition and Results of Operations</w:t>
              </w:r>
            </w:hyperlink>
            <w:hyperlink w:anchor="item7managementsdiscussionandanalysisoff">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63</w:t>
            </w:r>
          </w:p>
        </w:tc>
      </w:tr>
      <w:tr>
        <w:trPr/>
        <w:tc>
          <w:tcPr>
            <w:tcW w:w="960" w:type="dxa"/>
            <w:tcBorders/>
            <w:shd w:fill="CCEEFF" w:val="clear"/>
            <w:vAlign w:val="center"/>
          </w:tcPr>
          <w:p>
            <w:pPr>
              <w:pStyle w:val="TableContents"/>
              <w:pBdr/>
              <w:bidi w:val="0"/>
              <w:spacing w:before="0" w:after="283"/>
              <w:ind w:left="0" w:right="0" w:hanging="144"/>
              <w:jc w:val="left"/>
              <w:rPr/>
            </w:pPr>
            <w:hyperlink w:anchor="item7aquantitativeandqualitativedisclosu">
              <w:r>
                <w:rPr>
                  <w:rStyle w:val="InternetLink"/>
                  <w:rFonts w:ascii="Times New Roman" w:hAnsi="Times New Roman"/>
                  <w:color w:val="000000"/>
                  <w:sz w:val="20"/>
                </w:rPr>
                <w:t>Item 7A.</w:t>
              </w:r>
            </w:hyperlink>
          </w:p>
        </w:tc>
        <w:tc>
          <w:tcPr>
            <w:tcW w:w="8347" w:type="dxa"/>
            <w:tcBorders/>
            <w:shd w:fill="CCEEFF" w:val="clear"/>
            <w:vAlign w:val="center"/>
          </w:tcPr>
          <w:p>
            <w:pPr>
              <w:pStyle w:val="TableContents"/>
              <w:bidi w:val="0"/>
              <w:spacing w:before="0" w:after="283"/>
              <w:jc w:val="left"/>
              <w:rPr/>
            </w:pPr>
            <w:hyperlink w:anchor="item7aquantitativeandqualitativedisclosu">
              <w:r>
                <w:rPr>
                  <w:rStyle w:val="InternetLink"/>
                  <w:rFonts w:ascii="Times New Roman" w:hAnsi="Times New Roman"/>
                  <w:color w:val="0000FF"/>
                  <w:sz w:val="20"/>
                  <w:u w:val="single"/>
                </w:rPr>
                <w:t>Quantitative and Qualitative Disclosures About Market Risk</w:t>
              </w:r>
            </w:hyperlink>
            <w:hyperlink w:anchor="item7aquantitativeandqualitativedisclosu">
              <w:r>
                <w:rPr>
                  <w:rStyle w:val="InternetLink"/>
                  <w:rFonts w:ascii="Times New Roman" w:hAnsi="Times New Roman"/>
                  <w:color w:val="0000FF"/>
                  <w:sz w:val="20"/>
                </w:rPr>
                <w:t xml:space="preserve"> </w:t>
              </w:r>
            </w:hyperlink>
          </w:p>
        </w:tc>
        <w:tc>
          <w:tcPr>
            <w:tcW w:w="14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73</w:t>
            </w:r>
          </w:p>
        </w:tc>
      </w:tr>
      <w:tr>
        <w:trPr/>
        <w:tc>
          <w:tcPr>
            <w:tcW w:w="960" w:type="dxa"/>
            <w:tcBorders/>
            <w:vAlign w:val="center"/>
          </w:tcPr>
          <w:p>
            <w:pPr>
              <w:pStyle w:val="TableContents"/>
              <w:pBdr/>
              <w:bidi w:val="0"/>
              <w:spacing w:before="0" w:after="283"/>
              <w:ind w:left="0" w:right="0" w:hanging="144"/>
              <w:jc w:val="left"/>
              <w:rPr/>
            </w:pPr>
            <w:hyperlink w:anchor="item8financialstatementsandsupplementary">
              <w:r>
                <w:rPr>
                  <w:rStyle w:val="InternetLink"/>
                  <w:rFonts w:ascii="Times New Roman" w:hAnsi="Times New Roman"/>
                  <w:color w:val="000000"/>
                  <w:sz w:val="20"/>
                </w:rPr>
                <w:t>Item 8.</w:t>
              </w:r>
            </w:hyperlink>
          </w:p>
        </w:tc>
        <w:tc>
          <w:tcPr>
            <w:tcW w:w="8347" w:type="dxa"/>
            <w:tcBorders/>
            <w:vAlign w:val="center"/>
          </w:tcPr>
          <w:p>
            <w:pPr>
              <w:pStyle w:val="TableContents"/>
              <w:bidi w:val="0"/>
              <w:spacing w:before="0" w:after="283"/>
              <w:jc w:val="left"/>
              <w:rPr/>
            </w:pPr>
            <w:hyperlink w:anchor="item8financialstatementsandsupplementary">
              <w:r>
                <w:rPr>
                  <w:rStyle w:val="InternetLink"/>
                  <w:rFonts w:ascii="Times New Roman" w:hAnsi="Times New Roman"/>
                  <w:color w:val="0000FF"/>
                  <w:sz w:val="20"/>
                  <w:u w:val="single"/>
                </w:rPr>
                <w:t>Consolidated Financial Statements and Supplementary Data</w:t>
              </w:r>
            </w:hyperlink>
            <w:hyperlink w:anchor="item8financialstatementsandsupplementary">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75</w:t>
            </w:r>
          </w:p>
        </w:tc>
      </w:tr>
      <w:tr>
        <w:trPr/>
        <w:tc>
          <w:tcPr>
            <w:tcW w:w="960" w:type="dxa"/>
            <w:tcBorders/>
            <w:shd w:fill="CCEEFF" w:val="clear"/>
            <w:vAlign w:val="center"/>
          </w:tcPr>
          <w:p>
            <w:pPr>
              <w:pStyle w:val="TableContents"/>
              <w:pBdr/>
              <w:bidi w:val="0"/>
              <w:spacing w:before="0" w:after="283"/>
              <w:ind w:left="0" w:right="0" w:hanging="144"/>
              <w:jc w:val="left"/>
              <w:rPr/>
            </w:pPr>
            <w:hyperlink w:anchor="item9changesinanddisagreementswithaccoun">
              <w:r>
                <w:rPr>
                  <w:rStyle w:val="InternetLink"/>
                  <w:rFonts w:ascii="Times New Roman" w:hAnsi="Times New Roman"/>
                  <w:color w:val="000000"/>
                  <w:sz w:val="20"/>
                </w:rPr>
                <w:t>Item 9.</w:t>
              </w:r>
            </w:hyperlink>
          </w:p>
        </w:tc>
        <w:tc>
          <w:tcPr>
            <w:tcW w:w="8347" w:type="dxa"/>
            <w:tcBorders/>
            <w:shd w:fill="CCEEFF" w:val="clear"/>
            <w:vAlign w:val="center"/>
          </w:tcPr>
          <w:p>
            <w:pPr>
              <w:pStyle w:val="TableContents"/>
              <w:bidi w:val="0"/>
              <w:spacing w:before="0" w:after="283"/>
              <w:jc w:val="left"/>
              <w:rPr/>
            </w:pPr>
            <w:hyperlink w:anchor="item9changesinanddisagreementswithaccoun">
              <w:r>
                <w:rPr>
                  <w:rStyle w:val="InternetLink"/>
                  <w:rFonts w:ascii="Times New Roman" w:hAnsi="Times New Roman"/>
                  <w:color w:val="0000FF"/>
                  <w:sz w:val="20"/>
                  <w:u w:val="single"/>
                </w:rPr>
                <w:t>Changes in and Disagreements with Accountants on Accounting and Financial Disclosure</w:t>
              </w:r>
            </w:hyperlink>
            <w:hyperlink w:anchor="item9changesinanddisagreementswithaccoun">
              <w:r>
                <w:rPr>
                  <w:rStyle w:val="InternetLink"/>
                  <w:rFonts w:ascii="Times New Roman" w:hAnsi="Times New Roman"/>
                  <w:color w:val="0000FF"/>
                  <w:sz w:val="20"/>
                </w:rPr>
                <w:t xml:space="preserve"> </w:t>
              </w:r>
            </w:hyperlink>
          </w:p>
        </w:tc>
        <w:tc>
          <w:tcPr>
            <w:tcW w:w="14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125</w:t>
            </w:r>
          </w:p>
        </w:tc>
      </w:tr>
      <w:tr>
        <w:trPr/>
        <w:tc>
          <w:tcPr>
            <w:tcW w:w="960" w:type="dxa"/>
            <w:tcBorders/>
            <w:vAlign w:val="center"/>
          </w:tcPr>
          <w:p>
            <w:pPr>
              <w:pStyle w:val="TableContents"/>
              <w:pBdr/>
              <w:bidi w:val="0"/>
              <w:spacing w:before="0" w:after="283"/>
              <w:ind w:left="0" w:right="0" w:hanging="144"/>
              <w:jc w:val="left"/>
              <w:rPr/>
            </w:pPr>
            <w:hyperlink w:anchor="item9acontrolsandprocedures_793054">
              <w:r>
                <w:rPr>
                  <w:rStyle w:val="InternetLink"/>
                  <w:rFonts w:ascii="Times New Roman" w:hAnsi="Times New Roman"/>
                  <w:color w:val="000000"/>
                  <w:sz w:val="20"/>
                </w:rPr>
                <w:t>Item 9A.</w:t>
              </w:r>
            </w:hyperlink>
          </w:p>
        </w:tc>
        <w:tc>
          <w:tcPr>
            <w:tcW w:w="8347" w:type="dxa"/>
            <w:tcBorders/>
            <w:vAlign w:val="center"/>
          </w:tcPr>
          <w:p>
            <w:pPr>
              <w:pStyle w:val="TableContents"/>
              <w:bidi w:val="0"/>
              <w:spacing w:before="0" w:after="283"/>
              <w:jc w:val="left"/>
              <w:rPr/>
            </w:pPr>
            <w:hyperlink w:anchor="item9acontrolsandprocedures_793054">
              <w:r>
                <w:rPr>
                  <w:rStyle w:val="InternetLink"/>
                  <w:rFonts w:ascii="Times New Roman" w:hAnsi="Times New Roman"/>
                  <w:color w:val="0000FF"/>
                  <w:sz w:val="20"/>
                  <w:u w:val="single"/>
                </w:rPr>
                <w:t>Controls and Procedures</w:t>
              </w:r>
            </w:hyperlink>
            <w:hyperlink w:anchor="item9acontrolsandprocedures_793054">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125</w:t>
            </w:r>
          </w:p>
        </w:tc>
      </w:tr>
      <w:tr>
        <w:trPr/>
        <w:tc>
          <w:tcPr>
            <w:tcW w:w="960" w:type="dxa"/>
            <w:tcBorders/>
            <w:shd w:fill="CCEEFF" w:val="clear"/>
            <w:vAlign w:val="center"/>
          </w:tcPr>
          <w:p>
            <w:pPr>
              <w:pStyle w:val="TableContents"/>
              <w:pBdr/>
              <w:bidi w:val="0"/>
              <w:spacing w:before="0" w:after="283"/>
              <w:ind w:left="0" w:right="0" w:hanging="144"/>
              <w:jc w:val="left"/>
              <w:rPr/>
            </w:pPr>
            <w:hyperlink w:anchor="item9botherinformation_645796">
              <w:r>
                <w:rPr>
                  <w:rStyle w:val="InternetLink"/>
                  <w:rFonts w:ascii="Times New Roman" w:hAnsi="Times New Roman"/>
                  <w:color w:val="000000"/>
                  <w:sz w:val="20"/>
                </w:rPr>
                <w:t>Item 9B.</w:t>
              </w:r>
            </w:hyperlink>
          </w:p>
        </w:tc>
        <w:tc>
          <w:tcPr>
            <w:tcW w:w="8347" w:type="dxa"/>
            <w:tcBorders/>
            <w:shd w:fill="CCEEFF" w:val="clear"/>
            <w:vAlign w:val="center"/>
          </w:tcPr>
          <w:p>
            <w:pPr>
              <w:pStyle w:val="TableContents"/>
              <w:bidi w:val="0"/>
              <w:spacing w:before="0" w:after="283"/>
              <w:jc w:val="left"/>
              <w:rPr/>
            </w:pPr>
            <w:hyperlink w:anchor="item9botherinformation_645796">
              <w:r>
                <w:rPr>
                  <w:rStyle w:val="InternetLink"/>
                  <w:rFonts w:ascii="Times New Roman" w:hAnsi="Times New Roman"/>
                  <w:color w:val="0000FF"/>
                  <w:sz w:val="20"/>
                  <w:u w:val="single"/>
                </w:rPr>
                <w:t>Other Information</w:t>
              </w:r>
            </w:hyperlink>
            <w:hyperlink w:anchor="item9botherinformation_645796">
              <w:r>
                <w:rPr>
                  <w:rStyle w:val="InternetLink"/>
                  <w:rFonts w:ascii="Times New Roman" w:hAnsi="Times New Roman"/>
                  <w:color w:val="0000FF"/>
                  <w:sz w:val="20"/>
                </w:rPr>
                <w:t xml:space="preserve"> </w:t>
              </w:r>
            </w:hyperlink>
          </w:p>
        </w:tc>
        <w:tc>
          <w:tcPr>
            <w:tcW w:w="14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126</w:t>
            </w:r>
          </w:p>
        </w:tc>
      </w:tr>
      <w:tr>
        <w:trPr/>
        <w:tc>
          <w:tcPr>
            <w:tcW w:w="960" w:type="dxa"/>
            <w:tcBorders/>
            <w:vAlign w:val="center"/>
          </w:tcPr>
          <w:p>
            <w:pPr>
              <w:pStyle w:val="TableContents"/>
              <w:pBdr/>
              <w:bidi w:val="0"/>
              <w:spacing w:before="0" w:after="283"/>
              <w:ind w:left="0" w:right="0" w:hanging="144"/>
              <w:jc w:val="left"/>
              <w:rPr/>
            </w:pPr>
            <w:hyperlink w:anchor="item9cdisclosureregardingforeignjurisdic">
              <w:r>
                <w:rPr>
                  <w:rStyle w:val="InternetLink"/>
                  <w:rFonts w:ascii="Times New Roman" w:hAnsi="Times New Roman"/>
                  <w:color w:val="000000"/>
                  <w:sz w:val="20"/>
                </w:rPr>
                <w:t>Item 9C</w:t>
              </w:r>
            </w:hyperlink>
          </w:p>
        </w:tc>
        <w:tc>
          <w:tcPr>
            <w:tcW w:w="8347" w:type="dxa"/>
            <w:tcBorders/>
            <w:vAlign w:val="center"/>
          </w:tcPr>
          <w:p>
            <w:pPr>
              <w:pStyle w:val="TableContents"/>
              <w:bidi w:val="0"/>
              <w:spacing w:before="0" w:after="283"/>
              <w:jc w:val="left"/>
              <w:rPr/>
            </w:pPr>
            <w:hyperlink w:anchor="item9cdisclosureregardingforeignjurisdic">
              <w:r>
                <w:rPr>
                  <w:rStyle w:val="InternetLink"/>
                  <w:rFonts w:ascii="Times New Roman" w:hAnsi="Times New Roman"/>
                  <w:color w:val="0000FF"/>
                  <w:sz w:val="20"/>
                  <w:u w:val="single"/>
                </w:rPr>
                <w:t>Disclosure Regarding Foreign Jurisdictions that Prevent Inspection</w:t>
              </w:r>
            </w:hyperlink>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r>
      <w:tr>
        <w:trPr/>
        <w:tc>
          <w:tcPr>
            <w:tcW w:w="9307" w:type="dxa"/>
            <w:gridSpan w:val="2"/>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14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ind w:left="0" w:right="0" w:firstLine="144"/>
              <w:jc w:val="right"/>
              <w:rPr/>
            </w:pPr>
            <w:r>
              <w:rPr/>
              <w:t> </w:t>
            </w:r>
          </w:p>
        </w:tc>
      </w:tr>
      <w:tr>
        <w:trPr/>
        <w:tc>
          <w:tcPr>
            <w:tcW w:w="960"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10.</w:t>
            </w:r>
          </w:p>
        </w:tc>
        <w:tc>
          <w:tcPr>
            <w:tcW w:w="8347" w:type="dxa"/>
            <w:tcBorders/>
            <w:vAlign w:val="center"/>
          </w:tcPr>
          <w:p>
            <w:pPr>
              <w:pStyle w:val="TableContents"/>
              <w:bidi w:val="0"/>
              <w:spacing w:before="0" w:after="283"/>
              <w:jc w:val="left"/>
              <w:rPr/>
            </w:pPr>
            <w:hyperlink w:anchor="item10directors_officers_corp_gov">
              <w:r>
                <w:rPr>
                  <w:rStyle w:val="InternetLink"/>
                  <w:rFonts w:ascii="Times New Roman" w:hAnsi="Times New Roman"/>
                  <w:color w:val="0000FF"/>
                  <w:sz w:val="20"/>
                  <w:u w:val="single"/>
                </w:rPr>
                <w:t>Directors, Executive Officers and Corporate Governance</w:t>
              </w:r>
            </w:hyperlink>
            <w:hyperlink w:anchor="item10directors_officers_corp_gov">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128</w:t>
            </w:r>
          </w:p>
        </w:tc>
      </w:tr>
      <w:tr>
        <w:trPr/>
        <w:tc>
          <w:tcPr>
            <w:tcW w:w="960" w:type="dxa"/>
            <w:tcBorders/>
            <w:shd w:fill="CCEEFF" w:val="cle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11.</w:t>
            </w:r>
          </w:p>
        </w:tc>
        <w:tc>
          <w:tcPr>
            <w:tcW w:w="8347" w:type="dxa"/>
            <w:tcBorders/>
            <w:shd w:fill="CCEEFF" w:val="clear"/>
            <w:vAlign w:val="center"/>
          </w:tcPr>
          <w:p>
            <w:pPr>
              <w:pStyle w:val="TableContents"/>
              <w:bidi w:val="0"/>
              <w:spacing w:before="0" w:after="283"/>
              <w:jc w:val="left"/>
              <w:rPr/>
            </w:pPr>
            <w:hyperlink w:anchor="item11executive_compensation">
              <w:r>
                <w:rPr>
                  <w:rStyle w:val="InternetLink"/>
                  <w:rFonts w:ascii="Times New Roman" w:hAnsi="Times New Roman"/>
                  <w:color w:val="0000FF"/>
                  <w:sz w:val="20"/>
                  <w:u w:val="single"/>
                </w:rPr>
                <w:t>Executive Compensation</w:t>
              </w:r>
            </w:hyperlink>
            <w:hyperlink w:anchor="item11executive_compensation">
              <w:r>
                <w:rPr>
                  <w:rStyle w:val="InternetLink"/>
                  <w:rFonts w:ascii="Times New Roman" w:hAnsi="Times New Roman"/>
                  <w:color w:val="0000FF"/>
                  <w:sz w:val="20"/>
                </w:rPr>
                <w:t xml:space="preserve"> </w:t>
              </w:r>
            </w:hyperlink>
          </w:p>
        </w:tc>
        <w:tc>
          <w:tcPr>
            <w:tcW w:w="14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136</w:t>
            </w:r>
          </w:p>
        </w:tc>
      </w:tr>
      <w:tr>
        <w:trPr/>
        <w:tc>
          <w:tcPr>
            <w:tcW w:w="960"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12.</w:t>
            </w:r>
          </w:p>
        </w:tc>
        <w:tc>
          <w:tcPr>
            <w:tcW w:w="8347" w:type="dxa"/>
            <w:tcBorders/>
            <w:vAlign w:val="center"/>
          </w:tcPr>
          <w:p>
            <w:pPr>
              <w:pStyle w:val="TableContents"/>
              <w:bidi w:val="0"/>
              <w:spacing w:before="0" w:after="283"/>
              <w:jc w:val="left"/>
              <w:rPr/>
            </w:pPr>
            <w:hyperlink w:anchor="item12security_ownership">
              <w:r>
                <w:rPr>
                  <w:rStyle w:val="InternetLink"/>
                  <w:rFonts w:ascii="Times New Roman" w:hAnsi="Times New Roman"/>
                  <w:color w:val="0000FF"/>
                  <w:sz w:val="20"/>
                  <w:u w:val="single"/>
                </w:rPr>
                <w:t>Security Ownership of Certain Beneficial Owners and Management and Related Stockholder Matters</w:t>
              </w:r>
            </w:hyperlink>
            <w:hyperlink w:anchor="item12security_ownership">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138</w:t>
            </w:r>
          </w:p>
        </w:tc>
      </w:tr>
      <w:tr>
        <w:trPr/>
        <w:tc>
          <w:tcPr>
            <w:tcW w:w="960" w:type="dxa"/>
            <w:tcBorders/>
            <w:shd w:fill="CCEEFF" w:val="cle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13.</w:t>
            </w:r>
          </w:p>
        </w:tc>
        <w:tc>
          <w:tcPr>
            <w:tcW w:w="8347" w:type="dxa"/>
            <w:tcBorders/>
            <w:shd w:fill="CCEEFF" w:val="clear"/>
            <w:vAlign w:val="center"/>
          </w:tcPr>
          <w:p>
            <w:pPr>
              <w:pStyle w:val="TableContents"/>
              <w:bidi w:val="0"/>
              <w:spacing w:before="0" w:after="283"/>
              <w:jc w:val="left"/>
              <w:rPr/>
            </w:pPr>
            <w:hyperlink w:anchor="item13relationships_related_transactions">
              <w:r>
                <w:rPr>
                  <w:rStyle w:val="InternetLink"/>
                  <w:rFonts w:ascii="Times New Roman" w:hAnsi="Times New Roman"/>
                  <w:color w:val="0000FF"/>
                  <w:sz w:val="20"/>
                  <w:u w:val="single"/>
                </w:rPr>
                <w:t>Certain Relationships and Related Transactions, and Director Independence</w:t>
              </w:r>
            </w:hyperlink>
            <w:hyperlink w:anchor="item13relationships_related_transactions">
              <w:r>
                <w:rPr>
                  <w:rStyle w:val="InternetLink"/>
                  <w:rFonts w:ascii="Times New Roman" w:hAnsi="Times New Roman"/>
                  <w:color w:val="0000FF"/>
                  <w:sz w:val="20"/>
                </w:rPr>
                <w:t xml:space="preserve"> </w:t>
              </w:r>
            </w:hyperlink>
          </w:p>
        </w:tc>
        <w:tc>
          <w:tcPr>
            <w:tcW w:w="14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139</w:t>
            </w:r>
          </w:p>
        </w:tc>
      </w:tr>
      <w:tr>
        <w:trPr/>
        <w:tc>
          <w:tcPr>
            <w:tcW w:w="960"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14.</w:t>
            </w:r>
          </w:p>
        </w:tc>
        <w:tc>
          <w:tcPr>
            <w:tcW w:w="8347" w:type="dxa"/>
            <w:tcBorders/>
            <w:vAlign w:val="center"/>
          </w:tcPr>
          <w:p>
            <w:pPr>
              <w:pStyle w:val="TableContents"/>
              <w:bidi w:val="0"/>
              <w:spacing w:before="0" w:after="283"/>
              <w:jc w:val="left"/>
              <w:rPr/>
            </w:pPr>
            <w:hyperlink w:anchor="item14principal_accountant_fees">
              <w:r>
                <w:rPr>
                  <w:rStyle w:val="InternetLink"/>
                  <w:rFonts w:ascii="Times New Roman" w:hAnsi="Times New Roman"/>
                  <w:color w:val="0000FF"/>
                  <w:sz w:val="20"/>
                  <w:u w:val="single"/>
                </w:rPr>
                <w:t>Principal Accounting Fees and Services</w:t>
              </w:r>
            </w:hyperlink>
            <w:hyperlink w:anchor="item14principal_accountant_fees">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r>
      <w:tr>
        <w:trPr/>
        <w:tc>
          <w:tcPr>
            <w:tcW w:w="9307" w:type="dxa"/>
            <w:gridSpan w:val="2"/>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14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ind w:left="0" w:right="0" w:firstLine="144"/>
              <w:jc w:val="right"/>
              <w:rPr/>
            </w:pPr>
            <w:r>
              <w:rPr/>
              <w:t> </w:t>
            </w:r>
          </w:p>
        </w:tc>
      </w:tr>
      <w:tr>
        <w:trPr/>
        <w:tc>
          <w:tcPr>
            <w:tcW w:w="960" w:type="dxa"/>
            <w:tcBorders/>
            <w:vAlign w:val="center"/>
          </w:tcPr>
          <w:p>
            <w:pPr>
              <w:pStyle w:val="TableContents"/>
              <w:pBdr/>
              <w:bidi w:val="0"/>
              <w:spacing w:before="0" w:after="283"/>
              <w:ind w:left="0" w:right="0" w:hanging="144"/>
              <w:jc w:val="left"/>
              <w:rPr/>
            </w:pPr>
            <w:hyperlink w:anchor="item15exhibitsandfinancialstatementsched">
              <w:r>
                <w:rPr>
                  <w:rStyle w:val="InternetLink"/>
                  <w:rFonts w:ascii="Times New Roman" w:hAnsi="Times New Roman"/>
                  <w:color w:val="000000"/>
                  <w:sz w:val="20"/>
                </w:rPr>
                <w:t>Item 15.</w:t>
              </w:r>
            </w:hyperlink>
          </w:p>
        </w:tc>
        <w:tc>
          <w:tcPr>
            <w:tcW w:w="8347" w:type="dxa"/>
            <w:tcBorders/>
            <w:vAlign w:val="center"/>
          </w:tcPr>
          <w:p>
            <w:pPr>
              <w:pStyle w:val="TableContents"/>
              <w:bidi w:val="0"/>
              <w:spacing w:before="0" w:after="283"/>
              <w:jc w:val="left"/>
              <w:rPr/>
            </w:pPr>
            <w:hyperlink w:anchor="item15exhibitsandfinancialstatementsched">
              <w:r>
                <w:rPr>
                  <w:rStyle w:val="InternetLink"/>
                  <w:rFonts w:ascii="Times New Roman" w:hAnsi="Times New Roman"/>
                  <w:color w:val="0000FF"/>
                  <w:sz w:val="20"/>
                  <w:u w:val="single"/>
                </w:rPr>
                <w:t>Exhibits and Financial Statement Schedules</w:t>
              </w:r>
            </w:hyperlink>
            <w:hyperlink w:anchor="item15exhibitsandfinancialstatementsched">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143</w:t>
            </w:r>
          </w:p>
        </w:tc>
      </w:tr>
      <w:tr>
        <w:trPr/>
        <w:tc>
          <w:tcPr>
            <w:tcW w:w="960" w:type="dxa"/>
            <w:tcBorders/>
            <w:shd w:fill="CCEEFF" w:val="cle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16.</w:t>
            </w:r>
          </w:p>
        </w:tc>
        <w:tc>
          <w:tcPr>
            <w:tcW w:w="8347" w:type="dxa"/>
            <w:tcBorders/>
            <w:shd w:fill="CCEEFF" w:val="clear"/>
            <w:vAlign w:val="center"/>
          </w:tcPr>
          <w:p>
            <w:pPr>
              <w:pStyle w:val="TableContents"/>
              <w:bidi w:val="0"/>
              <w:spacing w:before="0" w:after="283"/>
              <w:jc w:val="left"/>
              <w:rPr/>
            </w:pPr>
            <w:hyperlink w:anchor="item1610k_summary">
              <w:r>
                <w:rPr>
                  <w:rStyle w:val="InternetLink"/>
                  <w:rFonts w:ascii="Times New Roman" w:hAnsi="Times New Roman"/>
                  <w:color w:val="0000FF"/>
                  <w:sz w:val="20"/>
                  <w:u w:val="single"/>
                </w:rPr>
                <w:t>Form 10-K Summary</w:t>
              </w:r>
            </w:hyperlink>
          </w:p>
        </w:tc>
        <w:tc>
          <w:tcPr>
            <w:tcW w:w="14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147</w:t>
            </w:r>
          </w:p>
        </w:tc>
      </w:tr>
      <w:tr>
        <w:trPr/>
        <w:tc>
          <w:tcPr>
            <w:tcW w:w="960" w:type="dxa"/>
            <w:tcBorders/>
            <w:vAlign w:val="center"/>
          </w:tcPr>
          <w:p>
            <w:pPr>
              <w:pStyle w:val="TableContents"/>
              <w:pBdr/>
              <w:bidi w:val="0"/>
              <w:spacing w:before="0" w:after="283"/>
              <w:ind w:left="0" w:right="0" w:hanging="144"/>
              <w:jc w:val="left"/>
              <w:rPr/>
            </w:pPr>
            <w:hyperlink w:anchor="signatures_215282">
              <w:r>
                <w:rPr>
                  <w:rStyle w:val="InternetLink"/>
                  <w:rFonts w:ascii="Times New Roman" w:hAnsi="Times New Roman"/>
                  <w:color w:val="0000FF"/>
                  <w:sz w:val="20"/>
                  <w:u w:val="single"/>
                </w:rPr>
                <w:t>Signatures</w:t>
              </w:r>
            </w:hyperlink>
          </w:p>
        </w:tc>
        <w:tc>
          <w:tcPr>
            <w:tcW w:w="83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r>
    </w:tbl>
    <w:p>
      <w:pPr>
        <w:pStyle w:val="TextBody"/>
        <w:bidi w:val="0"/>
        <w:jc w:val="left"/>
        <w:rPr/>
      </w:pPr>
      <w:r>
        <w:rPr/>
        <w:t> </w:t>
      </w:r>
    </w:p>
    <w:p>
      <w:pPr>
        <w:pStyle w:val="TextBody"/>
        <w:bidi w:val="0"/>
        <w:spacing w:before="480" w:after="283"/>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bookmarkStart w:id="3" w:name="part_i"/>
      <w:bookmarkEnd w:id="3"/>
      <w:r>
        <w:rPr>
          <w:rFonts w:ascii="Times New Roman" w:hAnsi="Times New Roman"/>
          <w:b/>
          <w:color w:val="000000"/>
          <w:sz w:val="20"/>
        </w:rPr>
        <w:t>PART I</w:t>
      </w:r>
    </w:p>
    <w:p>
      <w:pPr>
        <w:pStyle w:val="TextBody"/>
        <w:bidi w:val="0"/>
        <w:spacing w:before="200" w:after="283"/>
        <w:jc w:val="left"/>
        <w:rPr>
          <w:rFonts w:ascii="Times New Roman" w:hAnsi="Times New Roman"/>
          <w:b/>
          <w:color w:val="000000"/>
          <w:sz w:val="20"/>
        </w:rPr>
      </w:pPr>
      <w:bookmarkStart w:id="4" w:name="item1business_632152"/>
      <w:bookmarkEnd w:id="4"/>
      <w:r>
        <w:rPr>
          <w:rFonts w:ascii="Times New Roman" w:hAnsi="Times New Roman"/>
          <w:b/>
          <w:color w:val="000000"/>
          <w:sz w:val="20"/>
        </w:rPr>
        <w:t>Item 1.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Runway Growth Finance Corp.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Runway Growth Finance Corp. ("we," "us," "our," or the "Company"), a Maryland corporation formed on August 31, 2015, is structured as an externally managed, non-diversified closed-end management investment company. On August 18, 2021, we changed our name to "Runway Growth Finance Corp." from "Runway Growth Credit Fund Inc." We are a specialty finance company focused on providing senior secured loans to high growth-potential companies in technology, life sciences, healthcare information and services, business services, financial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gains on our warrants and other equity positions. Our offices are in Chicago, Illinois; Menlo Park, California; and New York, New York.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elected to be regulated as a business development company ("BDC") under the Investment Company Act of 1940, as amended (together with the rules and regulations promulgated thereunder, the "1940 Act"). We have also elected to be treated as regulated investment company ("RIC") under Subchapter M of the Internal Revenue Code of 1986, as amended (the "Code"). While we currently qualify, and expect to qualify annually, to be treated as a RIC, no assurance can be provided that we will be able to maintain our tax treatment as a RIC. If we fail to qualify for tax treatment as a RIC for any taxable year, we will be subject to U.S. federal income tax at corporate rates on any net taxable income for such year. See "— Certain U.S. Federal Income Tax Considerations" and "Note 2 — Summary of Significant Accounting Policies" to our consolidated financial statements in Part II, Item 8 of this Form 10-K for more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(the “JOBS Act”). We will remain an emerging growth company until the last day of our fiscal year following the fifth anniversary of our IPO (December 31, 2026), or until the earliest of (i) the last day of the first fiscal year in which we have total annual gross revenue of $1.235 billion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the commencement of investment operations on December 16, 2016, through December 31, 2023, we funded 77 portfolio companies and invested $2.1 billion in debt investments. As of December 31, 2023, our debt investment portfolio, excluding U.S. Treasury bills, consisted of 29 portfolio companies with an aggregate fair value of $978.5 million while our equity portfolio consisted of 58 warrant positions, five preferred stock positions, six common stock positions, one equity interest position, and one convertible note position in 48 portfolio companies with an aggregate fair value of $46.5 million. As of December 31, 2023, 98.5%, or $964.1 million, of our debt investment portfolio at fair value consisted of senior term loans. As of December 31, 2023, our net assets were $547.1 million, and all of our debt investments were secured by all or a portion of the tangible and intangible assets of the applicable portfolio company. The debt investments in our portfolio are generally not rated by any rating agency. If the individual debt investments in our portfolio were rated, they would be rated below "investment grade." Debt investments that are unrated or rated below investment grade are sometimes referred to as "junk bonds" and have predominantly speculative characteristics with respect to the issuer’s capacity to pay interest and repay principal.</w:t>
      </w:r>
    </w:p>
    <w:p>
      <w:pPr>
        <w:pStyle w:val="TextBody"/>
        <w:bidi w:val="0"/>
        <w:spacing w:before="200" w:after="283"/>
        <w:jc w:val="both"/>
        <w:rPr>
          <w:rFonts w:ascii="Times New Roman" w:hAnsi="Times New Roman"/>
          <w:color w:val="231F20"/>
          <w:sz w:val="20"/>
        </w:rPr>
      </w:pPr>
      <w:r>
        <w:rPr>
          <w:rFonts w:ascii="Times New Roman" w:hAnsi="Times New Roman"/>
          <w:color w:val="231F20"/>
          <w:sz w:val="20"/>
        </w:rPr>
        <w:t>For the year ended December 31, 2023, our debt investment portfolio had a dollar-weighted annualized yield of 15.8%. For the year ended December 31, 2022, our debt investment portfolio had a dollar-weighted annualized yield of 13.7%. For the year ended December 31, 2021, our debt investment portfolio had a dollar-weighted annualized yield of 13.8%. We calculate the yield on dollar-weighted debt investments for any period measured as (1) total related investment income during the period divided by (2) the daily average of the fair value of debt investments outstanding during the period, including any debt investments on non-accrual status. As of December 31, 2023, our debt investments had a dollar-weighted average outstanding term of 58 months at origination and a dollar-weighted average remaining term of 39 months, or approximately 3.2 years. As of December 31, 2023, substantially all of our debt investments had a committed principal amount of between $6.0 million and $85.0 million and pay cash interest at annual interest rates between 8.0% and 15.6%.</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both"/>
        <w:rPr>
          <w:rFonts w:ascii="Times New Roman" w:hAnsi="Times New Roman"/>
          <w:color w:val="231F20"/>
          <w:sz w:val="20"/>
        </w:rPr>
      </w:pPr>
      <w:r>
        <w:rPr>
          <w:rFonts w:ascii="Times New Roman" w:hAnsi="Times New Roman"/>
          <w:color w:val="231F20"/>
          <w:sz w:val="20"/>
        </w:rPr>
        <w:t>The following table shows our dollar-weighted annualized yield by investment type for the years ended December 31, 2023, and December 31, 2022, and December 31, 2021:</w:t>
      </w:r>
    </w:p>
    <w:tbl>
      <w:tblPr>
        <w:tblW w:w="8521" w:type="dxa"/>
        <w:jc w:val="left"/>
        <w:tblInd w:w="0" w:type="dxa"/>
        <w:tblLayout w:type="fixed"/>
        <w:tblCellMar>
          <w:top w:w="28" w:type="dxa"/>
          <w:left w:w="28" w:type="dxa"/>
          <w:bottom w:w="28" w:type="dxa"/>
          <w:right w:w="28" w:type="dxa"/>
        </w:tblCellMar>
      </w:tblPr>
      <w:tblGrid>
        <w:gridCol w:w="1336"/>
        <w:gridCol w:w="146"/>
        <w:gridCol w:w="146"/>
        <w:gridCol w:w="511"/>
        <w:gridCol w:w="146"/>
        <w:gridCol w:w="241"/>
        <w:gridCol w:w="146"/>
        <w:gridCol w:w="146"/>
        <w:gridCol w:w="511"/>
        <w:gridCol w:w="146"/>
        <w:gridCol w:w="241"/>
        <w:gridCol w:w="146"/>
        <w:gridCol w:w="146"/>
        <w:gridCol w:w="511"/>
        <w:gridCol w:w="146"/>
        <w:gridCol w:w="241"/>
        <w:gridCol w:w="146"/>
        <w:gridCol w:w="146"/>
        <w:gridCol w:w="511"/>
        <w:gridCol w:w="146"/>
        <w:gridCol w:w="241"/>
        <w:gridCol w:w="146"/>
        <w:gridCol w:w="146"/>
        <w:gridCol w:w="511"/>
        <w:gridCol w:w="146"/>
        <w:gridCol w:w="241"/>
        <w:gridCol w:w="146"/>
        <w:gridCol w:w="146"/>
        <w:gridCol w:w="511"/>
        <w:gridCol w:w="146"/>
        <w:gridCol w:w="286"/>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Cost</w:t>
            </w:r>
            <w:r>
              <w:rPr>
                <w:rFonts w:ascii="Times New Roman" w:hAnsi="Times New Roman"/>
                <w:b/>
                <w:color w:val="000000"/>
                <w:sz w:val="11"/>
              </w:rPr>
              <w:t>(2)</w:t>
            </w:r>
          </w:p>
        </w:tc>
      </w:tr>
      <w:tr>
        <w:trPr/>
        <w:tc>
          <w:tcPr>
            <w:tcW w:w="13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shd w:fill="FFFFFF" w:val="clear"/>
            <w:vAlign w:val="center"/>
          </w:tcPr>
          <w:p>
            <w:pPr>
              <w:pStyle w:val="TableContents"/>
              <w:bidi w:val="0"/>
              <w:spacing w:before="0" w:after="283"/>
              <w:jc w:val="left"/>
              <w:rPr/>
            </w:pPr>
            <w:r>
              <w:rPr/>
              <w:t> </w:t>
            </w:r>
          </w:p>
        </w:tc>
        <w:tc>
          <w:tcPr>
            <w:tcW w:w="3469"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13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r>
      <w:tr>
        <w:trPr/>
        <w:tc>
          <w:tcPr>
            <w:tcW w:w="133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type:</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r>
      <w:tr>
        <w:trPr/>
        <w:tc>
          <w:tcPr>
            <w:tcW w:w="13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Debt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15.78</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13.77</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13.49</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13.52</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15.20</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non-accrual status. The dollar-weighted annualized yield represents the portfolio yield and will be higher than what investors will realize because it does not reflect our expenses or any sales load paid by investors.</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About RGC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externally managed by Runway Growth Capital LLC ("RGC" or the "Adviser"), an investment adviser that has registered with the U.S. Securities and Exchange Commission ("SEC") under the Investment Advisers Act of 1940, as amended (together with the rules and regulations promulgated thereunder, the "Advisers Act"). Runway Administrator Services LLC (the "Administrator"), a wholly-owned subsidiary of RGC, provides all administrative services necessary for us to operate. Subject to the overall supervision of our board of directors ("Board of Directors"), RGC manages our day-to-day operations and provides us with investment advisory services pursuant to an investment advisory agreement, as amended and restated (the "Advisory Agreement"). Under the terms of the Advisory Agreement, RGC:</w:t>
      </w:r>
    </w:p>
    <w:p>
      <w:pPr>
        <w:pStyle w:val="TextBody"/>
        <w:bidi w:val="0"/>
        <w:spacing w:before="240" w:after="120"/>
        <w:jc w:val="both"/>
        <w:rPr>
          <w:color w:val="000000"/>
        </w:rPr>
      </w:pPr>
      <w:r>
        <w:rPr>
          <w:color w:val="000000"/>
        </w:rPr>
        <w:t>•</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determines the composition of our portfolio, the nature and timing of the changes to the portfolio and the manner of implementing such changes;</w:t>
      </w:r>
    </w:p>
    <w:p>
      <w:pPr>
        <w:pStyle w:val="TextBody"/>
        <w:bidi w:val="0"/>
        <w:spacing w:before="80" w:after="120"/>
        <w:jc w:val="both"/>
        <w:rPr>
          <w:color w:val="000000"/>
        </w:rPr>
      </w:pPr>
      <w:r>
        <w:rPr>
          <w:color w:val="000000"/>
        </w:rPr>
        <w: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identifies, evaluates and negotiates the structure of the investments we make;</w:t>
      </w:r>
    </w:p>
    <w:p>
      <w:pPr>
        <w:pStyle w:val="TextBody"/>
        <w:bidi w:val="0"/>
        <w:spacing w:before="80" w:after="120"/>
        <w:jc w:val="both"/>
        <w:rPr>
          <w:color w:val="000000"/>
        </w:rPr>
      </w:pPr>
      <w:r>
        <w:rPr>
          <w:color w:val="000000"/>
        </w:rPr>
        <w: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executes, closes and monitors the investments we make;</w:t>
      </w:r>
    </w:p>
    <w:p>
      <w:pPr>
        <w:pStyle w:val="TextBody"/>
        <w:bidi w:val="0"/>
        <w:spacing w:before="80" w:after="120"/>
        <w:jc w:val="both"/>
        <w:rPr>
          <w:color w:val="000000"/>
        </w:rPr>
      </w:pPr>
      <w:r>
        <w:rPr>
          <w:color w:val="000000"/>
        </w:rPr>
        <w: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determines the securities and other assets that we will purchase, retain or sell;</w:t>
      </w:r>
    </w:p>
    <w:p>
      <w:pPr>
        <w:pStyle w:val="TextBody"/>
        <w:bidi w:val="0"/>
        <w:spacing w:before="80" w:after="120"/>
        <w:jc w:val="both"/>
        <w:rPr>
          <w:color w:val="000000"/>
        </w:rPr>
      </w:pPr>
      <w:r>
        <w:rPr>
          <w:color w:val="000000"/>
        </w:rPr>
        <w: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performs due diligence on prospective investments; and</w:t>
      </w:r>
    </w:p>
    <w:p>
      <w:pPr>
        <w:pStyle w:val="TextBody"/>
        <w:bidi w:val="0"/>
        <w:spacing w:before="80" w:after="240"/>
        <w:jc w:val="both"/>
        <w:rPr>
          <w:color w:val="000000"/>
        </w:rPr>
      </w:pPr>
      <w:r>
        <w:rPr>
          <w:color w:val="000000"/>
        </w:rPr>
        <w:t>•</w:t>
      </w:r>
    </w:p>
    <w:p>
      <w:pPr>
        <w:pStyle w:val="TextBody"/>
        <w:bidi w:val="0"/>
        <w:spacing w:before="80" w:after="240"/>
        <w:jc w:val="both"/>
        <w:rPr>
          <w:rFonts w:ascii="Times New Roman" w:hAnsi="Times New Roman"/>
          <w:color w:val="000000"/>
          <w:sz w:val="20"/>
        </w:rPr>
      </w:pPr>
      <w:r>
        <w:rPr>
          <w:rFonts w:ascii="Times New Roman" w:hAnsi="Times New Roman"/>
          <w:color w:val="000000"/>
          <w:sz w:val="20"/>
        </w:rPr>
        <w:t>provides us with other such investment advisory, research and related services as we may, from time to time, reasonably require for the investment of our funds.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Advisory Agreement, we pay RGC a fee for its investment advisory and management services consisting of two components: a base management fee and an incentive fee. The cost of both the base management fee and incentive fee are ultimately borne by our stockholders. See "Note 3 — Related Party Agreements and Transactions" to our consolidated financial statements in Part II, Item 8 of this Form 10</w:t>
        <w:noBreakHyphen/>
        <w:t>K for more information on the Advisory Agreement and the fee structure thereunder.</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Payment of Our Expenses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professionals of RGC, when and to the extent engaged in providing investment advisory and management services to us, and the compensation and routine overhead expenses of personnel allocable to these services to us, are provided and paid for by RGC and not by us. We bear all other out-of-pocket costs and expenses of our operations and transactions, including, without limitation, those relating to:</w:t>
      </w:r>
    </w:p>
    <w:p>
      <w:pPr>
        <w:pStyle w:val="TextBody"/>
        <w:bidi w:val="0"/>
        <w:spacing w:before="240" w:after="120"/>
        <w:jc w:val="both"/>
        <w:rPr>
          <w:color w:val="000000"/>
        </w:rPr>
      </w:pPr>
      <w:r>
        <w:rPr>
          <w:color w:val="000000"/>
        </w:rPr>
        <w:t>•</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our pro-rata portion of fees and expenses related to an initial public offering in connection with a spin-off transaction;</w:t>
      </w:r>
    </w:p>
    <w:p>
      <w:pPr>
        <w:pStyle w:val="TextBody"/>
        <w:bidi w:val="0"/>
        <w:spacing w:before="80" w:after="120"/>
        <w:jc w:val="both"/>
        <w:rPr>
          <w:color w:val="000000"/>
        </w:rPr>
      </w:pPr>
      <w:r>
        <w:rPr>
          <w:color w:val="000000"/>
        </w:rPr>
        <w: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fees and expenses related to public and private offerings, sales and repurchases of the Company’s securities;</w:t>
      </w:r>
    </w:p>
    <w:p>
      <w:pPr>
        <w:pStyle w:val="TextBody"/>
        <w:bidi w:val="0"/>
        <w:spacing w:before="80" w:after="120"/>
        <w:jc w:val="both"/>
        <w:rPr>
          <w:color w:val="000000"/>
        </w:rPr>
      </w:pPr>
      <w:r>
        <w:rPr>
          <w:color w:val="000000"/>
        </w:rPr>
        <w: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calculating our net asset value (including the cost and expenses of any independent valuation firm);</w:t>
      </w:r>
    </w:p>
    <w:p>
      <w:pPr>
        <w:pStyle w:val="TextBody"/>
        <w:bidi w:val="0"/>
        <w:spacing w:before="80" w:after="120"/>
        <w:jc w:val="both"/>
        <w:rPr>
          <w:color w:val="000000"/>
        </w:rPr>
      </w:pPr>
      <w:r>
        <w:rPr>
          <w:color w:val="000000"/>
        </w:rPr>
        <w: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pStyle w:val="TextBody"/>
        <w:bidi w:val="0"/>
        <w:spacing w:before="80" w:after="120"/>
        <w:jc w:val="both"/>
        <w:rPr>
          <w:color w:val="000000"/>
        </w:rPr>
      </w:pPr>
      <w:r>
        <w:rPr>
          <w:color w:val="000000"/>
        </w:rPr>
        <w: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interest payable on debt incurred to finance our investments;</w:t>
      </w:r>
    </w:p>
    <w:p>
      <w:pPr>
        <w:pStyle w:val="TextBody"/>
        <w:bidi w:val="0"/>
        <w:spacing w:before="80" w:after="120"/>
        <w:jc w:val="both"/>
        <w:rPr>
          <w:color w:val="000000"/>
        </w:rPr>
      </w:pPr>
      <w:r>
        <w:rPr>
          <w:color w:val="000000"/>
        </w:rPr>
        <w: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sales and purchases of our common stock and other securities;</w:t>
      </w:r>
    </w:p>
    <w:p>
      <w:pPr>
        <w:pStyle w:val="TextBody"/>
        <w:bidi w:val="0"/>
        <w:spacing w:before="80" w:after="120"/>
        <w:jc w:val="both"/>
        <w:rPr>
          <w:color w:val="000000"/>
        </w:rPr>
      </w:pPr>
      <w:r>
        <w:rPr>
          <w:color w:val="000000"/>
        </w:rPr>
        <w: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investment advisory and management fees;</w:t>
      </w:r>
    </w:p>
    <w:p>
      <w:pPr>
        <w:pStyle w:val="TextBody"/>
        <w:bidi w:val="0"/>
        <w:spacing w:before="80" w:after="120"/>
        <w:jc w:val="both"/>
        <w:rPr>
          <w:color w:val="000000"/>
        </w:rPr>
      </w:pPr>
      <w:r>
        <w:rPr>
          <w:color w:val="000000"/>
        </w:rPr>
        <w: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administration fees payable under the administration agreement with the Administrator (the "Administration Agreement");</w:t>
      </w:r>
    </w:p>
    <w:p>
      <w:pPr>
        <w:pStyle w:val="TextBody"/>
        <w:bidi w:val="0"/>
        <w:spacing w:before="80" w:after="120"/>
        <w:jc w:val="both"/>
        <w:rPr>
          <w:color w:val="000000"/>
        </w:rPr>
      </w:pPr>
      <w:r>
        <w:rPr>
          <w:color w:val="000000"/>
        </w:rPr>
        <w: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transfer agent and custodial fees;</w:t>
      </w:r>
    </w:p>
    <w:p>
      <w:pPr>
        <w:pStyle w:val="TextBody"/>
        <w:bidi w:val="0"/>
        <w:spacing w:before="80" w:after="120"/>
        <w:jc w:val="both"/>
        <w:rPr>
          <w:color w:val="000000"/>
        </w:rPr>
      </w:pPr>
      <w:r>
        <w:rPr>
          <w:color w:val="000000"/>
        </w:rPr>
        <w: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federal and state registration fees;</w:t>
      </w:r>
    </w:p>
    <w:p>
      <w:pPr>
        <w:pStyle w:val="TextBody"/>
        <w:bidi w:val="0"/>
        <w:spacing w:before="80" w:after="120"/>
        <w:jc w:val="both"/>
        <w:rPr>
          <w:color w:val="000000"/>
        </w:rPr>
      </w:pPr>
      <w:r>
        <w:rPr>
          <w:color w:val="000000"/>
        </w:rPr>
        <w: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all costs of registration and listing our securities on any securities exchange;</w:t>
      </w:r>
    </w:p>
    <w:p>
      <w:pPr>
        <w:pStyle w:val="TextBody"/>
        <w:bidi w:val="0"/>
        <w:spacing w:before="80" w:after="120"/>
        <w:jc w:val="both"/>
        <w:rPr>
          <w:color w:val="000000"/>
        </w:rPr>
      </w:pPr>
      <w:r>
        <w:rPr>
          <w:color w:val="000000"/>
        </w:rPr>
        <w: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U.S. federal, state and local taxes;</w:t>
      </w:r>
    </w:p>
    <w:p>
      <w:pPr>
        <w:pStyle w:val="TextBody"/>
        <w:bidi w:val="0"/>
        <w:spacing w:before="80" w:after="120"/>
        <w:jc w:val="both"/>
        <w:rPr>
          <w:color w:val="000000"/>
        </w:rPr>
      </w:pPr>
      <w:r>
        <w:rPr>
          <w:color w:val="000000"/>
        </w:rPr>
        <w: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independent directors’ fees and expenses;</w:t>
      </w:r>
    </w:p>
    <w:p>
      <w:pPr>
        <w:pStyle w:val="TextBody"/>
        <w:bidi w:val="0"/>
        <w:spacing w:before="80" w:after="120"/>
        <w:jc w:val="both"/>
        <w:rPr>
          <w:color w:val="000000"/>
        </w:rPr>
      </w:pPr>
      <w:r>
        <w:rPr>
          <w:color w:val="000000"/>
        </w:rPr>
        <w: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costs of preparing and filing reports or other documents required by the SEC, the Financial Industry Regulatory Authority or other regulators;</w:t>
      </w:r>
    </w:p>
    <w:p>
      <w:pPr>
        <w:pStyle w:val="TextBody"/>
        <w:bidi w:val="0"/>
        <w:spacing w:before="80" w:after="120"/>
        <w:jc w:val="both"/>
        <w:rPr>
          <w:color w:val="000000"/>
        </w:rPr>
      </w:pPr>
      <w:r>
        <w:rPr>
          <w:color w:val="000000"/>
        </w:rPr>
        <w: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costs of any reports, proxy statements or other notices to stockholders, including printing costs;</w:t>
      </w:r>
    </w:p>
    <w:p>
      <w:pPr>
        <w:pStyle w:val="TextBody"/>
        <w:bidi w:val="0"/>
        <w:spacing w:before="80" w:after="120"/>
        <w:jc w:val="both"/>
        <w:rPr>
          <w:color w:val="000000"/>
        </w:rPr>
      </w:pPr>
      <w:r>
        <w:rPr>
          <w:color w:val="000000"/>
        </w:rPr>
        <w: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our allocable portion of any fidelity bond, directors’ and officers’ errors and omissions liability insurance, and any other insurance premiums;</w:t>
      </w:r>
    </w:p>
    <w:p>
      <w:pPr>
        <w:pStyle w:val="TextBody"/>
        <w:bidi w:val="0"/>
        <w:spacing w:before="80" w:after="120"/>
        <w:jc w:val="both"/>
        <w:rPr>
          <w:color w:val="000000"/>
        </w:rPr>
      </w:pPr>
      <w:r>
        <w:rPr>
          <w:color w:val="000000"/>
        </w:rPr>
        <w: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direct costs and expenses of administration, including printing, mailing, long distance telephone, copying, secretarial and other staff, independent auditors and outside legal costs; and</w:t>
      </w:r>
    </w:p>
    <w:p>
      <w:pPr>
        <w:pStyle w:val="TextBody"/>
        <w:bidi w:val="0"/>
        <w:spacing w:before="80" w:after="240"/>
        <w:jc w:val="both"/>
        <w:rPr>
          <w:color w:val="000000"/>
        </w:rPr>
      </w:pPr>
      <w:r>
        <w:rPr>
          <w:color w:val="000000"/>
        </w:rPr>
        <w:t>•</w:t>
      </w:r>
    </w:p>
    <w:p>
      <w:pPr>
        <w:pStyle w:val="TextBody"/>
        <w:bidi w:val="0"/>
        <w:spacing w:before="80" w:after="240"/>
        <w:jc w:val="both"/>
        <w:rPr>
          <w:rFonts w:ascii="Times New Roman" w:hAnsi="Times New Roman"/>
          <w:color w:val="000000"/>
          <w:sz w:val="20"/>
        </w:rPr>
      </w:pPr>
      <w:r>
        <w:rPr>
          <w:rFonts w:ascii="Times New Roman" w:hAnsi="Times New Roman"/>
          <w:color w:val="000000"/>
          <w:sz w:val="20"/>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Investment Committee</w:t>
      </w:r>
    </w:p>
    <w:p>
      <w:pPr>
        <w:pStyle w:val="TextBody"/>
        <w:bidi w:val="0"/>
        <w:jc w:val="both"/>
        <w:rPr>
          <w:rFonts w:ascii="Times New Roman" w:hAnsi="Times New Roman"/>
          <w:color w:val="000000"/>
          <w:sz w:val="20"/>
        </w:rPr>
      </w:pPr>
      <w:r>
        <w:rPr>
          <w:rFonts w:ascii="Times New Roman" w:hAnsi="Times New Roman"/>
          <w:color w:val="000000"/>
          <w:sz w:val="20"/>
        </w:rPr>
        <w:t>RGC’s investment committee (the "Investment Committee") consists of R. David Spreng, RGC's founder, Chief Executive Officer and Chief Investment Officer, Thomas B. Raterman, our Acting President, Chief Financial Officer, Chief Operating Officer, Treasurer and Secretary, and RGC's Chief Financial Officer and Chief Operating Officer, Greg Greifeld, our Acting Chief Executive Officer and RGC's Managing Director, Deputy Chief Investment Officer and Head of Credit, and Gregory M. Share, OCM Growth's (as defined below) appointee. The Investment Committee meets regularly to consider our investments, review our strategic initiatives and supervise the actions taken by RGC on our behalf. In addition, the Investment Committee reviews and monitors the performance of our investment portfolio. Each investment must be approved by a majority of the Investment Committee. In addition, Mr. Spreng, as Chairman of the Investment Committee, has the right to veto the approval of any investment, and any investment by us that is outside of certain agreed upon investment criteria requires the affirmative vote of OCM Growth’s appointee to the Investment Committee. See "— Strategic Relationship" below for more information.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Board Approval of the Advisory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Board of Directors, including a majority of the directors who were not "interested persons," as defined in Section 2(a)(19) of the 1940 Act, of us or RGC ("the Independent Directors"), approved the Advisory Agreement at a virtual meeting on April 7, 2021 and recommended that our stockholders approve the Advisory Agreement. In reliance upon certain exemptive relief granted by the SEC in connection with the global COVID-19 pandemic, the Board of Directors undertook to ratify the Advisory Agreement at its next in-person meeting which was held in July 2021. The Advisory Agreement became effective on May 27, 2021 upon approval by our stockholders at a special meeting of stockholders of the Company. The Advisory Agreement amended the prior advisory agreement to include certain revisions to the management and incentive fee calculation mechanisms and clarify language relating to liquidity events. In its consideration of the approval of the Advisory Agreement, our Board of Directors focused on information it had received relating to, among other things: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nature, quality and extent of the advisory and other services provided to us by RGC under the terms of the Advisory Agreement;</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investment performance and the investment performance of RGC;</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comparative data with respect to advisory fees or similar expenses paid by other BDCs with similar investment objectives;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information about the services being performed and the personnel performing such services under the Advisory Agreement;</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projected operating expenses and expense ratio compared to BDCs with similar investment objectives, including expenses related to investment due diligence, travel and investigating and monitoring investments;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any existing and potential sources of indirect income to RGC from its relationship with us and RGC’s profitability; and</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extent to which economies of scale would be realized as we grow and whether fee levels reflect these economies of scale for the benefit of our stockholders.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Our Board of Directors did not quantify, rank or otherwise assign relative weights to the specific factors it considered in reaching its decision. Our Board of Directors did not undertake to make any specific determination as to whether any particular factor, or any aspect of any particular factor, was favorable or unfavorable to its ultimate determination. Rather, our Board of Directors based its approval on the totality of information presented to, and the investigation conducted by, it. In considering the factors discussed above, individual directors may have given different weights to different factors. Based on its review of the above-mentioned factors and discussion of the Advisory Agreement, our Board of Directors approved the Advisory Agreement as being in our and our stockholders’ best interests and recommended that our stockholders approve the Advisory Agreement as well. The initial two-year term of the Advisory Agreement expired on May 27, 2023, however, prior to the expiration of the initial term, on May 2, 2023 at an in-person meeting, the Board of Directors re-approved the Advisory Agreement for a period of twelve months, commencing May 23, 2023.</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Duration and Termination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Unless terminated earlier as described below, the Advisory Agreement will continue automatically for successive annual periods provided that such continuance is specifically approved at least annually by (i) (A) the affirmative vote of a majority of our Board of Directors or (B) the affirmative vote of a majority of our outstanding voting securities, and (ii) the affirmative vote of a majority of our Independent Directors. The Advisory Agreement automatically terminates in the event of its assignment, as defined in the 1940 Act, and may be terminated, without penalty, upon not more than 60 days’ written notice, by (i) the affirmative vote of a majority of our outstanding voting securities, (ii) the affirmative vote of a majority of our Board of Directors, including a majority of our Independent Directors, or (iii) RGC. See "Risk Factors — Risks Related to our Business and Structure — RGC and our Administrator have the right to resign upon not more than 60 days’ notice, and we may not be able to find a suitable replacement for either within that time, or at all, resulting in a disruption in our operations that could adversely affect our financial condition, business and results of operations" in Part I, Item 1A of this Form 10</w:t>
        <w:noBreakHyphen/>
        <w:t>K.</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About Our Administrator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entered into the Administration Agreement with our Administrator, a wholly-owned subsidiary of RGC, pursuant to which our Administrator is responsible for furnishing us with office facilities and equipment and provides us with clerical, bookkeeping, recordkeeping and other administrative services at such facilities. Pursuant to the Administration Agreement, we pay our Administrator an amount equal to our allocable portion (subject to the review of our Board of Directors) of our Administrator’s overhead resulting from its obligations under the Administration Agreement, including rent and the allocable portion of the cost of our Chief Compliance Officer and Chief Financial Officer and their respective staffs associated with performing compliance functions.</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Strategic Relationship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December 2016, we and RGC entered into a strategic relationship with Oaktree Capital Management, L.P. ("Oaktree"). In connection with the strategic relationship, OCM Growth Holdings, LLC ("OCM Growth") purchased an aggregate of 14,571,334 shares of our common stock for an aggregate purchase price of $219.3 million in our Initial Private Offering and Second Private Offering (each as defined in "Note 9 – Net Assets" in Part II, Item 8 of this Form 10-K). Oaktree Opportunities Fund Xb Holdings (Delaware), L.P. ("Oaktree Opportunities") purchased 24,100 shares of our common stock in secondary transactions in 2020 and 2022. As of December 31, 2023, OCM Growth and Oaktree Opportunities (together with OCM Growth, the “OCM Holders”), each an affiliate of Oaktree, own 16,473,290 shares and 18,878 shares of our common stock, respectively, or 40.7% of our outstanding shares. Pursuant to an irrevocable proxy, certain shares held by OCM Growth must be voted in the same proportion that our other stockholders vote their shares. Of the 16,492,168 shares of our common stock owned by the OCM Holders, 15,588,549 shares, or approximately 38% of our outstanding shares, are subject to this proxy voting arrangement. </w:t>
      </w:r>
    </w:p>
    <w:p>
      <w:pPr>
        <w:pStyle w:val="TextBody"/>
        <w:bidi w:val="0"/>
        <w:jc w:val="both"/>
        <w:rPr>
          <w:rFonts w:ascii="Times New Roman" w:hAnsi="Times New Roman"/>
          <w:color w:val="000000"/>
          <w:sz w:val="20"/>
        </w:rPr>
      </w:pPr>
      <w:r>
        <w:rPr>
          <w:rFonts w:ascii="Times New Roman" w:hAnsi="Times New Roman"/>
          <w:color w:val="000000"/>
          <w:sz w:val="20"/>
        </w:rPr>
        <w:t>In connection with OCM Growth’s commitment, we entered into a stockholder agreement, dated December 15, 2016, with OCM Growth, pursuant to which OCM Growth has a right to nominate a member of our Board of Directors for election for so long as OCM Growth holds shares of our common stock in an amount equal to, in the aggregate, at least one-third (33%) of OCM Growth’s initial $125.0 million capital commitment. Gregory M. Share, Managing Director of Oaktree's Global Opportunities Group in Los Angeles, serves on our Board of Directors as OCM Growth’s director nominee and is considered an interested director. OCM Growth also holds a minority interest in RGC and has the right to appoint a member of RGC’s board of managers and a member of RGC’s investment committee. Mr. Share is OCM Growth’s appointee to RGC’s board of managers and investment committee.</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Investment Strategy and Approach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investment objective is to maximize our total return to our stockholders primarily through current income on our loan portfolio, and secondarily through capital gains on our warrants and other equity positions. We invest in senior secured term loans and other senior debt obligations and may on occasion invest in second lien loans. We have and continue to expect to acquire warrants and other equity securities from portfolio companies in connection with our investments in loans to these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focus on lending to late and growth stage companies in technology, life sciences, healthcare information and services, business services, financial services, select consumer services and products and other high-growth industries.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are typically the sole lender to our portfolio companies and do not actively syndicate the loans we originate to other lenders nor do we participate in syndications built by other lenders.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originate our investments through two strategies: Sponsored Growth Lending and Non-Sponsored Growth Lending. In addition to our core strategy of providing Sponsored Growth Lending and Non-Sponsored Growth Lending, we may also opportunistically participate in the secondary markets for investments that are consistent with our broader investment strategy.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seek to construct a balanced portfolio with diversification among sponsored and non-sponsored transactions, diversification among sponsors within the Sponsored Growth Lending strategy, diversification among industry, geography, and stage of development, all contributing to a favorable risk adjusted return for the portfolio viewed as a whole. Borrowers tend to use the proceeds of our financings to invest in sales and marketing, expand capacity of the overall business or refinance existing debt.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Sponsored Growth Lending. </w:t>
      </w:r>
      <w:r>
        <w:rPr>
          <w:rFonts w:ascii="Times New Roman" w:hAnsi="Times New Roman"/>
          <w:color w:val="000000"/>
          <w:sz w:val="20"/>
        </w:rPr>
        <w:t xml:space="preserve">Our Sponsored Growth Lending generally includes loans to late and growth stage companies that are already backed by established venture capital and private equity firms. Our Sponsored Growth Lending strategy typically includes the receipt of warrants and/or other equity from the venture-backed companies.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believe that our Sponsored Growth Lending strategy is particularly attractive because the loans we make typically have higher investment yields relative to lending to larger, more mature companies and usually include additional equity upside potential. We believe our Sponsored Growth Lending strategy: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provides us access to many high-quality companies backed by top-tier venture capital and private equity investors;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delivers consistent returns through double-digit loan yields;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often offers us the ability to participate in equity upside of portfolio companies through the acquisition of warrants.</w:t>
      </w:r>
    </w:p>
    <w:p>
      <w:pPr>
        <w:pStyle w:val="TextBody"/>
        <w:bidi w:val="0"/>
        <w:spacing w:before="240" w:after="240"/>
        <w:jc w:val="both"/>
        <w:rPr>
          <w:rFonts w:ascii="Times New Roman" w:hAnsi="Times New Roman"/>
          <w:sz w:val="20"/>
        </w:rPr>
      </w:pPr>
      <w:r>
        <w:rPr>
          <w:rFonts w:ascii="Times New Roman" w:hAnsi="Times New Roman"/>
          <w:i/>
          <w:color w:val="000000"/>
          <w:sz w:val="20"/>
        </w:rPr>
        <w:t>Non-Sponsored Growth Lending</w:t>
      </w:r>
      <w:r>
        <w:rPr>
          <w:rFonts w:ascii="Times New Roman" w:hAnsi="Times New Roman"/>
          <w:color w:val="000000"/>
          <w:sz w:val="20"/>
        </w:rPr>
        <w:t>. Our Non-Sponsored Growth Lending strategy generally includes loans to late and growth stage, private companies that are funded directly by entrepreneurs and founders, or companies that no longer require institutional equity investment (which may selectively include publicly traded companies). We refer to these target borrowers as "non-sponsored growth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Generally, financing available to these non-sponsored companies is predicated on the underlying value of the business’s assets, in an orderly liquidation scenario, and/or the entrepreneur’s own personal financial resources. These options frequently provide insufficient capital to fund growth plans and do not consider the underlying enterprise value of the business which may be substantial relative to the value of tangible assets deployed in the business. We are frequently the only senior lender to non-sponsored growth companies and evaluate business fundamentals, the commitment of the entrepreneur and secondary sources of repayment in our underwriting approach.</w:t>
      </w:r>
    </w:p>
    <w:p>
      <w:pPr>
        <w:pStyle w:val="TextBody"/>
        <w:bidi w:val="0"/>
        <w:spacing w:before="360" w:after="240"/>
        <w:jc w:val="both"/>
        <w:rPr>
          <w:rFonts w:ascii="Times New Roman" w:hAnsi="Times New Roman"/>
          <w:sz w:val="20"/>
        </w:rPr>
      </w:pPr>
      <w:r>
        <w:rPr>
          <w:rFonts w:ascii="Times New Roman" w:hAnsi="Times New Roman"/>
          <w:b/>
          <w:color w:val="000000"/>
          <w:sz w:val="20"/>
        </w:rPr>
        <w:t>Exemptive Relief</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a BDC, we are generally limited in our ability to invest in any portfolio company in which RGC or any of its affiliates currently has an investment or to make any co-investments with RGC or its affiliates without an exemptive order from the SEC, subject to certain exceptions. On August 10, 2020, we, RGC, and certain other funds and accounts sponsored or managed by RGC were granted an exemptive order (the "Order"), as amended on August 30, 2022,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in respect of us or our stockholders on the part of any person concerned and (2) the transaction is consistent with the interests of our stockholders and is consistent with our investment objective, positions, policies, strategies and restrictions as well as regulatory requirements and other pertinent factors.</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Market Opportunity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believe that the market environment is favorable for us to continue to pursue an investment strategy primarily focused on late stage and high-growth companies in technology, life sciences, healthcare information and services, business services, financial services, select consumer services and products and other high-growth industries.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Focus on Innovative Companies Across a Variety of High-Growth Industries</w:t>
      </w:r>
    </w:p>
    <w:p>
      <w:pPr>
        <w:pStyle w:val="TextBody"/>
        <w:bidi w:val="0"/>
        <w:spacing w:before="0" w:after="240"/>
        <w:jc w:val="both"/>
        <w:rPr>
          <w:rFonts w:ascii="Times New Roman" w:hAnsi="Times New Roman"/>
          <w:sz w:val="20"/>
        </w:rPr>
      </w:pPr>
      <w:r>
        <w:rPr>
          <w:rFonts w:ascii="Times New Roman" w:hAnsi="Times New Roman"/>
          <w:i/>
          <w:color w:val="000000"/>
          <w:sz w:val="20"/>
        </w:rPr>
        <w:t>Diversified high growth-potential industries:</w:t>
      </w:r>
      <w:r>
        <w:rPr>
          <w:rFonts w:ascii="Times New Roman" w:hAnsi="Times New Roman"/>
          <w:color w:val="000000"/>
          <w:sz w:val="20"/>
        </w:rPr>
        <w:t xml:space="preserve"> We target companies active in industries that support high growth-potential. Our Sponsored Growth Lending strategy is focused on the largest industry sectors where venture capital investors are active, primarily technology, life sciences, healthcare information and services, business services, financial services, select consumer services and products and other high-growth industries. These industries’ continued growth is supported mostly by ongoing innovation and performance improvements in specific products as well as the adoption of innovative technologies and services across virtually all industries in response to competitive pressures. Term debt has been a loan product used by many of the largest, most successful venture-backed companies.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Sponsored and Non-Sponsored Growth Lending Represents an Attractive Source of Funding</w:t>
      </w:r>
    </w:p>
    <w:p>
      <w:pPr>
        <w:pStyle w:val="TextBody"/>
        <w:bidi w:val="0"/>
        <w:spacing w:before="0" w:after="240"/>
        <w:jc w:val="both"/>
        <w:rPr>
          <w:rFonts w:ascii="Times New Roman" w:hAnsi="Times New Roman"/>
          <w:sz w:val="20"/>
        </w:rPr>
      </w:pPr>
      <w:r>
        <w:rPr>
          <w:rFonts w:ascii="Times New Roman" w:hAnsi="Times New Roman"/>
          <w:i/>
          <w:color w:val="000000"/>
          <w:sz w:val="20"/>
        </w:rPr>
        <w:t>Sponsored Growth Lending:</w:t>
      </w:r>
      <w:r>
        <w:rPr>
          <w:rFonts w:ascii="Times New Roman" w:hAnsi="Times New Roman"/>
          <w:color w:val="000000"/>
          <w:sz w:val="20"/>
        </w:rPr>
        <w:t xml:space="preserve"> An attractive market opportunity exists for a lender that invests in secured loans to late and growth stage companies that have not yet achieved profitability. Sponsored growth lending provides an attractive source of funds for venture-backed companies, their management teams, and their equity capital investors, as it: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is typically less dilutive and complements equity financing from venture capital and private equity funds;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often extends the time period during which a company can operate before seeking additional equity capital or pursuing a sale transaction or other liquidity event;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generally allows companies to better match cash sources with uses.</w:t>
      </w:r>
    </w:p>
    <w:p>
      <w:pPr>
        <w:pStyle w:val="TextBody"/>
        <w:bidi w:val="0"/>
        <w:spacing w:before="0" w:after="240"/>
        <w:jc w:val="both"/>
        <w:rPr>
          <w:rFonts w:ascii="Times New Roman" w:hAnsi="Times New Roman"/>
          <w:sz w:val="20"/>
        </w:rPr>
      </w:pPr>
      <w:r>
        <w:rPr>
          <w:rFonts w:ascii="Times New Roman" w:hAnsi="Times New Roman"/>
          <w:i/>
          <w:color w:val="000000"/>
          <w:sz w:val="20"/>
        </w:rPr>
        <w:t>Non-Sponsored Growth Lending:</w:t>
      </w:r>
      <w:r>
        <w:rPr>
          <w:rFonts w:ascii="Times New Roman" w:hAnsi="Times New Roman"/>
          <w:color w:val="000000"/>
          <w:sz w:val="20"/>
        </w:rPr>
        <w:t xml:space="preserve"> An attractive market opportunity exists for a lender that invests in secured loans to late and growth stage companies that have reached profitability and need long-term growth capital but do not want the challenges that come with selling equity to venture capital or private equity firms. Non-Sponsored Growth Lending often provides all or some of the following benefits to our borrowers: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access to growth capital without the requirement to take on institutional-size investments that may exceed the company’s capital requirements;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tax deductible interest payments;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 significant operational involvement;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 personal guarantees;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very modest dilution, if any;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loss of managerial control or forced redemption.</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Large and Growing Market for Debt Financing to Venture Capital-Backed Companies</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Healthy, stable venture environment: </w:t>
      </w:r>
      <w:r>
        <w:rPr>
          <w:rFonts w:ascii="Times New Roman" w:hAnsi="Times New Roman"/>
          <w:color w:val="000000"/>
          <w:sz w:val="20"/>
        </w:rPr>
        <w:t xml:space="preserve">Approximately 13,608 companies received venture capital financing in 2023, according to the Pitchbook-NVCA Venture Monitor, a quarterly report published jointly by NVCA and Pitchbook on venture capital activity ("Pitchbook-NVCA"), and approximately 8.4% of these transactions were first-round financings. In 2023, venture deal volume amounted to an estimated $171 billion in value. While the current venture environment is currently demonstrating reduced activity and some disruption following an extended cycle of expansion, management believes the general state of the venture ecosystem healthy, particularly among very late and growth stage segments. The significant increase in investment amounts beginning in 2014 through 2022 was largely the result of growth investments in later-stage companies that are staying private longer. The venture debt lending market, as defined in the Q4 2023 Pitchbook-NVCA Venture Monitor, is estimated at $30.2 billion or roughly 17.7% of total U.S. venture capital deal value. While the current venture environment is currently demonstrating reduced activity and some disruption following an extended cycle of expansion, management believes the general state of the venture ecosystem healthy, particularly among very late and growth stage segments. </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sz w:val="20"/>
        </w:rPr>
      </w:pPr>
      <w:r>
        <w:rPr>
          <w:rFonts w:ascii="Times New Roman" w:hAnsi="Times New Roman"/>
          <w:i/>
          <w:color w:val="000000"/>
          <w:sz w:val="20"/>
        </w:rPr>
        <w:t>Growing pool of target companies:</w:t>
      </w:r>
      <w:r>
        <w:rPr>
          <w:rFonts w:ascii="Times New Roman" w:hAnsi="Times New Roman"/>
          <w:color w:val="000000"/>
          <w:sz w:val="20"/>
        </w:rPr>
        <w:t xml:space="preserve"> The average time from initial venture capital investment to transaction exit of such investment, either by an initial public offering or merger and acquisition transaction, has lengthened considerably. According to the Pitchbook-NVCA 2016 Yearbook, in 1998 the average number of years from initial venture investment to initial public offering of a U.S. venture capital-backed company was 3.1 years and the average number of years from initial venture investment to merger and acquisition transaction was 4.5 years. These numbers have steadily increased and have ranged between 6.0 years and 6.3 years from 2017 through 2020. According to the Q4 2023 Pitchbook-NVCA Venture Monitor, the current average time from initial venture investment to exit transaction is now 5.9 years. Exit transactions are a small proportion of companies financed by venture capital each year. As a result, the pool of target companies has grown larger with increased demand for private capital.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Highly Fragmented, Underserved Market with High Barriers to Entry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Many viable venture-backed companies have been unable to obtain sufficient growth financing from traditional lenders, such as commercial banks or asset-based finance companies, because traditional lenders normally underwrite to tangible asset values and/or operating cash flows. If such firms do provide financing, their loans normally contain financial performance covenants stipulating tangible asset coverage or setting standards of operating performance that do not apply to our target companies. Because sponsored growth lending and non-sponsored growth lending require specialized underwriting and investment structures that fit the distinct characteristics of venture-backed companies and non-sponsored growth companies, more traditional lending approaches largely do not apply to these companies. We also believe that our relationship-based approach to investing helps us to assess and manage investment risks and determine appropriate pricing for our debt investments in portfolio companies.</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Competitive Advantages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believe we are well positioned to address the market for growth lending in a manner that will result in a competitive advantage over other established sponsored growth lenders. We believe our competitive strengths and key differentiators include:</w:t>
      </w:r>
    </w:p>
    <w:p>
      <w:pPr>
        <w:pStyle w:val="TextBody"/>
        <w:bidi w:val="0"/>
        <w:spacing w:before="240" w:after="240"/>
        <w:jc w:val="both"/>
        <w:rPr>
          <w:rFonts w:ascii="Times New Roman" w:hAnsi="Times New Roman"/>
          <w:sz w:val="20"/>
        </w:rPr>
      </w:pPr>
      <w:r>
        <w:rPr>
          <w:rFonts w:ascii="Times New Roman" w:hAnsi="Times New Roman"/>
          <w:b/>
          <w:i/>
          <w:color w:val="000000"/>
          <w:sz w:val="20"/>
        </w:rPr>
        <w:t>Experienced, Proven Management Team Supported by a Deep Bench of Dedicated Investment Professionals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senior investment professionals of RGC have over 30 years of experience as venture capitalists and lenders who have developed a disciplined, repeatable approach to investing and managing investments in high potential growth businesses. We believe that the experience, relationships and disciplined investment and risk management processes of RGC’s investment professionals are a competitive advantage for 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David Spreng, the founder, Chief Executive Officer and Chief Investment Officer of RGC, has a unique combination of experience as a senior executive of a $20 billion asset management firm and over 30 years as a venture capital equity and debt investor. Mr. Spreng has been a leader in applying risk management processes to investing in equity and debt of small, fast-growing, private companies. Our Acting President, Chief Financial Officer and Chief Operating Officer, Treasurer and Secretary, Thomas Raterman, who is also Chief Financial Officer and Chief Operating Officer of RGC, has more than 30 years of corporate finance, investment banking, private equity and financial executive management experience with rapidly growing entrepreneurial companies. Greg Greifeld, our Acting Chief Executive Officer, who is also Managing Director, Deputy Chief Investment Officer and Head of Credit at RGC, has over 14 years of lending, venture capital, and investment management experience.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RGC has a broad team of professionals focused on every aspect of the investment life cycle. RGC has origination, underwriting and portfolio monitoring teams that manage and oversee the investment process from identification of investment opportunity through negotiations of final term sheet and investment in a portfolio company followed by active portfolio monitoring. The team members serving investment management and oversight functions have significant operating experience and are not associated with origination functions to avoid any biased views of performance. This structure helps originators focus on identifying investment opportunities while other team members continue building relationships with our portfolio companies.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sz w:val="20"/>
        </w:rPr>
      </w:pPr>
      <w:r>
        <w:rPr>
          <w:rFonts w:ascii="Times New Roman" w:hAnsi="Times New Roman"/>
          <w:b/>
          <w:i/>
          <w:color w:val="000000"/>
          <w:sz w:val="20"/>
        </w:rPr>
        <w:t>Provide Capital to Robust, High-Growth Venture-backed Companies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believe we are favorably positioned within the venture lending ecosystem, targeting primarily growth focused technology and life sciences companies. We believe the technology and life sciences industries are among the most attractive industries within the venture lending space, primarily representing large, addressable markets with strong and consistent growth. According to the Q4 2023 Pitchbook-NVCA Venture Monitor and Pitchbook-NVCA industry classifications, venture capital deal volume for technology totaled approximately $146.5 billion in 2023, representing an 13.1% compound annual growth rate ("CAGR") from 2013 to 2023. Venture capital deal volume for life sciences totaled approximately $30.9 billion in 2023, representing a 9.9% CAGR from 2013 to 2023. We believe companies within these industries can often be characterized as having asset-light business models, attractive recurring revenue streams and strong growth trajectories.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invest across industries to diversify risk and deliver more stable returns. The investment professionals at RGC have extensive experience investing in the industries on which we focus, including technology, life sciences, healthcare information and services, business services, financial services, select consumer services and products and other high-growth industries. Our ability to invest across diverse industries is supported by our Sponsored Growth Lending strategy and relationships with leading venture firms, who are generally industry experts in the areas in which they invest. We are able to leverage our relationships across equity providers, lenders, and advisers to source deals within the venture industry.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believe we are able to access opportunities to finance companies that are both backed by venture capital sponsors as well as through direct lead generation and other relationships. While many growth lenders focus solely on sponsored lending, we believe we are differentiated in our approach by offering both sponsored growth lending and non-sponsored growth lending that are secured by the assets of many of the most dynamic, innovative and fastest growing companies in the United States.</w:t>
      </w:r>
    </w:p>
    <w:p>
      <w:pPr>
        <w:pStyle w:val="TextBody"/>
        <w:bidi w:val="0"/>
        <w:spacing w:before="360" w:after="240"/>
        <w:jc w:val="both"/>
        <w:rPr>
          <w:rFonts w:ascii="Times New Roman" w:hAnsi="Times New Roman"/>
          <w:sz w:val="20"/>
        </w:rPr>
      </w:pPr>
      <w:r>
        <w:rPr>
          <w:rFonts w:ascii="Times New Roman" w:hAnsi="Times New Roman"/>
          <w:b/>
          <w:i/>
          <w:color w:val="000000"/>
          <w:sz w:val="20"/>
        </w:rPr>
        <w:t>Robust Disciplined Investment Process and Credit Analysis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RGC’s senior investment professionals draw upon their substantial experience, including operating, lending, venture capital and growth investing, to manage the underwriting investment process. Credit analysis, which is a fundamental part of our investment process, is driven by our credit-first philosophy and utilizes the core competencies the team has developed. A strong assessment of underwriting transactions often enables development of structure and pricing terms to win deals and produce strong returns for risks taken versus other lenders that take a more formulaic approach to the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believe the focused and disciplined approach that RGC applies to our lending strategy enables us to deliver strong, consistent returns to our investors. As of December 31, 2023, our debt portfolio is 98.5% first lien senior secured. Of our $2.5 billion total commitments since inception, our cumulative gross loss rate, as a percentage of total commitments since inception, has been 0.98% and our net losses, as a percentage of total commitments since inception, has been 0.79%. At the point of origination, our portfolio companies have raised on average $106.4 million of equity proceeds relative to our average commitment size of $30.6 million. To achieve this, we do not follow an "index" strategy or a narrowly focused approach, and we do not lend only to those companies that are backed by a specific set of sponsors. We believe that careful selection among many opportunities will yield the optimal portfolio results within both sponsored and non-sponsored lending opportunities - although we do expect the sponsored segment to represent the majority of the portfolio for the foreseeable future.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maintain rigorous underwriting, monitoring and risk management processes across our portfolio, which is underpinned by our two main lending principles, first the ability to price risk and second the ability to measure and track enterprise value. Our investment process differs from many of our competitors in that we have a dedicated credit team, separate from the origination team, that manages the underwriting process. Unlike many of our competitors, we underwrite the company and the loan separately and spend significant time analyzing the enterprise value of the company and potential upside from the equity component of the transaction.</w:t>
      </w:r>
    </w:p>
    <w:p>
      <w:pPr>
        <w:pStyle w:val="TextBody"/>
        <w:bidi w:val="0"/>
        <w:spacing w:before="360" w:after="240"/>
        <w:jc w:val="both"/>
        <w:rPr>
          <w:rFonts w:ascii="Times New Roman" w:hAnsi="Times New Roman"/>
          <w:sz w:val="20"/>
        </w:rPr>
      </w:pPr>
      <w:r>
        <w:rPr>
          <w:rFonts w:ascii="Times New Roman" w:hAnsi="Times New Roman"/>
          <w:b/>
          <w:i/>
          <w:color w:val="000000"/>
          <w:sz w:val="20"/>
        </w:rPr>
        <w:t>Proprietary Risk Analytics and Return Optimization.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Over the past 20 years, RGC’s senior investment professionals have iterated upon and built out an extensive due diligence process, which has resulted in the proprietary risk analysis used today. Mr. Spreng has overseen the development of a risk management model that helps to identify, analyze and mitigate risk within individual portfolio companies in the venture capital space. The model utilized by us today examines a consistent set of more than 30 quantitative and qualitative variables in four main risk areas (market, technology, management and financing) to generate a composite risk ranking for each portfolio company.</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sz w:val="20"/>
        </w:rPr>
      </w:pPr>
      <w:r>
        <w:rPr>
          <w:rFonts w:ascii="Times New Roman" w:hAnsi="Times New Roman"/>
          <w:b/>
          <w:i/>
          <w:color w:val="000000"/>
          <w:sz w:val="20"/>
        </w:rPr>
        <w:t>Flexible, Opportunity-Specific Pricing and Structure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RGC’s comprehensive analysis assesses all factors and does not rely on any one criterion above or more than others. For example, we do not seek to provide financing to every early-stage company backed by top-tier venture firms, but only to those companies that, in our opinion, possess the most favorable risk and return characteristics for our investments. We seek to understand the attractiveness of each opportunity on its own merits. The quality of the venture investors involved is important, but it is only one component of our decision-making process. Within our Non-Sponsored Growth Lending strategy, we expect that many companies will have positive EBITDA but have been unable to access sufficient capital to fund current growth opportunities. We believe that gaining a comprehensive picture of an opportunity based on RGC’s defined assessment factors allows us to be more flexible, to identify price and structure inefficiencies in the debt market, better support our portfolio companies, and to maximize loan and warrant returns, while minimizing losses. In our Sponsored and Non-Sponsored Growth Lending strategies, we target our loan to be less than 25% of enterprise value at inception.</w:t>
      </w:r>
    </w:p>
    <w:p>
      <w:pPr>
        <w:pStyle w:val="TextBody"/>
        <w:bidi w:val="0"/>
        <w:spacing w:before="360" w:after="240"/>
        <w:jc w:val="both"/>
        <w:rPr>
          <w:rFonts w:ascii="Times New Roman" w:hAnsi="Times New Roman"/>
          <w:sz w:val="20"/>
        </w:rPr>
      </w:pPr>
      <w:r>
        <w:rPr>
          <w:rFonts w:ascii="Times New Roman" w:hAnsi="Times New Roman"/>
          <w:b/>
          <w:i/>
          <w:color w:val="000000"/>
          <w:sz w:val="20"/>
        </w:rPr>
        <w:t>Strong Reputation and Deep Relationships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RGC’s senior investment professionals enjoy reputations as innovative thought leaders, ingrained in the fabric of the venture community. RGC’s senior investment professionals have been active in venture capital investing, private lending, growth equity investing, corporate finance, and investment banking for more than 25 years and are viewed as trustworthy partners to both management and venture investors as well as entrepreneurs. Our investment professionals’ experience has often encouraged private companies to work with a lender that can manage challenges and deviations from plans that often arise in developing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RGC’s senior investment professionals also have established a network of relationships with various venture capital firms, venture banks, institutional investors, entrepreneurs and other venture capital market participants, which has allowed RGC to develop a variety of channels for investment originations and referrals. These investment professionals maintain ongoing dialogue with a number of venture capital firms across the country, leverage a suite of technologies to identify potential borrowers and often seek to be the first contact for new investment opportunities.</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primary competitors for investments include public and private funds, other BDCs, commercial and investment banks, venture-oriented commercial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qualify and maintain our qualification as a RIC. We do not compete primarily on the financing terms we offer and believe that some competitors make loans with rates that are comparable to or lower than our rates. For additional information concerning the competitive risks we face, see "Risk Factors — Risks Related to Our Business and Structure — We operate in a highly competitive market for investment opportunities and we may not be able to compete effectively." in Part I, Item 1A of this Form 10</w:t>
        <w:noBreakHyphen/>
        <w:t>K.</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Staffing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do not currently have any employees. Greg Greifeld, our Acting Chief Executive Officer, also serves as Managing Director, Deputy Chief Investment Officer and Head of Credit at RGC. Thomas B. Raterman is our Acting President, Chief Financial Officer, Chief Operating Officer, Treasurer, and Secretary, and serves as the Chief Financial Officer and Chief Operating Officer of RGC. Our Chief Financial Officer performs his functions for us under the terms of our Administration Agreement. Our Board of Directors has appointed Colleen Corwell of Kroll Associates, Inc. to serve as our Chief Compliance Officer pursuant to an agreement with Kroll Associates, Inc. Ms. Corwell also serves as the Chief Compliance Officer for RGC pursuant to an agreement with Kroll Associates, Inc.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day-to-day investment and administrative operations are managed by RGC and our Administrator. The Investment Committee is supported by a team of additional experienced investment professionals. RGC and our Administrator may hire additional investment and administrative professionals in the future to provide services to us, based upon our needs.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we reimburse the Administrator for its costs and expenses and our allocable portion of overhead incurred by it in performing its obligations under the Administration Agreement, including compensation paid to or compensatory distributions received by our officers (including our Chief Compliance Officer and Chief Financial Officer) and any of their respective staff who provide services to us, operations staff who provide services to us, and any internal audit staff, to the extent internal audit performs a role in our internal control assessment under Sarbanes-Oxley Act of 2002, as amended (the "Sarbanes-Oxley Act").</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Implications of Being an Emerging Growth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currently are, and expect to remain, an "emerging growth company," as that term is used in the JOBS Act until the earliest of:</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last day of our fiscal year following the fifth anniversary of the closing of our IPO, which occurred on October 25, 2021;</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last day of the first fiscal year in which our annual gross revenues are equal to or greater than $1.235 billion;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date on which we have, during the preceding three-year period, issued more than $1.0 billion in non-convertible debt;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date that we become a "large accelerated filer" as defined in Rule 12b</w:t>
        <w:noBreakHyphen/>
        <w:t>2 under the Exchange Act, which would occur if the market value of our common stock that is held by non-affiliates exceeds $700.0 million as of any June 30.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JOBS Act, we are exempt from the provisions of Section 404(b) of the Sarbanes-Oxley Act, which would require that our independent registered public accounting firm provide an attestation report on the effectiveness of our internal control over financial reporting. This may increase the risk that material weaknesses or other deficiencies in our internal control over financial reporting go undetected. See Part I, Item 1A of this Form 10</w:t>
        <w:noBreakHyphen/>
        <w:t>K "Risk Factors — Risks Related to Our Business and Structure — We are obligated to maintain proper and effective internal control over financial reporting. Failure to achieve and maintain effective internal controls over financial reporting in accordance with Section 404 of the Sarbanes-Oxley Act could have a material adverse effect on our business and the value of our common stock."</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Certain U.S. Federal Income Tax Considerations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discussion is a general summary of certain U.S. federal income tax considerations applicable to us and to an investment in shares of our common stock. This discussion is based on the provisions of the Code and the regulations of the U.S. Department of Treasury promulgated thereunder, or "Treasury regulations," each as in effect as of the date of this Form 10</w:t>
        <w:noBreakHyphen/>
        <w:t>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These provisions are subject to differing interpretations and change by legislative or administrative action, and any change may be retroactive. This discussion does not constitute a detailed explanation of all U.S. federal income tax aspects affecting us and our stockholders and does not purport to deal with the U.S. federal income tax consequences that may be important to particular stockholders in light of their individual investment circumstances or to some types of stockholders subject to special tax rules, such as financial institutions, broker dealers, insurance companies, tax-exempt organizations, partnerships or other pass-through entities, persons holding our common stock in connection with a hedging, straddle, conversion or other integrated transaction, non-U.S. stockholders (as defined below) engaged in a trade or business in the United States, persons who have ceased to be U.S. citizens or to be taxed as resident aliens or individual non-U.S. stockholders present in the United States for 183 days or more during a taxable year. This discussion also does not address any aspects of U.S. estate or gift tax or foreign, state or local tax. This discussion assumes that our stockholders hold their shares of our common stock as capital assets for U.S. federal income tax purposes (generally, assets held for investment). No ruling has been or will be sought from the Internal Revenue Service (the "IRS") regarding any matter discussed herein.</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"U.S. stockholder" is a beneficial owner of shares of our common stock that is for U.S. federal income tax purposes: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 individual who is a citizen or resident of the United States;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corporation (or another entity taxable as a corporation) created or organized in or under the laws of the United States, any state thereof or the District of Columbia;</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an estate, the income of which is subject to U.S. federal income taxation regardless of its source; or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trust if a court within the United States is able to exercise primary jurisdiction over the administration of the trust and one or more U.S. persons have authority to control all substantial decisions of the trust.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"non-U.S. stockholder" means a beneficial owner of shares of our common stock that is for U.S. federal income tax purposes neither a U.S. stockholder nor partnership.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 partnership or other entity classified as a partnership, for U.S. federal income tax purposes, holds our shares, the U.S. tax treatment of the partnership and each partner generally will depend on the status of the partner, the activities of the partnership and certain determinations made at the partner level. A partnership considering an investment in our common stock should consult its own tax advisers regarding the U.S. federal income tax consequences of the acquisition, ownership and disposition of shares by the partnership.</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Taxation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elected to be treated as a RIC under Subchapter M of the Code, and currently qualify and intend to continue to qualify for treatment as a RIC. As a RIC, we generally will not be subject to U.S. federal income taxes on any ordinary income or capital gains that we timely distribute to our stockholders as dividends.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qualify as a RIC, we must, among other things: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meet the Annual Distribution Requirement (defined below);</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derive in each taxable year at least 90% of our gross income from dividends, interest, payments with respect to certain securities loans, gains from the sale or other disposition of stock, securities or foreign currencies, other income derived with respect to our business of investing in stock, securities or currencies, or net income derived from an interest in a "qualified publicly traded partnership," or "QPTP," hereinafter the "90% Gross Income Test;"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diversify our holdings so that, at the end of each quarter of each taxable year;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least 50% of the value of our total assets is represented by cash and cash items, U.S. Government securities, the securities of other RICs and other securities, with other securities limited, in respect of any one issuer, to an amount not greater than 5% of the value of our total assets and not more than 10% of the outstanding voting securities of such issuer;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not more than 25% of the value of our total assets is invested in the securities of any issuer (other than U.S. Government securities and the securities of other RICs), the securities of any two or more issuers that we control and that are determined to be engaged in the same business or similar or related trades or businesses (other than the securities of other RICs), or the securities of one or more QPTPs, or the "Diversification Tests."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case of a RIC that furnishes capital to development corporations, there is an exception relating to the Diversification Tests described above. This exception is available only to RICs which the SEC determines to be principally engaged in the furnishing of capital to other corporations which are principally engaged in the development or exploitation of inventions, technological improvements, new processes, or products not previously generally available ("SEC Certification"). We have not sought SEC Certification, but it is possible that we may seek SEC Certification in future years. If we receive SEC Certification, we generally will be entitled to include, in the computation of the 50% value of our assets (described above), the value of any securities of an issuer, whether or not we own more than 10% of the outstanding voting securities of the issuer, if the basis of the securities, when added to our basis of any other securities of the issuer that we own, does not exceed 5% of the value of our total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a RIC, we must distribute an amount equal to at least the sum of (i) 90% of our investment company taxable income (which includes, among other items, dividends, interest and the excess of any net realized short-term capital gains over net realized long-term capital losses and other taxable income (other than any net capital gain), reduced by deductible expenses) determined without regard to the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deduction for dividends and distributions paid and (ii) 90% of our net tax-exempt interest income (which is the excess of our gross tax-exempt interest income over certain disallowed deductions), or the "Annual Distribution Requirement." We intend to distribute annually all or substantially all of such income. Generally, if we fail to meet this Annual Distribution Requirement for any taxable year, we will fail to qualify as a RIC for such taxable year. To the extent we meet the Annual Distribution Requirement for a taxable year, but retain our net capital gains for investment or any investment company taxable income, we will be subject to U.S. federal income tax on such retained capital gains and investment company taxable income. We may choose to retain our net capital gains for investment or any investment company taxable income, and pay the associated U.S. federal income tax, including any nondeductible 4% U.S. federal excise tax described below, if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subject to a nondeductible 4% U.S. federal excise tax on certain of our undistributed income, unless we timely distribute (or are deemed to have timely distributed) an amount equal to the sum of:</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least 98% of our ordinary income (not taking into account any capital gains or losses) for the calendar year;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least 98.2% of our capital gain net income for a one-year period generally ending on October 31 of the calendar year (unless an election is made by us to use our taxable year);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net ordinary income and capital gain net income that we recognized for preceding years, but were not distributed during such years, and on which we paid no U.S. federal income tax.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While we intend to distribute any income and capital gains in order to avoid imposition of this nondeductible 4% U.S. federal excise tax, we may not be successful in avoiding entirely the imposition of this tax. In that case, we will be liable for the tax only on the amount by which we do not meet the foregoing distribution requirement.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  Regulation as a Business Development Company — 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avoid the 4% U.S. federal excise tax, we may make such dispositions at times that, from an investment standpoint, are not advantageous.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RIC is limited in its ability to deduct expenses in excess of its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stockholders may receive a larger capital gain distribution than they would have received in the absence of such transactions.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Failure to Qualify as a RIC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While we have elected to be treated as a RIC and intend to qualify to be treated as a RIC annually, no assurance can be provided that we will qualify for tax treatment as a RIC for any taxable year. If we fail to satisfy the 90% Gross Income Test or the Diversification Tests for any taxable year, we may nevertheless continue to qualify as a RIC for such year if certain relief provisions are applicable (which may, among other things, require us to pay certain U.S. federal income tax at corporate rates or to dispose of certain assets). If we were unable to qualify for treatment as a RIC and the foregoing relief provisions are not applicable, we would be subject to tax on all of our taxable income at regular corporate rates, regardless of whether we make any distributions to our stockholders. Distributions would not be required, and any distributions would be taxable to our stockholders as ordinary dividend income that, may qualify as qualified dividends that are subject to U.S. federal income tax at a rate of 20% to the extent of our current and accumulated earnings and profits provided certain holding period and other requirements were met. Subject to certain limitations under the Code, corporate distributees may be eligible for the dividends-received deduction. Distributions in excess of our current and accumulated earnings and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profits would be treated first as a return of capital that would reduce the stockholder's adjusted tax basis in its common stock (and correspondingly increase such stockholder's gain, or reduce such stockholder's loss, on disposition of such common stock), and any remaining distributions would be treated as a capital gain.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U.S. federal income tax at corporate rates on such built-in gain at the time of our requalification as a RIC.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remainder of this discussion assumes that we qualify as a RIC for each taxable year.</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Company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Certain of our investment practices are subject to special and complex U.S. federal income tax provisions that may, among other things, (i) disallow, suspend or otherwise limit the allowance of certain losses or deductions, including the dividends received deduction, (ii) convert lower taxed long-term capital gains and qualified dividend income into higher taxed short-term capital gains or ordinary income, (iii) convert ordinary loss or a deduction into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qualify as good income for purposes of the 90% Gross Income Test. We monitor our transactions and may make certain tax elections and may be required to borrow money or dispose of securities to mitigate the effect of these rules and to prevent disqualification of us as a RIC but there can be no assurance that we will be successful in this regard.</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Debt Instruments. </w:t>
      </w:r>
      <w:r>
        <w:rPr>
          <w:rFonts w:ascii="Times New Roman" w:hAnsi="Times New Roman"/>
          <w:color w:val="000000"/>
          <w:sz w:val="20"/>
        </w:rPr>
        <w:t>In certain circumstances, we may be required to recognize taxable income prior to the time at which we receive cash. For example, if we hold debt instruments that are treated under applicable tax rules as having original issue discount (such as debt instruments with an end-of-term payment and/or payment-in-kind ("PIK") interest payment or, in certain cases, increasing interest rates or issued with warrants), we must include in taxable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and to avoid the 4% U.S. federal excise tax, even though we will not have received any corresponding cash amount.</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Warrants. </w:t>
      </w:r>
      <w:r>
        <w:rPr>
          <w:rFonts w:ascii="Times New Roman" w:hAnsi="Times New Roman"/>
          <w:color w:val="000000"/>
          <w:sz w:val="20"/>
        </w:rPr>
        <w:t>Gain or loss realized by us from the sale or exchange of warrants acquired by us as well as any loss attributable to the lapse of such warrants generally are treated as capital gain or loss. The treatment of such gain or loss as long-term or short-term generally depends on how long we held a particular warrant and on the nature of the disposition transaction.</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Foreign Investments. </w:t>
      </w:r>
      <w:r>
        <w:rPr>
          <w:rFonts w:ascii="Times New Roman" w:hAnsi="Times New Roman"/>
          <w:color w:val="000000"/>
          <w:sz w:val="20"/>
        </w:rPr>
        <w:t>In the event we invest in foreign securities, we may be subject to withholding and other foreign taxes with respect to those securities. We do not expect to satisfy the requirement to pass through to our stockholders their share of the foreign taxes paid by us.</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Passive Foreign Investment Companies. </w:t>
      </w:r>
      <w:r>
        <w:rPr>
          <w:rFonts w:ascii="Times New Roman" w:hAnsi="Times New Roman"/>
          <w:color w:val="000000"/>
          <w:sz w:val="20"/>
        </w:rPr>
        <w:t xml:space="preserve">We may invest in the stock of a foreign corporation which is classified as a "passive foreign investment company" (within the meaning of Section 1297 of the Code), or "PFIC." As a result, we may be subject to U.S. federal income tax on a portion of any "excess distribution" or gain from the disposition of such shares. Additional charges in the nature of interest may be imposed on us in respect of deferred taxes arising from such distributions or gains. This additional tax and interest may apply even if we make a distribution in an amount equal to any "excess distribution" or gain from the disposition of such shares as a taxable dividend by us to our shareholders. If we invest in a PFIC and elect to treat the PFIC as a "qualified electing fund" under the Code (a "QEF"), in lieu of the foregoing requirements, we will be required to include in income each year a portion of the ordinary earnings and net capital gain of the QEF, even if such income is not distributed to us. Alternatively, we can elect to mark-to-market at the end of each taxable year our shares in a PFIC; in this case, we will recognize as ordinary income any increase in the value of such shares, and as ordinary loss any decrease in such value to the extent it does not exceed prior increases included in income. Under either election, we may be required to recognize in a year income in excess of our distributions from PFICs and our proceeds from dispositions of PFIC stock during that year, and such income will nevertheless be subject to the Annual Distribution Requirement and will be taken into account for purposes of the 4% U.S. federal excise tax. No assurances can be given that any such election will be available or that, if available, we will make such an election. </w:t>
      </w:r>
    </w:p>
    <w:p>
      <w:pPr>
        <w:pStyle w:val="TextBody"/>
        <w:bidi w:val="0"/>
        <w:spacing w:before="0" w:after="240"/>
        <w:jc w:val="both"/>
        <w:rPr>
          <w:rFonts w:ascii="Times New Roman" w:hAnsi="Times New Roman"/>
          <w:sz w:val="20"/>
        </w:rPr>
      </w:pPr>
      <w:r>
        <w:rPr>
          <w:rFonts w:ascii="Times New Roman" w:hAnsi="Times New Roman"/>
          <w:i/>
          <w:color w:val="000000"/>
          <w:sz w:val="20"/>
        </w:rPr>
        <w:t>Controlled Foreign Corporations</w:t>
      </w:r>
      <w:r>
        <w:rPr>
          <w:rFonts w:ascii="Times New Roman" w:hAnsi="Times New Roman"/>
          <w:color w:val="000000"/>
          <w:sz w:val="20"/>
        </w:rPr>
        <w:t>. If we hold more than 10% of the shares in a foreign corporation that is treated as a controlled foreign corporation, or "CFC," we may be treated as receiving a deemed distribution (taxable as ordinary income) each year from such foreign corporation in an amount equal to our pro rata share of the corporation’s income for the tax year (including both ordinary earnings and capital gains), whether or not the corporation makes an actual distribution during such year. In general, a foreign corporation will be classified as a CFC if more than 50% of the shares of the corporation, measured by reference to combined voting power or value, is owned (directly, indirectly or by attribution) by U.S. shareholders. A "U.S. shareholder," for this purpose, is any U.S. person that possesses (actually or constructively) 10% or more of the combined voting power or 10% or more of the total value of all classes of shares of a corporation. If we are treated as receiving a deemed distribution from a CFC, we will be required to include such distribution in our investment company taxable income regardless of whether we receive any actual distributions from such CFC, and we must distribute such income to satisfy the Annual Distribution Requirement and will the income be taken into account for purposes of the 4% excise tax.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Income inclusions from a QEF or CFC will be "good income" for purposes of the 90% Gross Income Test provided that they are derived in connection with our business of investing in stocks and securities or the QEF or CFC distributes such income to us in the same taxable year to which the income is included in our income.</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Foreign Currency Transactions. </w:t>
      </w:r>
      <w:r>
        <w:rPr>
          <w:rFonts w:ascii="Times New Roman" w:hAnsi="Times New Roman"/>
          <w:color w:val="000000"/>
          <w:sz w:val="20"/>
        </w:rPr>
        <w:t>Under the Code, gains or losses attributable to fluctuations in exchange rates which occur between the time we accrue income or other receivables or accrue expenses or other liabilities denominated in a foreign currency and the time we actually collect such receivables or pay such liabilities generally are treated as ordinary income or loss. Similarly, on disposition of debt instruments and certain other instruments denominated in a foreign currency, gains or losses attributable to fluctuations if the value of the foreign currency between the date of acquisition of the instrument and the date of disposition also are treated as ordinary gain or loss. These currency fluctuations related gains and losses may increase or decrease the amount of our investment company taxable income to be distributed to our stockholders as ordinary income.</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Regulation as a Business Development Company</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General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elected to be regulated as a BDC under the 1940 Act. A BDC must be organized in the United States for the purpose of investing in or lending to primarily private companies and offering significant managerial assistance to them. A BDC may use capital provided by stockholders and from other sources to make long-term, private investments in businesses. A BDC provides stockholders the ability to retain the liquidity of a publicly traded stock while sharing in the possible benefits, if any, of investing in primarily privately-owned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a BDC, we are generally required to meet an asset coverage ratio, defined under the 1940 Act as the ratio of our gross assets (less all liabilities and indebtedness not represented by senior securities) to our outstanding senior securities, of at least 150% (at least 200% prior to June 16, 2022) after each issuance of senior securities if certain requirements are met. On June 16, 2022, our stockholders approved the reduced asset coverage ratio at our 2022 annual meeting of stockholders. The reduced asset coverage ratio of 150% became effective upon receiving stockholder approval.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also be prohibited under the 1940 Act from knowingly participating in certain transactions with our affiliates without the prior approval of our directors who are not "interested persons," as defined in Section 2(a)(19) of the 1940 Act, of us, RGC or our respective affiliates and, in some cases, prior approval by the SEC.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do not intend to acquire securities issued by any investment company that exceed the limits imposed by the 1940 Act and the rules and regulations thereunder. Under these limits, we generally cannot acquire more than 3% of the voting stock of any registered investment company (as defined in the 1940 Act), invest more than 5% of the value of our total assets in the securities of one investment company, or invest more than 10% of the value of our total assets in the securities of more than one investment company. The SEC rules permit us to exceed these limits without obtaining exemptive relief if we comply with certain conditions. If we invest in securities issued by investment companies, if any, it should be noted that such investments might subject our stockholders to additional expenses as they will be indirectly responsible for the costs and expenses of such companies. Our investment portfolio is also subject to diversification requirements by virtue of our election to be treated as a RIC for U.S. federal income tax purposes and our intention to continue to operate in a manner so as to qualify for the tax treatment applicable to RICs. See "Risk Factors — Risks Related to Our Business and Structure" in Part I, Item 1A of this Form 10-K for more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generally not able to issue and sell our common stock at a price below net asset value per share. See "Risk Factors — Risks Related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 in Part I, Item 1A of this Form 10</w:t>
        <w:noBreakHyphen/>
        <w:t>K.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a BDC, we are generally limited in our ability to invest in any portfolio company in which RGC or any of its affiliates currently has an investment or to make any co-investments with our investment adviser or its affiliates without an exemptive order from the SEC, subject to certain exceptions. On August 10, 2020, we, RGC, and certain other funds and accounts sponsored or managed by RGC were granted the Order, as amended on August 30, 2022,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stockholders and is consistent with our investment objective, positions, policies, strategies and restrictions as well as regulatory requirements and other pertinent factors.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subject to periodic examination by the SEC for compliance with the 1940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a BDC, we are subject to certain risks and uncertainties. See "Risk Factors — Risks Related to Our Business and Structure" in Part I, Item 1A of this Form 10</w:t>
        <w:noBreakHyphen/>
        <w:t>K.</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Qualifying Assets</w:t>
      </w:r>
    </w:p>
    <w:p>
      <w:pPr>
        <w:pStyle w:val="TextBody"/>
        <w:bidi w:val="0"/>
        <w:jc w:val="both"/>
        <w:rPr>
          <w:rFonts w:ascii="Times New Roman" w:hAnsi="Times New Roman"/>
          <w:color w:val="000000"/>
          <w:sz w:val="20"/>
        </w:rPr>
      </w:pPr>
      <w:r>
        <w:rPr>
          <w:rFonts w:ascii="Times New Roman" w:hAnsi="Times New Roman"/>
          <w:color w:val="000000"/>
          <w:sz w:val="20"/>
        </w:rPr>
        <w:t>Under the 1940 Act, a BDC may not acquire any asset other than assets of the type listed in Section 55(a) of the 1940 Act, which are referred to as qualifying assets, unless, at the time the acquisition is made, qualifying assets represent at least 70% of the Company’s total gross assets. The principal categories of qualifying assets relevant to our business are any of the following: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 organized under the laws of, and has its principal place of business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 not an investment company (other than a small business investment company wholly owned by the BDC) or a company that would be an investment company but for certain exclusions under the 1940 Act;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satisfies any of the following: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does not have any class of securities that is traded on a national securities exchange;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has a class of securities listed on a national securities exchange, but has an aggregate market value of outstanding voting and non-voting common equity of less than $250.0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 controlled by a BDC or a group of companies including a BDC and the BDC has an affiliated person who is a director of the eligible portfolio company; 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 a small and solvent company having total assets of not more than $4.0 million and capital and surplus of not less than $2.0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Securities of any eligible portfolio company which we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Securities of an eligible portfolio company purchased from any person in a private transaction if there is no ready market for such securities and the Company already owns 60% of the outstanding equity of the eligible portfolio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Securities received in exchange for or distributed on or with respect to securities described in (1) through (4) above, or pursuant to the exercise of warrants or rights relating to such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cash equivalents, U.S. government securities or high-quality debt securities maturing in one year or less from the time of investment.</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 addition, a BDC must be operated for the purpose of making investments in the types of securities described in (1), (2) or (3) above. Control, as defined by the 1940 Act, is presumed to exist where a BDC beneficially owns more than 25% of the outstanding voting securities of the portfolio company but may exist in other circumstances based on the facts and circumstances. The regulations defining qualifying assets may change over time. The Company may adjust its investment focus as needed to comply with and/or take advantage of any regulatory, legislative, administrative, or judicial actions.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Managerial Assistance to Portfolio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addition, a BDC must have been organized and have its principal place of business in the United States and must be operated for the purpose of making investments in the types of securities described above in Qualifying Assets categories (1), (2) or (3). However, in order to count portfolio securities as qualifying assets for the purpose of the 70% test, the BDC must either control the issuer of the securities or must offer to make available to the issuer of the securities (other than small and solvent companies described above in Qualifying Assets category (1)(c)(iv)) significant managerial assistance; except that, where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officers, or employees, offers to provide, and, if accepted, does so provide, significant guidance and counsel concerning the management, operations or business objectives and policies of a portfolio company. We may also receive fees for these services. RGC may provide, or arrange for the provision of, such managerial assistance on our behalf to portfolio companies that request this assistance, subject to reimbursement of any fees or expenses incurred on our behalf by RGC in accordance with our Advisory Agreement.</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Temporary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RGC monitors the creditworthiness of the counterparties with which we enter into repurchase agreement transactions.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1940 Act, a BDC is subject to restrictions on the issuance, terms and number of warrants, options or rights to purchase shares of capital stock that it may have outstanding at any time. Under the 1940 Act, we may generally only offer warrants provided that (i) the warrants expire by their terms within ten years, (ii) the exercise or conversion price is not less than the current market value at the date of issuance, (iii) stockholders authorize the proposal to issue such warrants, and the Board of Directors approves such issuance on the basis that the issuance is in our best interests and the stockholders best interests and (iv)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Senior Securities; Coverage Ratio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are generally permitted, under specified conditions, to issue multiple classes of indebtedness and one class of stock senior to our common stock if our asset coverage, as defined in the 1940 Act, is at least equal to 150% immediately after each such issuance. On June 16, 2022, our stockholders approved the reduced asset coverage ratio at our 2022 annual meeting of stockholders. The reduced asset coverage ratio of 150% became effective upon receiving stockholder approval.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purposes without regard to asset coverage. For a discussion of the risks associated with leverage, see "Risk Factors — Risks Related to Our Business and Structure — We may borrow money, which would magnify the potential for gain or loss on amounts invested and may increase the risk of investing in us." in Part I, Item 1A of this Form 10</w:t>
        <w:noBreakHyphen/>
        <w:t>K.</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Compliance Policies and Procedures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and RGC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Our Chief Compliance Officer is responsible for administering the policies and procedures. Colleen Corwell currently serves as our Chief Compliance Officer.</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Sarbanes-Oxley Act of 2002</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Sarbanes-Oxley Act imposes a wide variety of regulatory requirements on publicly held companies and their insiders. Many of these requirements affect us. For example: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pursuant to Rule 13a</w:t>
        <w:noBreakHyphen/>
        <w:t>14 of the Exchange Act, our Chief Executive Officer and Chief Financial Officer must certify the accuracy of the consolidated financial statements contained in our periodic reports;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pursuant to Item 307 of Regulation S-K, our periodic reports must disclose our conclusions about the effectiveness of our disclosure controls and procedures;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pursuant to Rule 13a</w:t>
        <w:noBreakHyphen/>
        <w:t>15 of the Exchange Act, our management must prepare a report regarding its assessment of our internal control over financial reporting and, starting from the date on which we cease to be an emerging growth company under the JOBS Act, must obtain an audit of the effectiveness of internal control over financial reporting performed by our independent registered public accounting firm should we become an accelerated filer;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pursuant to Item 308 of Regulation S-K and Rule 13a</w:t>
        <w:noBreakHyphen/>
        <w:t>15 of the Exchange Act, our periodic reports must disclose whether there were significant changes in our internal control over financial reporting or in other factors that could significantly affect these controls subsequent to the date of their evaluation, including any corrective actions with regard to significant deficiencies and material weaknesses.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Proxy Voting Policies and Procedures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delegated our proxy voting responsibility to RGC. The proxy voting policies and procedures of RGC are set forth below. The guidelines will be reviewed periodically by RGC and our independent directors, and, accordingly, are subject to change. For purposes of the Proxy Voting Policies and Procedures described below, "we," "our" and "us" refers to RGC.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an investment adviser registered under the Advisers Act, RGC has a fiduciary duty to act solely in the best interests of its clients. As part of this duty, RGC recognizes that it must vote client securities in a timely manner, free of conflicts of interest and in the best interests of our clients.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These policies and procedures for voting proxies for RGC's investment advisory clients are intended to comply with Section 206 of, and Rule 206(4)</w:t>
        <w:noBreakHyphen/>
        <w:t>6 under, the Advisers Act.</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Proxy Policies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RGC will vote proxies relating to our portfolio securities in the best interest of its clients’ stockholders. RGC will review on a case-by-case basis each proposal submitted to a stockholder vote to determine its impact on the portfolio securities held by us. Although RGC will generally vote against proposals that may have a negative impact on its clients’ portfolio securities, RGC may vote for such a proposal if there exist compelling long-term reasons to do so.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RGC's proxy-voting decisions will be made by the senior officers who are responsible for monitoring each of its clients’ investments. To ensure that its vote is not the product of a conflict of interest, RGC will require that: (1) anyone involved in the decision-making process disclose to its management any potential conflict that he or she is aware of and any contact that he or she has had with any interested party regarding a proxy vote; and (2) employees involved in the decision-making process or vote administration are prohibited from revealing how RGC intend to vote on a proposal in order to reduce any attempted influence from interested parties.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Proxy Voting Records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may obtain information about how we voted proxies by making a written request for proxy voting information to: Runway Growth Capital LLC, 205 N. Michigan Ave., Suite 4200, Chicago, IL 60601.</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Privacy Principles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our privacy policy, we do not disclose any non-public personal information about our stockholders or former stockholders to anyone, except as permitted by law, or as is necessary in order to service stockholder accounts (for example, to a transfer agent or third-party administrator).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collect non-public information about investors from our subscription agreements or other forms, such as name, address, account number and the types and amounts of investments, and information about transactions with us or our affiliates, such as participation in other investment programs, ownership of certain types of accounts or other account data and activity. We may disclose the information that we collect from our stockholders or former stockholders, as described above, only to our affiliates and service providers and only as allowed by applicable law or regulation. Any party that receives this information uses it only for the services required by us and as allowed by applicable law or regulation and is not permitted to share or use this information for any other purpose. To protect the non-public personal information of individuals, we restrict access to non-public personal information about our stockholders to employees of RGC and its affiliates with a legitimate business need for the information. In order to guard our stockholders’ non-public personal information, we maintain physical, electronic and procedural safeguards that are designed to comply with applicable law. Non-public personal information that we collect about our stockholders is generally stored on secured servers located in the United States. An individual stockholder’s right to privacy extends to all forms of contact with us, including telephone, written correspondence, and electronic media, such as the Internet.</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Reporting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furnish our stockholders with annual reports containing audited consolidated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annual reports on Form 10</w:t>
        <w:noBreakHyphen/>
        <w:t>K, quarterly reports on Form 10</w:t>
        <w:noBreakHyphen/>
        <w:t>Q, current reports on Form 8</w:t>
        <w:noBreakHyphen/>
        <w:t>K, as well as reports on Forms 3, 4 and 5 regarding directors, officers, or our 10% beneficial owners, filed or furnished pursuant to section 13(a), 15(d) or 16(a) of the Exchange Act, are available on our website free of charge (https://investors.runwaygrowth.com/financial-information/sec-filings).</w:t>
      </w:r>
    </w:p>
    <w:p>
      <w:pPr>
        <w:pStyle w:val="TextBody"/>
        <w:bidi w:val="0"/>
        <w:jc w:val="both"/>
        <w:rPr>
          <w:rFonts w:ascii="Times New Roman" w:hAnsi="Times New Roman"/>
          <w:sz w:val="20"/>
        </w:rPr>
      </w:pPr>
      <w:r>
        <w:rPr>
          <w:rFonts w:ascii="Times New Roman" w:hAnsi="Times New Roman"/>
          <w:color w:val="000000"/>
          <w:sz w:val="20"/>
        </w:rPr>
        <w:t>Stockholders and the public may also view any materials we file with the SEC on the SEC’s website (</w:t>
      </w:r>
      <w:r>
        <w:rPr>
          <w:rFonts w:ascii="Times New Roman" w:hAnsi="Times New Roman"/>
          <w:sz w:val="20"/>
        </w:rPr>
        <w:t>http://www.sec.gov</w:t>
      </w:r>
      <w:r>
        <w:rPr>
          <w:rFonts w:ascii="Times New Roman" w:hAnsi="Times New Roman"/>
          <w:color w:val="000000"/>
          <w:sz w:val="20"/>
        </w:rPr>
        <w: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left"/>
        <w:rPr>
          <w:rFonts w:ascii="Times New Roman" w:hAnsi="Times New Roman"/>
          <w:b/>
          <w:color w:val="000000"/>
          <w:sz w:val="20"/>
        </w:rPr>
      </w:pPr>
      <w:bookmarkStart w:id="5" w:name="risk_factors"/>
      <w:bookmarkEnd w:id="5"/>
      <w:r>
        <w:rPr>
          <w:rFonts w:ascii="Times New Roman" w:hAnsi="Times New Roman"/>
          <w:b/>
          <w:color w:val="000000"/>
          <w:sz w:val="20"/>
        </w:rPr>
        <w:t>Item 1A. Risk Factors.</w:t>
      </w:r>
      <w:bookmarkStart w:id="6" w:name="item1ariskfactors_767097"/>
      <w:bookmarkEnd w:id="6"/>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 investment in our securities involves certain risks relating to our structure and investment objective. The risks set forth below are not the only risks we face, and we may face other risks that we have not yet identified, which we do not currently deem material or which are not yet predictable. If any of the following risks occur, our business, financial condition and results of operations could be materially adversely affected. In such case, our net asset value and the price of our common stock could decline, and you may lose all or part of your investment.</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risk factors described below are a summary of the principal risk factors associated with an investment in us. These are not the only risks we face. You should carefully consider these risk factors, together with the risk factors set forth in the following section, Item 1A. of this Annual Report on Form 10-K, and the other reports and documents filed by us with the SEC.</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Risks Related to the Economy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Political, social and economic uncertainty creates and exacerbates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renewed period of disruption in the capital markets may cause uncertain economic conditions. Such market conditions may materially and adversely affect debt and equity capital markets, which may have a negative impact on our business and operations.</w:t>
      </w:r>
    </w:p>
    <w:p>
      <w:pPr>
        <w:pStyle w:val="TextBody"/>
        <w:bidi w:val="0"/>
        <w:spacing w:before="120" w:after="240"/>
        <w:jc w:val="both"/>
        <w:rPr>
          <w:color w:val="000000"/>
        </w:rPr>
      </w:pPr>
      <w:r>
        <w:rPr>
          <w:color w:val="000000"/>
        </w:rPr>
        <w:t>•</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Increasing level of inflation and rising interest rate could impact our portfolio company’s operations and cash flows and harm our operating results.</w:t>
      </w:r>
    </w:p>
    <w:p>
      <w:pPr>
        <w:pStyle w:val="TextBody"/>
        <w:bidi w:val="0"/>
        <w:spacing w:before="40" w:after="240"/>
        <w:jc w:val="both"/>
        <w:rPr>
          <w:rFonts w:ascii="Times New Roman" w:hAnsi="Times New Roman"/>
          <w:color w:val="000000"/>
          <w:sz w:val="20"/>
          <w:u w:val="single"/>
        </w:rPr>
      </w:pPr>
      <w:r>
        <w:rPr>
          <w:rFonts w:ascii="Times New Roman" w:hAnsi="Times New Roman"/>
          <w:color w:val="000000"/>
          <w:sz w:val="20"/>
          <w:u w:val="single"/>
        </w:rPr>
        <w:t>Risks Related to Our Business and Structure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investment portfolio is recorded at fair value, with our Board of Directors determining, in good faith, the fair value of our investment portfolio and, as a result, there is uncertainty as to the value of our portfolio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condition and results of operations depend on our ability to effectively manage and deploy capital.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operate in a highly competitive market for investment opportunities and we may not be able to compete effectively.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need to raise additional capital to grow because we must distribute most of our income.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defaults under our Credit Facility or other borrowings, including the 2026 or 2027 Notes, could adversely affect our business.</w:t>
      </w:r>
    </w:p>
    <w:p>
      <w:pPr>
        <w:pStyle w:val="TextBody"/>
        <w:bidi w:val="0"/>
        <w:jc w:val="both"/>
        <w:rPr/>
      </w:pPr>
      <w:r>
        <w:rPr/>
        <w:t> </w:t>
      </w:r>
    </w:p>
    <w:p>
      <w:pPr>
        <w:pStyle w:val="TextBody"/>
        <w:bidi w:val="0"/>
        <w:spacing w:before="40" w:after="240"/>
        <w:jc w:val="both"/>
        <w:rPr>
          <w:rFonts w:ascii="Times New Roman" w:hAnsi="Times New Roman"/>
          <w:color w:val="000000"/>
          <w:sz w:val="20"/>
          <w:u w:val="single"/>
        </w:rPr>
      </w:pPr>
      <w:r>
        <w:rPr>
          <w:rFonts w:ascii="Times New Roman" w:hAnsi="Times New Roman"/>
          <w:color w:val="000000"/>
          <w:sz w:val="20"/>
          <w:u w:val="single"/>
        </w:rPr>
        <w:t>Risks Related to Our Investments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investments are very risky and highly speculative.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Investing in high growth-potential, private companies involves a high degree of risk, and our financial results may be affected adversely if one or more of our significant portfolio investments defaults on its loans or fails to perform as we expect.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investment strategy focused primarily on privately held companies presents certain challenges, including the lack of available information about these companies and a greater vulnerability to economic downturns.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Inflation may adversely affect our and our portfolio companies’ business, results of operations and financial condition.</w:t>
      </w:r>
    </w:p>
    <w:p>
      <w:pPr>
        <w:pStyle w:val="TextBody"/>
        <w:bidi w:val="0"/>
        <w:jc w:val="both"/>
        <w:rPr/>
      </w:pPr>
      <w:r>
        <w:rPr/>
        <w:t> </w:t>
      </w:r>
    </w:p>
    <w:p>
      <w:pPr>
        <w:pStyle w:val="TextBody"/>
        <w:bidi w:val="0"/>
        <w:spacing w:before="40" w:after="283"/>
        <w:jc w:val="both"/>
        <w:rPr>
          <w:rFonts w:ascii="Times New Roman" w:hAnsi="Times New Roman"/>
          <w:color w:val="000000"/>
          <w:sz w:val="20"/>
          <w:u w:val="single"/>
        </w:rPr>
      </w:pPr>
      <w:r>
        <w:rPr>
          <w:rFonts w:ascii="Times New Roman" w:hAnsi="Times New Roman"/>
          <w:color w:val="000000"/>
          <w:sz w:val="20"/>
          <w:u w:val="single"/>
        </w:rPr>
        <w:t>Risks Related to Our Conflicts of Interest</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strategic relationship with Oaktree may create conflicts of interest.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significant potential conflicts of interest which could impact our investment returns.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RGC’s liability is limited under the Advisory Agreement and we have agreed to indemnify RGC against certain liabilities, which may lead RGC to act in a riskier manner on our behalf than it would when acting for its own account. </w:t>
      </w:r>
    </w:p>
    <w:p>
      <w:pPr>
        <w:pStyle w:val="TextBody"/>
        <w:bidi w:val="0"/>
        <w:spacing w:before="40" w:after="283"/>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both"/>
        <w:rPr>
          <w:rFonts w:ascii="Times New Roman" w:hAnsi="Times New Roman"/>
          <w:color w:val="000000"/>
          <w:sz w:val="20"/>
          <w:u w:val="single"/>
        </w:rPr>
      </w:pPr>
      <w:r>
        <w:rPr>
          <w:rFonts w:ascii="Times New Roman" w:hAnsi="Times New Roman"/>
          <w:color w:val="000000"/>
          <w:sz w:val="20"/>
          <w:u w:val="single"/>
        </w:rPr>
        <w:t>Risks Related to Our Common Stock</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Shares of our common stock have traded at a discount from net asset value and may do so in the future.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stockholder’s interest in us will be diluted if we issue additional shares, which could reduce the overall value of an investment in us. </w:t>
      </w:r>
    </w:p>
    <w:p>
      <w:pPr>
        <w:pStyle w:val="TextBody"/>
        <w:bidi w:val="0"/>
        <w:spacing w:before="120" w:after="240"/>
        <w:jc w:val="both"/>
        <w:rPr>
          <w:color w:val="000000"/>
        </w:rPr>
      </w:pPr>
      <w:r>
        <w:rPr>
          <w:color w:val="000000"/>
        </w:rPr>
        <w:t>•</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Sales of substantial amounts of our common stock in the public market may have an adverse effect on the market price of our common stock.</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Risks Related to RIC Tax Treatment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will be subject to U.S. federal income tax at corporate rates if we are unable to qualify as a RIC.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have difficulty paying our required distributions if we recognize income before or without receiving cash representing such income.</w:t>
      </w:r>
    </w:p>
    <w:p>
      <w:pPr>
        <w:pStyle w:val="TextBody"/>
        <w:bidi w:val="0"/>
        <w:spacing w:before="40" w:after="283"/>
        <w:jc w:val="both"/>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General Risks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experience fluctuations in our quarterly and annual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 intervention in the credit markets could adversely affect our business.</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Risks Related to the Economy</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Political, social and economic uncertainty creates and exacerbates risks.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Social, political, economic and other conditions and events (such as natural disasters, epidemics and pandemics, terrorism, conflicts and social unrest) will occur that create uncertainty and have significant impacts on issuers, industries, governments and other systems, including the financial markets, to which companies and their investments are exposed. As global systems, economies and financial markets are increasingly interconnected, events that once had only local impact are now more likely to have regional or even global effects. Events that occur in one country, region or financial market will, more frequently, adversely impact issuers in other countries, regions or markets, including in established markets such as the United States. These impacts can be exacerbated by failures of governments and societies to adequately respond to an emerging event or threat.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Uncertainty can result in or coincide with, among other things: increased volatility in the financial markets for securities, derivatives, loans, credit and currency; a decrease in the reliability of market prices and difficulty in valuing assets (including portfolio company assets); greater fluctuations in spreads on debt investments and currency exchange rates; increased risk of default (by both government and private obligors and issuers); further social, economic, and political instability; nationalization of private enterprise; greater governmental involvement in the economy or in social factors that impact the economy; changes to governmental regulation and supervision of the loan, securities, derivatives and currency markets and market participants and decreased or revised monitoring of such markets by governments or self-regulatory organizations and reduced enforcement of regulations; limitations on the activities of investors in such markets; controls or restrictions on foreign investment, capital controls and limitations on repatriation of invested capital; the significant loss of liquidity and the inability to purchase, sell and otherwise fund investments or settle transactions (including, but not limited to, a market freeze); unavailability of currency hedging techniques; substantial, and in some periods extremely high rates of inflation, which can last many years and have substantial negative effects on credit and securities markets as well as the economy as a whole; recessions; and difficulties in obtaining and/or enforcing legal judgments. </w:t>
      </w:r>
    </w:p>
    <w:p>
      <w:pPr>
        <w:pStyle w:val="TextBody"/>
        <w:bidi w:val="0"/>
        <w:spacing w:before="360" w:after="240"/>
        <w:jc w:val="both"/>
        <w:rPr>
          <w:rFonts w:ascii="Times New Roman" w:hAnsi="Times New Roman"/>
          <w:sz w:val="20"/>
        </w:rPr>
      </w:pPr>
      <w:r>
        <w:rPr>
          <w:rFonts w:ascii="Times New Roman" w:hAnsi="Times New Roman"/>
          <w:b/>
          <w:i/>
          <w:color w:val="000000"/>
          <w:sz w:val="20"/>
        </w:rPr>
        <w:t>A renewed period of disruption in the capital markets may cause uncertain economic conditions. Such market conditions may materially and adversely affect debt and equity capital markets, which may have a negative impact on our business and operations.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capital markets have experienced extreme volatility in recent periods, and as a result, there has been and will likely continue to be uncertainty in the financial markets in general. Unpredictable general economic conditions may materially and adversely impact the broader financial and credit markets which could reduce the availability of debt and equity capital for the market as a whole. These conditions could continue for a prolonged period of time or worsen in the future.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Given the ongoing and dynamic nature of the circumstances, it is difficult to predict the full impact that current market conditions may have on our business. The extent of such impact will depend on future developments, which are highly uncertain and current market conditions, and the related adverse local and national economic consequences, we could be subject to any of the following risks, any of which could have a material, adverse effect on our business, financial condition, liquidity, and results of operations: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Current market conditions may make it difficult to raise equity capital because, subject to some limited exceptions, as a BDC, we are generally not able to issue additional shares of our common stock at a price less than the NAV per share without first obtaining approval for such issuance from our stockholders and our independent directors. In addition, these market conditions may make it difficult to access or obtain new indebtedness with similar terms to our existing indebtedness.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Significant changes or volatility in the capital markets may also have a negative effect on the valuations of our investments. While most of our investments are not publicly traded, applicable accounting standards require us to assume as part of our valuation process that our investments are sold in a principal market to market participants (even if we plan on holding an investment through its maturity).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 changes in the capital markets may adversely affect the pace of our investment activity and economic activity generally.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illiquidity of our investments may make it difficult for us to sell such investments to access capital if required, and as a result, we could realize significantly less than the value at which we have recorded our investments if we were required to sell them for liquidity purposes. An inability to raise or access capital, and any required sale of all or a portion of our investments as a result, could have a material adverse effect on our business, financial condition or results of operations.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The current period of capital markets disruption and economic uncertainty may make it difficult to extend the maturity of, or refinance, our existing indebtedness or obtain new indebtedness and any failure to do so could have a material adverse effect on our business, financial condition or results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Current market conditions may make it difficult to extend the maturity of or refinance our existing indebtedness or obtain new indebtedness with similar terms and any failure to do so could have a material adverse effect on our business. The debt capital that will be available to us in the future, if at all, may be at a higher cost and on less favorable terms and conditions than what we currently experience, including being at a higher cost in rising rate environments. If we are unable to raise or refinance debt, then our equity investors may not benefit from the potential for increased returns on equity resulting from leverage and we may be limited in our ability to make new commitments or to fund existing commitments to our portfolio companies. An inability to extend the maturity of, or refinance, our existing indebtedness or obtain new indebtedness could have a material adverse effect on our business, financial condition or results of operations.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Economic recessions or downturns could impair our portfolio companies and harm our operating results.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Many of the portfolio companies in which we make investments may be susceptible to economic slowdowns or recessions and may be unable to repay the loans we made to them during these periods.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In similar fashion, increasing or excessive levels of inflation and rising interest rates could also impair our portfolio companies cash flow and operations. These events could prevent us from increasing investments and harm our operating results.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sz w:val="20"/>
        </w:rPr>
      </w:pPr>
      <w:r>
        <w:rPr>
          <w:rFonts w:ascii="Times New Roman" w:hAnsi="Times New Roman"/>
          <w:b/>
          <w:i/>
          <w:color w:val="000000"/>
          <w:sz w:val="20"/>
        </w:rPr>
        <w:t>Further downgrades of the U.S. credit rating could negatively impact our liquidity, financial conditions and earnings.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U.S. debt ceiling and budget deficit concerns have raised the possibility of additional credit-rating downgrades and economic slowdowns in the United States and globally. Legislation passed in June 2023 suspends the debt ceiling through early 2025, unless Congress takes further legislative action to extend it. Downgrades by rating agencies to the U.S. government’s credit rating or concerns about its credit and deficit levels in general could cause interest rates and borrowing costs to rise, which may negatively impact both the perception of credit risk associated with our debt portfolio and our ability to access the debt markets on favorable terms. In addition, a decreased U.S. government credit rating could create broader financial turmoil and uncertainty, which may weigh heavily on our financial performance and the value of our common stock.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Global economic, political and market conditions may adversely affect our business, financial condition and results of operations, including our revenue growth and profitability.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Deterioration in the economic conditions in the Eurozone and other regions or countries globally and the resulting instability in global financial markets may pose a risk to our business. Financial markets have been affected at times by a number of global macroeconomic events, including the following: large sovereign debts and fiscal deficits of several countries in Europe and in emerging markets jurisdictions, levels of non-performing loans on the balance sheets of European banks, the effect of the United Kingdom (the "U.K.") leaving the European Union (the "EU"), instability in the Chinese capital markets and the COVID-19 pandemic. Global market and economic disruptions have affected, and may in the future affect, the U.S. capital markets, which could adversely affect our business, financial condition or results of operations. We cannot assure you that market disruptions in Europe and other regions or countries, including the increased cost of funding for certain governments and financial institutions, will not impact the global economy, and we cannot assure you that assistance packages will be available, or if available, be sufficient to stabilize countries and markets in Europe or elsewhere affected by a financial crisis. To the extent uncertainty regarding any economic recovery in Europe negatively impacts consumer confidence and consumer credit factors, our business, financial condition and results of operations could be significantly and adversely affected. Moreover, there is a risk of both sector-specific and broad-based corrections and/or downturns in the equity and credit markets. Any of the foregoing could have a significant impact on the markets in which we operate and could have a material adverse impact on our business prospects and financial condition.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Various social and political circumstances in the U.S. and around the world (including wars and other forms of conflict, including rising trade tensions between the United States and China, and other uncertainties regarding actual and potential shifts in the United States and foreign, trade, economic and other policies with other countries, terrorist acts, security operations and catastrophic events such as fires, floods, earthquakes, tornadoes, hurricanes and global health epidemics), may also contribute to increased market volatility and economic uncertainties or deterioration in the United States and worldwide. Specifically, the ongoing conflict between Russia and Ukraine, and the ongoing conflict in the Middle East and the resulting market volatility, could adversely affect our business, financial condition or results of operations. In response to the conflict between Russia and Ukraine, the United States and other countries have imposed sanctions or other restrictive actions against Russia. Any of the above factors, including sanctions, export controls, tariffs, trade wars and other governmental actions, could have a material adverse effect on our business, financial condition, cash flows and results of operations and could cause the market value of our common shares and/or debt securities to decline. These market and economic disruptions could also negatively impact the operating results of our portfolio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Additionally, the Federal Reserve may further raise, or may announce its intention to further raise, the Federal Funds Rate in 2024. These developments, along with the United States government’s credit and deficit concerns, global economic uncertainties and market volatility could cause interest rates to be volatile, which may negatively impact our ability to access the debt markets and capital markets on favorable terms.</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Risks Related to Our Business and Structure</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investment portfolio is recorded at fair value, with our Board of Directors determining, in good faith, the fair value of our investment portfolio and, as a result, there is uncertainty as to the value of our portfolio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Under the 1940 Act, we are required to carry our portfolio investments at market value or, if there is no readily available market value, at fair value as determined by our Board of Directors. Typically, there will not be a public market for the securities of the privately held companies in which we invest. As a result, our Board of Directors values these securities quarterly at fair value based on input from management, a third-party independent valuation firm and the audit committee of our Board of Directors (the "Audit Committee"). The fair value of such securities may meaningfully change between the date of the fair value determination by our Board of Directors, as assisted by third-party independent valuation firms and the Audit Committee, and the release of the financial results for the corresponding period and/or the next date at which fair value is determined.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determination of fair value and consequently, the amount of unrealized gains and losses in our portfolio, are to a certain degree, subjective and dependent on a valuation process approved by our Board of Directors. Certain factors that may be considered in determining the fair value of our investments include external events, such as private mergers, sales and acquisitions involving comparable companies. Because such valuations, and particularly valuations of private securities and private companies, are inherently uncertain, they may fluctuate over short periods of time and may be based on estimates. Our determinations of fair value may differ materially from the values that would have been used if a ready market for these securities existed. Due to this uncertainty, our fair value determinations may cause our net asset value on a given date to materially understate or overstate the value that we may ultimately realize on one or more of our investments. As a result, investors purchasing our common stock based on an overstated net asset value would pay a higher price than the value of our investments might warrant. Conversely, investors selling shares of our common stock during a period in which the net asset value understates the value of our investments will receive a lower price for their shares of our common stock than the value of our investments might warrant.</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financial condition and results of operations depend on our ability to effectively manage and deploy capital.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ability to achieve our investment objective depends on our ability to effectively manage and deploy capital, which depends, in turn, on RGC’s ability to identify, originate, evaluate and monitor, and our ability to finance and invest in, companies that meet our investment criteria.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Accomplishing our investment objective on a cost-effective basis is largely a function of RGC’s handling of the investment process, its ability to provide competent, attentive and efficient services and our access to investments offering acceptable terms. In addition to monitoring the performance of our existing investments and other responsibilities under the Advisory Agreement, RGC’s investment team may also be called upon, from time to time, to provide managerial assistance to some of our portfolio companies. These demands may distract our investment team or slow the rate at which we may make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Even if we are able to grow and build upon our investment portfolio, any failure to manage our growth effectively could have a material adverse effect on our business, financial condition, results of operations and prospects. Our results of operations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herein, it could negatively impact our ability to pay dividends.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We operate in a highly competitive market for investment opportunities and we may not be able to compete effectively.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primary competitors for investments include both existing and newly formed debt, and to a lesser extent equity, focused public and private funds, other BDCs, commercial and investment banks, venture-oriented commercial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 lower cost of capital and access to funding sources that are not available to us. In addition, some of our competitors may have higher risk tolerances or different risk assessments than we have, which could allow them to consider a wider variety of investments and establish more relationships than we can. Furthermore, many of our competitors are not subject to the regulatory restrictions that the 1940 Act imposes on us as a BDC or to the distribution and other requirements we must satisfy to maintain our ability to be subject to taxation as a RIC. These characteristics could allow our competitors to consider a wider variety of investments, establish more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relationships and offer better pricing and more flexible structuring than we are able to offer. In recent years, substantial investor capital has been allocated to the private credit and direct lending asset classes, creating and increasing competition among lenders. Increased competition across all segments of the private credit and direct lending markets, has reduced credit spreads, and along with historically low interest rates, has reduced investment yields and resulted in more borrower friendly terms and conditions. For instance, typically when interest rates are low and a credit cycle extended, new entrants will enter traditionally higher yielding markets creating additional competition and pressures and temporarily compressing yields. We believe the credit markets, and in particular the market for our lending strategies, are presently experiencing such pressures. New competitors, including established private credit platforms in other segments, have entered the sponsored and non-sponsored growth lending market and a similar competitive dynamic is possible. While their entry may or may not be permanent, their entry could lead to competitive pressure on our investment yields and other terms and conditions in the short-term.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do not compete primarily on the financing terms we offer and some competitors make loans with rates that are comparable or lower than our rates. We may lose some investment opportunities if we do not match our competitors’ pricing, terms and structure. However, if we match our competitors’ pricing, terms and structure, we may experience decreased net interest income, lower yields and increased risk of credit loss. As a result of this competition, we may not be able to take advantage of attractive investment opportunities from time to time, and we may not be able to identify and make investments that are consistent with our investment objective. The competitive pressures we face may have a material adverse effect on our financial condition, results of operations and cash flows.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business model depends to a significant extent upon strong referral relationships. Any inability of RGC to maintain or develop these relationships, or the failure of these relationships to generate investment opportunities, could adversely affect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depend upon RGC to maintain its relationships with venture capital and private equity firms, placement agents, investment banks, management groups and other financial institutions, and we expect to rely to a significant extent upon these relationships to provide us with potential investment opportunities. If RGC fails to maintain such existing relationships, or to develop new relationships with other sources of investment opportunities, we may not be able to grow our investment portfolio. In addition, individuals with whom RGC has relationships are not obligated to provide us with investment opportunities, and we can offer no assurance that these relationships will generate investment opportunities for us in the future. The failure of RGC to maintain existing relationships, grow new relationships, or for any of those relationships to generate investment opportunities could have an adverse effect on our business, financial condition and results of operations.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We are dependent upon RGC’s key personnel for our future success.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depend on the diligence, skill and investment acumen of R. David Spreng, the founder, Chief Executive Officer and Chief Investment Officer of RGC , along with the senior officers and other investment professionals at RGC, including Thomas Raterman, our Acting President, Chief Operating Officer, Chief Financial Officer, Treasurer and Secretary, and Greg Greifeld our Acting Chief Executive Officer, and Managing Director, Deputy Chief Investment Officer, and Head of Credit at RGC. Mr. Raterman also serves as the Chief Financial Officer, and Chief Operating Officer of RGC. Mr. Spreng, Mr. Raterman, Mr. Greifeld and the other members of RGC’s senior management evaluate, negotiate, structure, close and monitor our investments. Our future success depends on the continued service of these members of RGC’s senior management. We cannot assure you that unforeseen business, medical, personal or other circumstances would not lead any such individual to terminate his or her relationship with us. The loss of Mr. Spreng, Mr. Raterman, Mr. Greifeld and/or any of the other members of RGC’s senior management could have a material adverse effect on our ability to achieve our investment objective as well as on our financial condition and results of operations. In addition, we can offer no assurance that RGC will continue indefinitely as RGC.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members of RGC’s senior management are and may in the future become affiliated with entities engaged in business activities similar to those intended to be conducted by us and may have conflicts of interest in allocating their time. RGC may also manage and sub-advise private investment funds and accounts, and may manage other such funds and accounts in the future, which have investment mandates that are similar, in whole or in part, with ours. Accordingly, RGC’s senior management may have obligations to investors in those entities, the fulfillment of which might not be in the best interests of us or our stockholders. For example, RGC’s senior management may face conflicts of interest in the allocation of investment opportunities to us and such other existing and future funds and accounts.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success depends on the ability of RGC to attract and retain qualified personnel in a competitive environment.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growth requires that RGC retains and attracts new investment and administrative personnel in a competitive market. RGC’s ability to attract and retain personnel with the requisite credentials, experience and skills depends on several factors including, but not limited to, its ability to offer competitive wages, benefits and professional growth opportunities. Many of the entities, including investment funds (such as venture capital funds, private equity funds and mezzanine funds) and traditional financial services companies, with which RGC competes for experienced personnel have greater resources than it possesses, which could have a negative impact on RGC’s ability to attract and retain qualified personnel and, as a result, have a material adverse effect on our business and results of operations.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The compensation we pay to RGC and our Administrator was not determined on an arm’s-length basis. Thus, the terms of such compensation may be less advantageous to us than if such terms had been the subject of arm’s-length negotiations.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compensation we pay to RGC and our Administrator was not determined on an arm’s-length basis with an unaffiliated third party. As a result, the form and amount of such compensation may be less favorable to us than if the respective agreements had been entered into through arm’s-length transactions with an unaffiliated third party. In addition, we may choose not to enforce, or to enforce less vigorously, our respective rights and remedies under the Advisory Agreement and the Administration Agreement because of our desire to maintain our ongoing relationship with RGC, our Administrator and their respective affiliates. Any such decision, however, could cause us to breach our fiduciary obligations to our stockholders.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management fee may induce RGC to purchase assets with borrowed funds and to use leverage despite any enhanced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management fee payable by us to RGC may create an incentive for RGC to purchase assets with borrowed funds when it is unwise to do so or to pursue investments on our behalf that are riskier or more speculative than would be the case in the absence of such compensation arrangement. The management fee payable to RGC is calculated based on the amount of our gross assets, which includes assets purchased with borrowed funds or other forms of leverage. Under certain circumstances, the use of leverage may increase the likelihood of default, which would impair the value of our common stock.</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The capital gains portion of our incentive fee may induce RGC to make speculative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RGC receives the incentive fee based, in part, upon net capital gains realized on our investments. Under the incentive fee structure, RGC may benefit when we recognize capital gains and, because RGC, in certain circumstances, will determine when to sell an investment, RGC will control the timing of the recognition of such capital gains. As a result, in certain situations RGC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A general increase in interest rates will likely have the effect of making it easier for RGC to receive incentive fees, without necessarily resulting in an increase in our net earnings.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Given the structure of the Advisory Agreement, any general increase in interest rates can be expected to lead to higher interest rates applicable to our debt investments and will likely have the effect of making it easier for RGC to meet the quarterly hurdle rate for payment of income incentive fees under the Advisory Agreement without any additional increase in relative performance on the part of RGC. This may occur without a corresponding increase in distributions to our stockholders. In addition, in view of the catch-up provision applicable to income incentive fees under the Advisory Agreement, RGC could potentially receive a significant portion of the increase in our investment income attributable to such a general increase in interest rates. If that were to occur, our increase in net earnings, if any, would likely be significantly smaller than the relative increase in RGC’s income incentive fee resulting from such a general increase in interest rates.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RGC and our Administrator have the right to resign upon not more than 60 days’ notice, and we may not be able to find a suitable replacement for either within that time, or at all, resulting in a disruption in our operations that could adversely affect our financial condition, business and results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RGC has the right, under the Advisory Agreement, to resign at any time upon not more than 60 days’ written notice, regardless of whether we have found a replacement. Similarly, our Administrator has the right under the Administration Agreement to resign at any time upon not more than 60 days’ written notice, regardless of whether we have found a replacement. If RGC or our Administrator were to resign, we may not be able to find a new investment adviser or administrator or hire internal management with similar expertise and ability to provide the same or equivalent services on acceptable terms prior to the resignation of RGC or our Administrator, or at all. If we are unable to do so quickly, our operations are likely to experience a disruption, our financial condition, business and results of operations, as well as our ability to pay distributions, are likely to be materially and adversely affected. In addition, the coordination of our internal management and investment or administrative activities, as applicable, are likely to suffer if we are unable to identify and reach an agreement with a single institution or group of executives having the expertise possessed by RGC, our Administrator and their respective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results of operations and cash flows.</w:t>
      </w:r>
    </w:p>
    <w:p>
      <w:pPr>
        <w:pStyle w:val="TextBody"/>
        <w:bidi w:val="0"/>
        <w:spacing w:before="360" w:after="240"/>
        <w:jc w:val="both"/>
        <w:rPr>
          <w:rFonts w:ascii="Times New Roman" w:hAnsi="Times New Roman"/>
          <w:sz w:val="20"/>
        </w:rPr>
      </w:pPr>
      <w:r>
        <w:rPr>
          <w:rFonts w:ascii="Times New Roman" w:hAnsi="Times New Roman"/>
          <w:b/>
          <w:i/>
          <w:color w:val="000000"/>
          <w:sz w:val="20"/>
        </w:rPr>
        <w:t>We may need to raise additional capital to grow because we must distribute most of our income.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may need additional capital to fund growth in our investments. A reduction in the availability of new capital could limit our ability to grow. We must distribute at least 90% of our investment company taxable income to our stockholders to maintain our tax treatment as a RIC. As a result, any such cash earnings may not be available to fund investment originations. We have and may, in the future, borrow under debt facilities from financial institutions and issue additional debt and equity securities. If we fail to obtain funds from such sources or from other sources to fund our investments, it could limit our ability to grow, which may have an adverse effect on the value of our securities. In addition, as a BDC, our ability to borrow or issue preferred stock may be restricted if our total assets are less than 150% of our total borrowings and preferred stock. See "— Regulations governing our operation as a BDC affect our ability to raise additional capital and the way in which we do so. As a BDC, the necessity of raising additional capital may expose us to risks, including the typical risks associated with leverage."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addition, shares of BDCs have recently traded at discounts to their net asset values. If our common stock trades below its net asset value, we will not be able to issue additional shares of our common stock at its market price without first obtaining the approval for such issuance from our stockholders and our independent directors. If additional funds are not available to us, we could be forced to curtail or cease new lending and investment activities and our net asset value could decline.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reduction in the availability of new capital or an inability on our part to access the capital markets successfully could limit our ability to grow our business and execute our business strategy fully and decrease our earnings, if any, which could have a material adverse effect on our business, financial condition, results of operations and cash flows.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Any failure on our part to maintain our status as a BDC or fail to qualify as a RIC would reduce our operating flexibility.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1940 Act imposes numerous constraints on the operations of BDCs. For example, BDCs are required to invest at least 70% of their gross assets in specified types of  "qualifying assets," primarily in private U.S. companies or thinly-traded U.S. public companies, cash, cash equivalents, U.S. government securities and other high-quality debt investments that mature in one year or less. In addition, subject to certain limited exceptions, an investment in an issuer that has outstanding securities listed on a national exchange may be treated as a qualifying asset only if such issuer has a market capitalization that is less than $250.0 million at the time of such investment. Moreover, as a RIC, the treatment for which we intend to qualify annually, we are required to satisfy certain source-of-income, diversification and distribution requirements. Therefore, we may be precluded from investing in what we believe are attractive investments if such investments are not qualifying assets. Conversely, if we fail to invest a sufficient portion of our assets in qualifying assets, we could lose our status as a BDC, which would have a material adverse effect on our business, financial condition and results of operations. Similarly, these constraints could prevent us from making additional investments in existing portfolio companies, which could result in the dilution of our position, or could require us to dispose of investments at an inopportune time to comply with the 1940 Act. If we were forced to sell non-qualifying investments in the portfolio for compliance purposes, the proceeds from such sale could be significantly less than the current value of such investments. These constraints, among others, may hinder our ability to take advantage of attractive investment opportunities and to achieve our investment objective.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qualify, or maintain our qualification, as a BDC, we will be subject to the substantially greater regulation under the 1940 Act as a closed-end investment company. Compliance with such regulations would significantly decrease our operating flexibility and could significantly increase our costs of doing business.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Regulations governing our operation as a BDC affect our ability to raise additional capital and the way in which we do so. As a BDC, the necessity of raising additional capital may expose us to risks, including the typical risks associated with leverage.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issue debt securities or preferred stock and/or borrow money from banks or other financial institutions, which we refer to collectively as "senior securities," up to the maximum amount permitted by the 1940 Act. Under the provisions of the 1940 Act, we are generally permitted, as a BDC, to issue senior securities in amounts such that our asset coverage ratio, as defined in the 1940 Act, equals at least 150% of gross assets less all liabilities and indebtedness not represented by senior securities, after each issuance of senior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value of our assets decline, we may be unable to satisfy the asset coverage test. If that happens, we may be required to sell a portion of our investments and, depending on the nature of our leverage, repay a portion of our indebtedness at a time when such sales may be disadvantageous. Also, any amounts that we use to service our indebtedness would not be available for distributions to our common stockholders. Furthermore, as a result of issuing senior securities, we would also be exposed to typical risks associated with leverage, including an increased risk of loss.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we issue preferred stock, the preferred stock would rank "senior" to common stock in our capital structure, preferred stockholders would have separate voting rights on certain matters and might have other rights, preferences, or privileges more favorable than those of our common stockholders, and the issuance of preferred stock could have the effect of delaying, deferring or preventing a transaction or a change of control that might involve a premium price for holders of our common stock or otherwise be in your best interest.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generally not able to issue and sell our common stock at a price below net asset value per share. We may, however, sell our common stock, or warrants, options or rights to acquire our common stock, at a price below the then-current net asset value per share of our common stock if our Board of Directors determines that such sale is in the best interests of our stockholders, and our stockholders approve such sale. In any such case, the price at which our securities are to be issued and sold may not be less than a price that, in the determination of our Board of Directors, closely approximates the market value of such securities (less any distributing commission or discount). If we raise additional funds by issuing more common stock or senior securities convertible into, or exchangeable for, our common stock, then the percentage ownership of our stockholders at that time will decrease, and you may experience dilution.</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We borrow money, which could magnify the potential for gain or loss on amounts invested and may increase the risk of investing in 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use of leverage magnifies the potential for gain or loss on amounts invested and, therefore, increases the risks associated with investing in our securities. We borrow from and issue, and may continue to in the future, senior debt securities to banks, insurance companies and other lenders. Holders of these senior securities will have fixed dollar claims on our assets that are superior to the claims of our common stockholders, and we would expect such lenders to seek recovery against our assets in the event of a default.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investment income to increase more than it would without the leverage, while any decrease in our income would cause net income to decline more sharply than it would have had we not borrowed. Such a decline could also negatively affect our ability to make dividend payments on our common stock, scheduled debt payments or other payments related to our securities. Leverage is generally considered a speculative investment technique. Our ability to service any debt that we incur will depend largely on our financial performance and will be subject to prevailing economic conditions and competitive pressures. In addition, our common stockholders will bear the burden of any increase in our expenses, including our interest expense, as a result of leverage.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a BDC, we are generally required to meet an asset coverage ratio, defined under the 1940 Act as the ratio of our gross assets (less all liabilities and indebtedness not represented by senior securities) to our outstanding senior securities, of at least 150% after each issuance of senior securities. If this ratio declines below 150%, we may not be able to incur additional debt and could be required by law to sell a portion of our investments to repay some debt when it is disadvantageous to do so, which could have a material adverse effect on our operations, and we may not be able to make distributions. The amount of leverage that we employ will depend on RGC’s and our Board of Director's assessment of market and other factors at the time of any proposed borrowing. We cannot assure you that we will be able to obtain credit at all or on terms acceptable to us. In addition, any debt facility into which we may enter would likely impose financial and operating covenants that restrict our business activities, including limitations that could hinder our ability to finance additional loans and investments or to make the distributions required to qualify as a RIC.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following table illustrates the effect of leverage on returns from an investment in our common stock assuming various annual returns on our portfolio as of December 31, 2023, net of expenses. Leverage generally magnifies the return of stockholders when the portfolio return is positive and magnifies their losses when the portfolio return is negative. The calculations in the table below are hypothetical, and actual returns may be higher or lower than those appearing in the table below. </w:t>
      </w:r>
    </w:p>
    <w:tbl>
      <w:tblPr>
        <w:tblW w:w="6991" w:type="dxa"/>
        <w:jc w:val="left"/>
        <w:tblInd w:w="0" w:type="dxa"/>
        <w:tblLayout w:type="fixed"/>
        <w:tblCellMar>
          <w:top w:w="28" w:type="dxa"/>
          <w:left w:w="28" w:type="dxa"/>
          <w:bottom w:w="28" w:type="dxa"/>
          <w:right w:w="28" w:type="dxa"/>
        </w:tblCellMar>
      </w:tblPr>
      <w:tblGrid>
        <w:gridCol w:w="3436"/>
        <w:gridCol w:w="146"/>
        <w:gridCol w:w="616"/>
        <w:gridCol w:w="146"/>
        <w:gridCol w:w="616"/>
        <w:gridCol w:w="146"/>
        <w:gridCol w:w="526"/>
        <w:gridCol w:w="146"/>
        <w:gridCol w:w="466"/>
        <w:gridCol w:w="146"/>
        <w:gridCol w:w="60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9" w:type="dxa"/>
            <w:gridSpan w:val="9"/>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Assumed Return on Our Portfolio</w:t>
            </w:r>
          </w:p>
        </w:tc>
      </w:tr>
      <w:tr>
        <w:trPr/>
        <w:tc>
          <w:tcPr>
            <w:tcW w:w="3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of Expenses)</w:t>
            </w:r>
          </w:p>
        </w:tc>
      </w:tr>
      <w:tr>
        <w:trPr/>
        <w:tc>
          <w:tcPr>
            <w:tcW w:w="343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w:t>
            </w:r>
          </w:p>
        </w:tc>
        <w:tc>
          <w:tcPr>
            <w:tcW w:w="14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w:t>
            </w:r>
          </w:p>
        </w:tc>
      </w:tr>
      <w:tr>
        <w:trPr/>
        <w:tc>
          <w:tcPr>
            <w:tcW w:w="343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Corresponding return to common stockholder</w:t>
            </w: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-26.8%</w:t>
            </w:r>
          </w:p>
        </w:tc>
        <w:tc>
          <w:tcPr>
            <w:tcW w:w="14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-16.9%</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-7.0%</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2.8%</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12.7%</w:t>
            </w:r>
          </w:p>
        </w:tc>
      </w:tr>
    </w:tbl>
    <w:p>
      <w:pPr>
        <w:pStyle w:val="TextBody"/>
        <w:pBdr>
          <w:bottom w:val="single" w:sz="6" w:space="1" w:color="000000"/>
        </w:pBdr>
        <w:bidi w:val="0"/>
        <w:jc w:val="both"/>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Assumes (i) $1.1 billion in total assets, (ii) $519.3 million in outstanding indebtedness, (iii) $547.1 million in net assets and (iv) weighted average interest rate, excluding fees (such as fees on undrawn amounts and amortization of financing costs) of 7.41%.</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Any defaults under our Credit Facility or other borrowings, including the 2026 or 2027 Notes, could adversely affect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May 31, 2019 (as subsequently amended), we entered into a credit agreement ("Credit Facility") by and among us, as borrower, the financial institutions party thereto as lenders, KeyBank National Association, as administrative agent, syndication agent, and a lender, CIBC Bank USA, as documentation agent and a lender, MUFG Union Bank, N.A., as co-documentation agent and lender and U.S. Bank National Association, as paying agent.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December 10, 2021, we entered into a master note purchase agreement in connection with a private debt offering of $70.0 million in aggregate principal amount of 4.25% interest-bearing unsecured Series 2021A Senior Notes due 2026 (the “December 2026 Notes”). On April 13, 2023, we entered into the first supplement to the master note purchase agreement in connection with an additional private debt offering of $25.0 million in aggregate principal amount of 8.54% interest-bearing unsecured Series 2023A Senior Notes due 2026 (the “April 2026 Notes” and together with the December 2026 Notes, the “2026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July 28, 2022, we issued and sold $80.5 million in aggregate principal amount of 7.50% interest-bearing unsecured Notes due 2027 (the “July 2027 Notes”), pursuant to a base indenture by and between us and U.S. Bank Trust Company, National Association, as trustee,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dated July 28, 2022 (the “Base Indenture”), and the first supplemental indenture thereto, dated July 28, 2022. On August 31, 2022, we issued and sold $20.0 million in aggregate principal amount of 7.00% interest-bearing unsecured Series 2022A Senior Notes due 2027 (the “August 2027 Notes”) to HCM Master Fund Limited in a private debt offering. On December 7, 2022, we issued and sold $51.75 million in aggregate principal amount of 8.00% interest-bearing unsecured Notes due 2027 (the “December 2027 Notes” and together with the July 2027 Notes and the August 2027 Notes, the “2027 Notes”), pursuant to the Base Indenture and the second supplemental indenture thereto, dated December 7, 2022.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we default under our Credit Facility, or other borrowings, including the 2026 Notes and 2027 Notes, our business could be adversely affected as we may be forced to sell a portion of our investments quickly and prematurely at what may be unfavorable prices to us in order to meet our outstanding payment obligations and/or support working capital requirements under such borrowing facility, any of which would have a material adverse effect on our business, financial condition, results of operations and cash flows. In addition, following any such default, the agent for the lenders under such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If we are unable to obtain additional debt financing, or if our borrowing capacity is materially reduced, our business could be materially adversely affected.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want to obtain additional debt financing or need to do so upon maturity of the Credit Facility, in order to obtain funds that may be made available for investments. The availability period under the Credit Facility expires on April 20, 2025 and is followed by a one year amortization period. The stated maturity date under the Credit Facility is April 20, 2026, unless extended. If we are unable to increase, renew or replace the Credit Facility and enter into new debt financing facilities or other debt financing on commercially reasonable terms, our liquidity may be reduced significantly. In addition, if we are unable to repay amounts outstanding under any such facilities and are declared in default or are unable to renew or refinance these facilities, we may not be able to make new investments or operate our business in the normal course. These situations may arise due to circumstances that we may be unable to control, such as lack of access to the credit markets, a severe decline in the value of the U.S. dollar, an economic downturn or an operational problem that affects us or third parties, and could materially damage our business operations, results of operations and financial condition.</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Changes in interest rates may affect our cost of capital, the ability of our portfolio companies to service their debt obligations and our net investment income.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General interest rate fluctuations and changes in credit spreads on floating rate loans may have a substantial negative impact on our investments and investment opportunities and, accordingly, may have a material adverse effect on our rate of return on invested capital, our net investment income, and our net asset value. Substantially all of our debt investments will have variable interest rates that reset periodically based on benchmarks such as SOFR and Prime rate.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periods of rising interest rates, to the extent we borrow money subject to a floating interest rate, our cost of funds would increase, which could reduce our net investment income. Further, rising interest rates could also adversely affect our performance if such increases cause our borrowing costs to rise at a rate in excess of the rate that our investments yield. 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the extent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to the extent we use debt to finance our investments. In periods of rising interest rates, our cost of funds would increase, which could reduce our net investment income. In addition, in a prolonged low interest rate environment, including a reduction of SOFR or Prime rate to zero, the difference between the total interest income earned on interest earning assets and the total interest expense incurred on interest bearing borrowings may be compressed, reducing our net interest income and potentially adversely affecting our operating results.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RGC with respect to our pre-incentive fee net investment income.</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portfolio securities may not have a readily available market price and, in such a case, we will value these securities at fair value as determined in good faith under procedures adopted by our Board of Directors, which valuation is inherently subjective and may not reflect what we may actually realize for the sale of the investment.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large percentage of our portfolio investments are in the form of debt investments that are not publicly traded. The fair value of these securities is not readily determinable. We value these investments on at least a quarterly basis in accordance with our valuation policy, which is at all times consistent with generally accepted accounting principles in the United States ("U.S. GAAP"). Our Board of Directors utilizes the services of certain independent third-party valuation firms to aid it in determining the fair value of these investments. The Board of Directors discusses valuations and determines the fair value in good faith based on the input of RGC, the Audit Committee and the applicable third-party valuation firm. The participation of RGC in our valuation process could result in a conflict of interest, since the management fees are based in part on our gross assets and also because RGC is receiving performance-based incentive fees. The factors that are considered in the fair value pricing of our investments include the nature and realizable value of any collateral, the portfolio company’s ability to make payments on loans and its earnings, the markets in which the portfolio company does business, comparisons to publicly traded companies, discounted cash flow, relevant credit market indices, and other relevant factors. Because such valuations, and particularly valuations of private investments and private companies, are inherently uncertain, may fluctuate over short periods of time and are often based on estimates, our determinations of fair value may differ materially from the values that would have been used if a ready market for these securities existed. In addition, the valuation of these types of securities may result in substantial write-downs and earnings volatility.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net asset value as of a particular date may be materially greater than or less than the value that would be realized if our assets were to be liquidated as of such date. For example, if we were required to sell a certain asset or all or a substantial portion of its assets on a particular date, the actual price that we would realize upon the disposition of such asset or assets could be materially less than the value of such asset or assets as reflected in our net asset value. Volatile market conditions could also cause reduced liquidity in the market for certain assets, which could result in liquidation values that are materially less than the values of such assets as reflected in our net asset value.</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Board of Directors may change our investment objective, operating policies and strategies without prior notice or stockholder approval, the effects of which may be adverse.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Board of Directors has the authority to modify or waive our investment objective, current operating policies, investment criteria and strategies without prior notice (except as required by the 1940 Act) and without stockholder approval. However, absent stockholder approval, we may not change the nature of our business so as to cease to be, or withdraw our election as, a BDC. We cannot predict the effect any changes to our current operating policies, investment criteria and strategies would have on our business, net asset value, operating results and value of our stock. However, the effects of changes to our investment objective or criteria by our Board might be adverse, which could negatively impact our ability to pay you dividends and cause you to lose all or part of your investment.</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To the extent original issue discount and PIK-interest constitute a portion of our income, we are exposed to typical risks associated with such income being required to be included in taxable and accounting income prior to receipt of cash representing such income.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Certain of our investments include original-issue-discount instruments and contractual PIK-interest arrangements. To the extent original issue discount or PIK-interest constitutes a portion of our income, we are exposed to typical risks associated with such income being required to be included in taxable and accounting income prior to receipt of cash, including the following: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higher interest rates of original issue discount and PIK instruments reflect the payment deferral, which results in a higher principal amount at the maturity of the instrument as compared to the original principal amount of the instrument. Increased credit risk associated with these instruments, and original issue discount and PIK instruments generally, represent a significantly higher credit risk than coupon loans.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Even if the accounting conditions for income accrual are met, the borrower could still default when our actual collection is supposed to occur at the maturity of the obligation.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Original issue discount and PIK instruments may have unreliable valuations because their continuing accruals require continuing judgments about the collectability of the deferred payments and the value of any associated collateral. Original issue discount and PIK-income may also create uncertainty about the source of our cash distributions.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the extent we provide loans with interest-only payments or moderate loan amortization, the majority of the principal payment or amortization of principal may be deferred until loan maturity. Because this debt generally allows the borrower to make a large lump-sum payment of principal at the end of the loan term, there is a risk of loss if the borrower is unable to pay the lump sum or refinance the amount owed at maturity.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 accounting purposes, any cash distributions to stockholders representing original issue discount and PIK-income are not treated as coming from paid-in capital, even though the cash to pay them comes from the offering proceeds. As a result, despite the fact that a distribution representing original issue discount and PIK-income could be paid out of amounts invested by our stockholders, the 1940 Act does not require that stockholders be given notice of this fact by reporting it as a return of capital.</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In certain cases, we may recognize taxable income before or without receiving corresponding cash payments and, as a result, we may have difficulty meeting the Annual Distribution Requirement necessary to maintain our tax treatment as a RIC.</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We have and will continue to expend significant financial and other resources to comply with the requirements of being a public reporting entity.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a public reporting company, we are subject to the reporting requirements of the Exchange Act and certain requirements of the Sarbanes-Oxley Act. The Exchange Act requires that we file annual, quarterly, and current reports with respect to our business and financial condition. The Sarbanes-Oxley Act requires that we maintain effective disclosure controls and procedures and internal control over financial reporting, which are discussed below. See "Business – Regulation as a Business Development Company" in Part I, Item 1 of this Form 10-K. In order to maintain and improve the effectiveness of our disclosure controls and procedures and internal controls, significant resources and management oversight is required. We will continue to implement procedures, processes, policies and practices for the purpose of addressing the standards and requirements applicable to public companies. These activities may divert management’s attention from other initiatives, strategies or business concerns, which could have a material adverse effect on our business, financial condition, results of operations and cash flows. We expect to incur significant annual expenses related to these steps and, among other things, directors’ and officers’ liability insurance, director fees, reporting requirements of the SEC, transfer agent fees, additional administrative expenses payable to our Administrator to compensate them for hiring additional accounting, legal and administrative personnel, increased auditing and legal fees and similar expenses.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systems and resources necessary to comply with public company reporting requirements will increase further once we cease to be an "emerging growth company" under the Jumpstart Our Business Startups Act of 2012 ("JOBS Act"). As long as we remain an emerging growth company, we intend to take advantage of certain exemptions from various reporting requirements that are applicable to other public companies, including, but not limited to, not being required to comply with the auditor attestation requirements of Section 404 of the Sarbanes-Oxley Act. We will remain an emerging growth company for up to five years following our IPO, which we completed on October 25, 2021, although we would cease to be an emerging growth company as of the following December 31 if (i) the market value of our common stock that is held by non-affiliates exceeds $700.0 million as of any June 30 before that time, (ii) our annual gross revenue for the fiscal year exceeds $1.235 billion, or (iii) we issue an aggregate of $1.0 billion in non-convertible debt securities in any three year period. See "Business — Implications of Being an Emerging Growth Company" in Part I, Item 1 of this Form 10-K.</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We are obligated to maintain proper and effective internal control over financial reporting. Failure to achieve and maintain effective internal controls over financial reporting in accordance with Section 404 of the Sarbanes-Oxley Act could have a material adverse effect on our business and the value of our 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are obligated to maintain proper and effective internal control over financial reporting, including the internal control evaluation and certification requirements of Section 404 of the Sarbanes-Oxley Act ("Section 404"). We are required to conduct annual management assessments of the effectiveness of our internal controls over financial reporting. However, our independent registered public accounting firm will not be required to formally attest to the effectiveness of our internal control over financial reporting until the date (i) we are no longer an "emerging growth company" under the JOBS Act, and (ii) we become an "accelerated filer" as defined in Rule 12b-2 under the Exchange Act. Accordingly, our internal controls over financial reporting may not currently meet all of the standards contemplated by Section 404 that we will eventually be required to meet.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internal control over financial reporting may not prevent or detect misstatements because of its inherent limitations, including the possibility of human error, the circumvention or overriding of controls, or fraud. Even effective internal controls can provide only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reasonable assurance with respect to the preparation and fair presentation of consolidated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Risks Related to Our Investments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Our investments are very risky and highly speculative.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invest primarily in senior secured term loans and other senior debt obligations and may on occasion invest in second lien loans issued by high growth-potential companies. We also have and continue to expect to acquire warrants and other equity securities from portfolio companies in connection with our investments in loans to these companies. We invest primarily in secured loans made to companies whose debt has generally not been rated by any rating agency, although we would expect such debt, if rated, to fall below investment grade. Securities rated below investment grade are often referred to as "high yield" securities and "junk bonds," and are considered "high risk" and speculative in nature compared to debt instruments that are rated above investment grade.</w:t>
      </w:r>
    </w:p>
    <w:p>
      <w:pPr>
        <w:pStyle w:val="TextBody"/>
        <w:bidi w:val="0"/>
        <w:spacing w:before="0" w:after="240"/>
        <w:jc w:val="both"/>
        <w:rPr>
          <w:rFonts w:ascii="Times New Roman" w:hAnsi="Times New Roman"/>
          <w:sz w:val="20"/>
        </w:rPr>
      </w:pPr>
      <w:r>
        <w:rPr>
          <w:rFonts w:ascii="Times New Roman" w:hAnsi="Times New Roman"/>
          <w:i/>
          <w:color w:val="000000"/>
          <w:sz w:val="20"/>
          <w:u w:val="single"/>
        </w:rPr>
        <w:t>Senior Secured Loans.</w:t>
      </w:r>
      <w:r>
        <w:rPr>
          <w:rFonts w:ascii="Times New Roman" w:hAnsi="Times New Roman"/>
          <w:color w:val="000000"/>
          <w:sz w:val="20"/>
        </w:rPr>
        <w:t xml:space="preserve">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liens on the collateral securing our loans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compelled to enforce our remedies.</w:t>
      </w:r>
    </w:p>
    <w:p>
      <w:pPr>
        <w:pStyle w:val="TextBody"/>
        <w:bidi w:val="0"/>
        <w:spacing w:before="0" w:after="240"/>
        <w:jc w:val="both"/>
        <w:rPr>
          <w:rFonts w:ascii="Times New Roman" w:hAnsi="Times New Roman"/>
          <w:sz w:val="20"/>
        </w:rPr>
      </w:pPr>
      <w:r>
        <w:rPr>
          <w:rFonts w:ascii="Times New Roman" w:hAnsi="Times New Roman"/>
          <w:i/>
          <w:color w:val="000000"/>
          <w:sz w:val="20"/>
          <w:u w:val="single"/>
        </w:rPr>
        <w:t>Second Lien Secured Loans.</w:t>
      </w:r>
      <w:r>
        <w:rPr>
          <w:rFonts w:ascii="Times New Roman" w:hAnsi="Times New Roman"/>
          <w:color w:val="000000"/>
          <w:sz w:val="20"/>
        </w:rPr>
        <w:t xml:space="preserve"> In structuring our loans, we may subordinate our security interest in certain assets of a borrower to another lender, usually a bank. In these situations, all of the risks identified above in Senior Secured Loans would be true and additional risks inherent in holding a junior security position would also be present, including, but not limited to those outlined below in "Second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pStyle w:val="TextBody"/>
        <w:bidi w:val="0"/>
        <w:spacing w:before="0" w:after="240"/>
        <w:jc w:val="both"/>
        <w:rPr>
          <w:rFonts w:ascii="Times New Roman" w:hAnsi="Times New Roman"/>
          <w:sz w:val="20"/>
        </w:rPr>
      </w:pPr>
      <w:r>
        <w:rPr>
          <w:rFonts w:ascii="Times New Roman" w:hAnsi="Times New Roman"/>
          <w:i/>
          <w:color w:val="000000"/>
          <w:sz w:val="20"/>
          <w:u w:val="single"/>
        </w:rPr>
        <w:t>Equity Investments</w:t>
      </w:r>
      <w:r>
        <w:rPr>
          <w:rFonts w:ascii="Times New Roman" w:hAnsi="Times New Roman"/>
          <w:color w:val="000000"/>
          <w:sz w:val="20"/>
          <w:u w:val="single"/>
        </w:rPr>
        <w:t>.</w:t>
      </w:r>
      <w:r>
        <w:rPr>
          <w:rFonts w:ascii="Times New Roman" w:hAnsi="Times New Roman"/>
          <w:color w:val="000000"/>
          <w:sz w:val="20"/>
        </w:rPr>
        <w:t xml:space="preserve"> When we invest in secured loans, we may acquire equity securities as well, including warrants. In addition, we may also, on a limited basis, invest directly in the equity securities of portfolio companies. The equity interests we receive may not appreciate in value and may in fact decline in value. Accordingly, we may not be able to realize gains from our equity interests, and any gains that we do realize on the disposition of any equity interests may not be sufficient to offset any other losses we experience.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investing in small, fast-growing, private companies involves a number of significant risks, including the following: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they may have limited financial resources and may be unable to meet their obligations under their debt securities that we hold. This failure to meet obligations may be accompanied by a deterioration in the value of any collateral and a reduction in the likelihood of us realizing any guarantees we may have obtained in connection with our investment;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they typically have shorter operating histories, narrower product lines and smaller market shares than larger businesses, which tend to render them more vulnerable to competitors’ actions, market conditions, and general economic downturns;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RGC may, in the ordinary course of business, be named as defendants in litigation arising from our investments in the portfolio companies;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they may have difficulty accessing the capital markets to meet future capital needs, which may limit their ability to grow or to repay their outstanding debt upon maturity.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Venture lenders, in general, focus on a limited set of key financial performance metrics, including minimum liquidity, performance to plan, and investor abandonment, in lieu of a full set of financial performance covenants that do not meaningfully assess the risk of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companies at the stage of development of companies in which venture lenders typically invest. As such, many of our loans could be considered covenant-lite by traditional lending standards. We use the term "covenant-lite" loans to refer generally to loans that do not require a borrower to comply with financial maintenance covenants. Generally, covenant-lite loans permit borrowers more opportunity to negatively impact lenders because their covenants are incurrence-based, which means they are only tested and can only be breached following certain actions of the borrower, rather than by a deterioration in the borrower’s financial condition. Accordingly, because we make and have exposure to covenant-lite loans, we may have less protection from borrower actions and may have a greater risk of loss on such investments as compared to investments in or exposure to loans with financial maintenance covenants.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Investing in high growth-potential, private companies involves a high degree of risk, and our financial results may be affected adversely if one or more of our significant portfolio investments defaults on its loans or fails to perform as we expect.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expect that our portfolio will continue to consist primarily of debt investments in privately-owned companies, and to a lesser extent equity investments in privately-owned companies. Investing in these companies involves a number of significant risks. Typically, the debt in which we intend to invest will not be initially rated by any rating agency; however, we believe that if such investments were rated, they would generally be below investment grade. Securities rated below investment grade are often referred to as "high yield" securities and "junk bonds," and are considered "high risk" and speculative in nature compared to debt instruments that are rated investment grade. Compared to larger publicly owned companies, these companies may be in a weaker financial position and may experience wider variations in their operating results, which may make them more vulnerable to economic downturns. Typically, these companies need more capital to compete; however, their access to capital is limited and their cost of capital is often higher than that of their competitors. Our portfolio companies face intense competition from larger companies with greater financial, technical, and marketing resources and their success typically depends on the managerial talents and efforts of an individual or a small group of persons. Therefore, the loss of any of its key employees could affect a portfolio company’s ability to compete effectively and harm its financial condition. Further, some of these companies conduct business in regulated industries that are susceptible to regulatory changes, resulting in increased compliance measures and possibly more susceptibility to regulatory breaches or violations. These factors could impair the cash flow of our portfolio companies and result in other events, such as bankruptcy. These events could limit a portfolio company’s ability to repay its obligations to us, which may have an adverse effect on the return on, or the recovery of, our investment in these businesses. Deterioration in a borrower’s financial condition and prospects may be accompanied by deterioration in the value of the loan’s collateral.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Some of these companies cannot obtain financing from public capital markets or from traditional credit sources, such as commercial banks. Accordingly, the loans we make to these types of companies pose a higher default risk than loans made to companies that have access to traditional credit sources.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An investment strategy focused primarily on privately held companies presents certain challenges, including the lack of available information about these companies and a greater vulnerability to economic downturns.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invest primarily in high growth-potential, privately held companies and these companies may not have third-party credit ratings or audited consolidated financial statements subject to public accounting standards or otherwise. Generally, little public information exists about these companies, and we are required to rely on the ability of RGC’s investment team to obtain adequate financial or other information to evaluate the potential returns from investing in these companies. Furthermore, private companies and their financial information will not generally be subject to the Sarbanes-Oxley Act and other rules that govern public companies. If we are unable to uncover all material information about these companies through our diligence and underwriting process, we may not make a fully informed investment decision. This could adversely affect our investment returns as compared to companies investing primarily in the securities of public companies.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Inflation may adversely affect our and our portfolio companies’ business, results of operations and financial condition.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Some of our portfolio companies may be adversely impacted during times of inflation. If such portfolio companies are unable to pass any increases in their costs along to their customers, it could adversely affect their results and impact their ability to pay interest and principal on our loans. In addition, any projected future decreases in our portfolio companies’ operating results due to inflation could adversely impact the fair value of those investments. Any decreases in the fair value of our investments could result in future unrealized losses and therefore reduce our net assets resulting from operations.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sz w:val="20"/>
        </w:rPr>
      </w:pPr>
      <w:r>
        <w:rPr>
          <w:rFonts w:ascii="Times New Roman" w:hAnsi="Times New Roman"/>
          <w:b/>
          <w:i/>
          <w:color w:val="000000"/>
          <w:sz w:val="20"/>
        </w:rPr>
        <w:t>Our portfolio companies may have limited operating histories and financial resources.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portfolio consists of investments in companies that may have relatively limited operating histories. Generally, limited public information exists about these companies, and we are required to rely on the ability of RGC’s investment team to obtain adequate information to evaluate the potential returns from investing in these companies. If we are unable to uncover all material information about these companies, we may not make a fully informed investment decision, and we may lose money on our investments. These companies may be particularly vulnerable to U.S. economic downturns and may have limited access to capital. These companies also frequently have less diverse product lines and a smaller market presence than larger competitors and may experience substantial variations in operating results. These companies may face intense competition, including from companies with greater financial, technical, operational and marketing resources, and typically depend upon the expertise and experience of a single individual executive or a small management team. Our success depends, in large part, upon the abilities of the key management personnel of our portfolio companies, who are responsible for the day-to-day operations of our portfolio companies. Competition for qualified personnel is intense at any stage of a company’s development, but even more so at the growth stage of the companies we typically invest in. The inability to attract and retain and/or the loss of one or more key managers can hinder or delay a company’s implementation of its business plan and harm its financial condition, which could negatively affect our investment returns.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our existing and future portfolio companies may compete with each other for investment or business opportunities and the success of one could negatively impact the other. Furthermore, some of our portfolio companies do business in regulated industries and could be affected by changes in government regulation. Accordingly, these factors could impair their cash flow or result in other events, such as bankruptcy, which could limit their ability to repay their obligations to us, and may materially and adversely affect the return on, or the recovery of, our investment. As a result, we may lose our entire investment in any of our portfolio companies.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The financial projections of our portfolio companies could prove inaccurate.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generally evaluate the capital structure of portfolio companies on the basis of financial projections prepared by the management of such portfolio companies. These projected operating results are normally based primarily on judgments of the management of the portfolio companies. In all cases, projections are only estimates of future results that are based upon assumptions made at the time that the projections are developed. General economic conditions, which are not predictable with accuracy, along with other macroeconomic factors and specific factors of the portfolio company, may cause actual performance to fall short of the financial projections that were used to establish a given portfolio company’s capital structure. Because of the leverage that is typically employed by our portfolio companies, this could cause a substantial decrease in the value of our investment in the portfolio company. The inaccuracy of financial projections of portfolio companies could thus cause our performance to fall short of our expectations.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portfolio companies may incur debt that ranks equally with, or senior to, our investments in such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invest primarily in senior secured loans made to high growth-potential private companies but, on occasion make second lien loans to portfolio companies. Our portfolio companies may have, or may be permitted to incur, other debt that ranks equally with, or in some cases senior to, the debt in which we invest. By their terms, such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 In the case of second lien loans that we make to portfolio companies, we would not recover any of our principal amount of the loan until the first lien holder is fully repaid, which would likely result in us recovering less or no amounts due on our loan and, in turn, could have a materials adverse effect on our operations and financial condition.</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There may be circumstances in which our debt investments could be subordinated to claims of other creditors or we could be subject to lender liability claims.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Even though we intend to structure most of our debt investments as secured loans, if one of our portfolio companies were to go bankrupt, depending on the facts and circumstances, and based upon principles of equitable subordination as defined by existing case law, a bankruptcy court could subordinate all or a portion of our claim to that of other creditors and transfer any lien securing such subordinated claim to the bankruptcy estate. The principles of equitable subordination defined by case law have generally indicated that a claim may be subordinated only if its holder is guilty of misconduct or where the senior loan is re-characterized as an equity investment and the senior lender has actually provided significant managerial assistance to the bankrupt debtor. In our case, we may, if requested to do so, provide managerial assistance to our portfolio companies.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 or actions to compel and collect payments from the borrower outside the ordinary course of business.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Certain loans that we make will be secured by a second priority security interest in the same collateral pledged by a portfolio company to secure senior debt owed by the portfolio company to commercial banks or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may require assurances that it will control the disposition of any collateral in the event of bankruptcy or other default. In many such cases, the senior lender will require us to enter into an intercreditor agreement prior to permitting the portfolio company to borrow from us. Typically the intercreditor agreements we will be requested to execute will expressly subordinate our debt instruments to those held by the senior lender and further provide that the senior lender will control: (1) the commencement of foreclosure or other proceedings to liquidate and collect on the collateral; (2) the nature, timing, and conduct of foreclosure or other collection proceedings; (3) the amendment of any collateral document; (4) the release of the security interests in respect of any collateral; and (5) the waiver of defaults under any security agreement. Because of the control we may cede to senior lenders under intercreditor agreements we may enter, we may be unable to realize the proceeds of any collateral securing some of our loans.</w:t>
      </w:r>
    </w:p>
    <w:p>
      <w:pPr>
        <w:pStyle w:val="TextBody"/>
        <w:bidi w:val="0"/>
        <w:spacing w:before="360" w:after="240"/>
        <w:jc w:val="both"/>
        <w:rPr>
          <w:rFonts w:ascii="Times New Roman" w:hAnsi="Times New Roman"/>
          <w:sz w:val="20"/>
        </w:rPr>
      </w:pPr>
      <w:r>
        <w:rPr>
          <w:rFonts w:ascii="Times New Roman" w:hAnsi="Times New Roman"/>
          <w:b/>
          <w:i/>
          <w:color w:val="000000"/>
          <w:sz w:val="20"/>
        </w:rPr>
        <w:t>We may be subject to risks associated with our investments in covenant-lite loans.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Venture lenders, in general, focus on a limited set of key financial performance metrics, including minimum liquidity, performance to plan, and investor abandonment, in lieu of a full set of financial performance covenants that do not meaningfully assess the risk of companies at the stage of development of companies in which venture lenders typically invest. As such, many of our loans could be considered covenant-lite by traditional lending standards. We have made and may in the future make or obtain significant exposure to covenant-lite loans, which generally are loans that do not require a borrower to comply with financial maintenance covenants, and may not include terms that allow the lender to monitor the financial performance of the borrower, including financial ratios, and declare a default if certain financial criteria are breached. While these loans may still contain other collateral protections, a covenant-lite loan may carry more risk than a covenant-heavy loan made by the same borrower as it does not require the borrower to provide affirmation that certain specific financial tests have been satisfied on a routine basis as is generally required under a covenant-heavy loan agreement. Generally, covenant-lite loans permit borrowers more opportunity to negatively impact lenders because their covenants, if any, tend to be incurrence-based, which means they are only tested and can only be breached following certain actions of the borrower, rather than by a deterioration in the borrower’s financial condition. Our investment in or exposure to a covenant-lite loan may potentially hinder our ability to reprice credit risk associated with the issuer and reduce our ability to restructure a problematic loan and mitigate potential loss. As a result, our exposure to losses may be increased, which could result in an adverse impact on our revenues, net income and net asset value.</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The lack of liquidity in our investments may adversely affect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typically invest in companies whose securities are not publicly traded, and whose securities will be subject to legal and other restrictions on resale or will otherwise be less liquid than publicly traded securities. There is typically no established trading market for the securities in which we invest.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As a result, we do not expect to achieve liquidity in our investments in the near-term and, in particular, with respect to the equity securities we acquire in our portfolio companies. Our investments are typically subject to contractual or legal restrictions on resale or are otherwise illiquid because there is no established trading market for such investments. The illiquidity of our investments may make it difficult for us to dispose of them at a favorable price or at all, and we may suffer losses as a result.</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failure to make follow-on investments in our portfolio companies could impair the value of our portfolio.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a subsequent financing; or (3) attempt to preserve or enhance the value of our investment. However, we may elect not to make follow-on investments or lack sufficient funds to make those investments. We will have the discretion to make any follow-on investments, subject to the availability of capital resources.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do not want to increase our concentration of risk, we prefer other opportunities, we are subject to BDC requirements that would prevent such follow-on investments, or the follow-on investment would affect our qualification as a RIC.</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portfolio may lack diversification among portfolio companies, which subjects us to a risk of significant loss if one or more of these companies default on their repayment obligations under any of their debt instruments.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portfolio may hold a limited number of portfolio companies. Beyond the asset diversification requirements associated with our qualification as a RIC, we do not have fixed guidelines for diversification, and our investments may be concentrated in relatively few companies. As our portfolio is less diversified than the portfolios of some larger funds, we are more susceptible to failure if a single loan fails. As a result, if a significant loan fails to perform as expected, our business, financial condition, results of operation and cash flows could be more negatively affected and the magnitude of the loss could be more significant than if we had made smaller investments in more companies. Similarly, the aggregate returns we realize may be significantly adversely affected if a small number of investments perform poorly or if we need to write down the value of any one investment.</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portfolio may be concentrated in a limited number of industries, which will subject us to a risk of significant loss if there is a downturn in a particular industry in which a number of our investments are concentrated.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portfolio is concentrated in a limited number of industries. We invest primarily in companies focused in technology, life sciences, healthcare information and services, business services, financial services, select consumer services and products and other high growth industries. A downturn in any particular industry in which we are invested could significantly impact the aggregate returns we realize. As our portfolio may be less diversified than the portfolios of other investment vehicles, we may be more susceptible to losses if a single loan is not repaid. Similarly, the aggregate returns we realize may be significantly adversely affected if a small number of investments perform poorly or if we need to write down the value of any one investment.</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portfolio may lack diversification among our Sponsored Growth Lending and Non-Sponsored Growth Lending strategies and among sponsors within the Sponsored Growth Lending strategy.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objective is to build a balanced portfolio with diversification among sponsored and non-sponsored transactions, diversification among sponsors within the Sponsored Growth Lending strategy, and diversification among industry, geography, and stage of development generally, which we believe will contribute to a favorable risk adjusted return for the portfolio viewed as a whole. If we are unable to achieve diversification or retain it, we may not achieve favorable risk adjusted returns for the portfolio viewed as a whole.</w:t>
      </w:r>
    </w:p>
    <w:p>
      <w:pPr>
        <w:pStyle w:val="TextBody"/>
        <w:bidi w:val="0"/>
        <w:spacing w:before="300" w:after="240"/>
        <w:jc w:val="both"/>
        <w:rPr>
          <w:rFonts w:ascii="Times New Roman" w:hAnsi="Times New Roman"/>
          <w:b/>
          <w:i/>
          <w:color w:val="000000"/>
          <w:sz w:val="20"/>
        </w:rPr>
      </w:pPr>
      <w:r>
        <w:rPr>
          <w:rFonts w:ascii="Times New Roman" w:hAnsi="Times New Roman"/>
          <w:b/>
          <w:i/>
          <w:color w:val="000000"/>
          <w:sz w:val="20"/>
        </w:rPr>
        <w:t>We invest in sectors including technology, life sciences, healthcare information and services, business services, financial services, select consumer services and products and other high-growth industries, which are subject to specific risks related to each.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intend to continue to invest the largest portions of our portfolio in technology, life sciences, healthcare information and services, business services, financial services, select consumer services and products and other high-growth industries. Our portfolio companies may address needs in technology-related industries and markets. We expect that our technology portfolio will consist of companies that commercialize and integrate products targeted at technology-related markets. There are risks in investing in companies that target technology-related markets, including rapid and sometimes dramatic price erosion of products, the reliance on capital and debt markets to finance large capital outlays, including fabrication facilities, the reliance on partners outside of the United States, particularly in Asia, and inherent cyclicality of the technology market in general. As a result of multiple factors, access to capital may be difficult or impossible for companies in our portfolio that are pursuing these markets.</w:t>
      </w:r>
    </w:p>
    <w:p>
      <w:pPr>
        <w:pStyle w:val="TextBody"/>
        <w:bidi w:val="0"/>
        <w:spacing w:before="300" w:after="240"/>
        <w:jc w:val="both"/>
        <w:rPr>
          <w:rFonts w:ascii="Times New Roman" w:hAnsi="Times New Roman"/>
          <w:b/>
          <w:i/>
          <w:color w:val="000000"/>
          <w:sz w:val="20"/>
        </w:rPr>
      </w:pPr>
      <w:r>
        <w:rPr>
          <w:rFonts w:ascii="Times New Roman" w:hAnsi="Times New Roman"/>
          <w:b/>
          <w:i/>
          <w:color w:val="000000"/>
          <w:sz w:val="20"/>
        </w:rPr>
        <w:t>We may be subject to risks associated with our investments in life sciences-related companies.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Our life sciences portfolio consists primarily of companies that commercialize and integrate products in life sciences-related industries, including biotechnology, drug discovery, drug delivery, bioinformatics and medical devices. There are risks in investing in companies that target life sciences-related industries, including, but not limited to, the uncertainty of timing and results of clinical trials to demonstrate the safety and efficacy of products; failure to obtain any required regulatory approval of products; failure to develop manufacturing processes that meet regulatory standards; competition, in particular from companies that develop rival products; and the ability to protect proprietary technology. Adverse developments in any of these areas may adversely affect the value of our life sciences portfolio.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life sciences industry is dominated by large multinational corporations with substantially greater financial and technical resources than generally will be available to our portfolio companies. Such large corporations may be better able to adapt to the challenges presented by continuing rapid and major scientific, regulatory and technological changes as well as related changes in governmental and third-party reimbursement policies.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Within the life sciences industry, the development of products generally is a costly and time-consuming process. Many highly promising products ultimately fail to prove to be safe and effective. There can be no assurance that the research or product development efforts of our portfolio companies or those of their collaborative partners will be successfully completed, that specific products can be manufactured in adequate quantities at an acceptable cost and with appropriate quality, or that such products can be successfully marketed or achieve customer acceptance. There can be no assurance that a product will be relevant and/or be competitive with products from other companies following the costly, time-consuming process of its development.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research, development, manufacturing, and marketing of products developed by some life sciences companies are subject to extensive regulation by numerous government authorities in the United States and other countries. There can be no assurance that products developed by the portfolio companies will ever be approved by such governmental authorities.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Many life sciences portfolio companies will depend heavily upon intellectual property for their competitive position. There can be no assurance that the portfolio companies will be able to obtain patents for key inventions. Moreover, within the life sciences industry, patent challenges are frequent. Even if patents held by the portfolio companies are upheld, any challenges thereto may be costly and distracting to the portfolio companies’ management.</w:t>
      </w:r>
    </w:p>
    <w:p>
      <w:pPr>
        <w:pStyle w:val="TextBody"/>
        <w:bidi w:val="0"/>
        <w:jc w:val="both"/>
        <w:rPr>
          <w:rFonts w:ascii="Times New Roman" w:hAnsi="Times New Roman"/>
          <w:color w:val="000000"/>
          <w:sz w:val="20"/>
        </w:rPr>
      </w:pPr>
      <w:r>
        <w:rPr>
          <w:rFonts w:ascii="Times New Roman" w:hAnsi="Times New Roman"/>
          <w:color w:val="000000"/>
          <w:sz w:val="20"/>
        </w:rPr>
        <w:t>Some of the life sciences portfolio companies will be at least partially dependent for their success upon governmental and third-party reimbursement policies that are under constant review and are subject to change at any time. Any such change could adversely affect the viability of one or more portfolio companies.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00" w:after="240"/>
        <w:jc w:val="both"/>
        <w:rPr>
          <w:rFonts w:ascii="Times New Roman" w:hAnsi="Times New Roman"/>
          <w:b/>
          <w:i/>
          <w:color w:val="000000"/>
          <w:sz w:val="20"/>
        </w:rPr>
      </w:pPr>
      <w:r>
        <w:rPr>
          <w:rFonts w:ascii="Times New Roman" w:hAnsi="Times New Roman"/>
          <w:b/>
          <w:i/>
          <w:color w:val="000000"/>
          <w:sz w:val="20"/>
        </w:rPr>
        <w:t>Technology-related sectors, including those involving data processing and outsourced services, in which we invest are subject to many risks, including volatility, intense competition, decreasing life cycles, product obsolescence, changing consumer preferences and periodic downturns.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Given the experience of RGC’s senior investment professionals within the technology space, a number of the companies in which we intend to invest operate in technology-related sectors. The revenue, income (or losses) and valuations of technology-related companies can and often do fluctuate suddenly and dramatically. In addition, because of rapid technological change, the average selling prices of products and some services provided by technology-related sectors have historically decreased over their productive lives. As a result, the average selling prices of products and services offered by our portfolio companies that operated in technology-related sectors may decrease over time, which could adversely affect their operating results and, correspondingly, the value of any securities that we may hold. This could, in turn, materially adversely affect our business, financial condition and results of operations. Specifically, our investments in electronic equipment may be subject to risks unique to this industry. The products manufactured in the electronic equipment industry are subject to rapid technological change and intense competition. The electronic equipment industry is also subject to fluctuations in demand, which may adversely affect the operating results of our portfolio companies in this industry. </w:t>
      </w:r>
    </w:p>
    <w:p>
      <w:pPr>
        <w:pStyle w:val="TextBody"/>
        <w:bidi w:val="0"/>
        <w:spacing w:before="300" w:after="240"/>
        <w:jc w:val="both"/>
        <w:rPr>
          <w:rFonts w:ascii="Times New Roman" w:hAnsi="Times New Roman"/>
          <w:b/>
          <w:i/>
          <w:color w:val="000000"/>
          <w:sz w:val="20"/>
        </w:rPr>
      </w:pPr>
      <w:r>
        <w:rPr>
          <w:rFonts w:ascii="Times New Roman" w:hAnsi="Times New Roman"/>
          <w:b/>
          <w:i/>
          <w:color w:val="000000"/>
          <w:sz w:val="20"/>
        </w:rPr>
        <w:t>Certain technology-related industries are subject to extensive government regulation, which exposes us to the risk of significant loss if any of these industry sectors experiences a downturn.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portfolio companies in technology-related industries may be subject to extensive regulation by U.S. and foreign federal, state and/or local agencies. Changes in existing laws, rules or regulations, or judicial or administrative interpretations thereof, or new laws, rules or regulations could have an adverse impact on the business and industries of our portfolio companies. In addition, changes in government priorities or limitations on government resources could also adversely impact our portfolio companies. We are unable to predict whether any such changes in laws, rules or regulations will occur and, if they do occur, the impact of these changes on our portfolio companies and our investment returns. Furthermore, if any of our portfolio companies were to fail to comply with applicable regulations, they could be subject to significant penalties and claims that could materially and adversely affect their operations. Our portfolio companies may be subject to the expense, delay and uncertainty of the regulatory approval process for their products and, even if approved, these products may not be accepted in the marketplace.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December 31, 2023, our investments in healthcare technology represented 17.8% of our portfolio at fair value. Our investments in healthcare technology are subject to substantial risks, including, but not limited to, the risk that the laws and regulations governing the business of health care companies, and interpretations thereof, may change frequently. Current or future laws and regulations could force our portfolio companies engaged in health care, to change their policies related to how they operate, restrict revenue, change costs, change reserve levels and change business practices.</w:t>
      </w:r>
    </w:p>
    <w:p>
      <w:pPr>
        <w:pStyle w:val="TextBody"/>
        <w:bidi w:val="0"/>
        <w:spacing w:before="300" w:after="240"/>
        <w:jc w:val="both"/>
        <w:rPr>
          <w:rFonts w:ascii="Times New Roman" w:hAnsi="Times New Roman"/>
          <w:b/>
          <w:i/>
          <w:color w:val="000000"/>
          <w:sz w:val="20"/>
        </w:rPr>
      </w:pPr>
      <w:r>
        <w:rPr>
          <w:rFonts w:ascii="Times New Roman" w:hAnsi="Times New Roman"/>
          <w:b/>
          <w:i/>
          <w:color w:val="000000"/>
          <w:sz w:val="20"/>
        </w:rPr>
        <w:t>Any of our portfolio companies operating in the healthcare information and services industry are subject to extensive government regulation and certain other risks particular to that industry.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portfolio companies may be subject to extensive regulation by U.S. and foreign federal, stated and/or local agencies. Our healthcare information and services portfolio companies provide technology to companies that are subject to extensive regulation, including Medicare and Medicaid payment rules and regulation, the False Claims Act and federal and state laws regarding the collection, use and disclosure of patient health information and the storage handling and administration of pharmaceuticals. Changes in existing laws, rules or regulations, or judicial or administrative interpretations, or new laws, rules or regulations could have an adverse impact on the business and industries of our portfolio companies. In addition, changes in government priorities or limitations on government resources could also adversely impact our portfolio companies. If any of our portfolio companies or the companies to which they provide such technology fail to comply with applicable regulations, they could be subject to significant penalties and claims that could materially and adversely affect their operations. Portfolio companies in the healthcare information and services industry are also subject to the risk that changes in applicable regulations will render their technology obsolete or less desirable in the marketplace. We are unable to predict whether any such changes in laws, rules or regulations will occur and, if they do occur, the impact of these changes on our portfolio companies and our investment returns. </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Portfolio companies in the healthcare information and services industry may also have a limited number of suppliers of necessary components or a limited number of manufacturers for their products, and therefore face a risk of disruption to their manufacturing process if they are unable to find alternative suppliers when needed. Any of these factors could materially and adversely affect the operations of a portfolio company in this industry and, in turn, impair our ability to timely collect principal and interest payments owed to us.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The internet retail industry is subject to many risks and is highly competitive.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number of the companies in which we invest operate in the internet retail industry. The internet retail industry is highly competitive. This competition is increasingly intense as a number of internet-based retailers have started and failed in recent years. Competitors include larger companies than the portfolio companies in which we invest, which, in particular, may have access to greater resources, and may be more successful in the recruitment and retention of qualified employees which may give them a competitive advantage. In addition, actual or potential competitors may be strengthened through the acquisition of additional assets and interests. If our portfolio companies are unable to compete effectively or adequately respond to competitive pressures, this inability may materially adversely affect our results of operation and financial condition.</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We may be subject to risks associated with our investments in the software industry.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Portfolio companies in the software industry are subject to a number of risks. The revenue, income (or losses) and valuations of software and other technology-related companies can and often do fluctuate suddenly and dramatically. In addition, because of rapid technological change, the average selling prices of software products have historically decreased over their productive lives. As a result, the average selling prices of software offered by our portfolio companies may decrease over time, which could adversely affect their operating results and, correspondingly, the value of any securities that we may hold. Additionally, companies operating in the software industry are subject to vigorous competition, changing technology, changing client and end-consumer needs, evolving industry standards and frequent introductions of new products and services. Our portfolio companies in the software industry compete with several companies that operate in the global, regional and local software industries, and certain of those current or potential competitors may be engaged in a greater range of businesses, have a larger installed base of customers for their existing products and services or have greater financial, technical, sales or other resources than our portfolio companies do. Our portfolio companies may lose market share if their competitors introduce or acquire new products that compete with their software and related services or add new features to their products. Any of this could, in turn, materially adversely affect our business, financial condition and results of operations.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portfolio companies operating in the human resources and employment services industry operate in a complex regulatory environment, and failure to comply with applicable laws and regulations could adversely affect the business of our portfolio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Certain of our portfolio companies that operate in the human resource industry are subject to a broad range of complex and evolving laws and regulations, including those applicable to payroll practices, benefits administration, employment practices, workers’ compensation coverage, and privacy. Because our portfolio companies have clients with employees in many states throughout the United States, our portfolio companies must perform services in compliance with the legal and regulatory requirements of multiple jurisdictions. Some of these laws and regulations may be difficult to ascertain or interpret and may change from time to time. Violation of such laws and regulations could subject our portfolio companies to fines and penalties, damage their reputation, constitute a breach of client agreements, impair our portfolio companies’ ability to obtain and renew required licenses, and decrease our portfolio companies’ profitability or competitiveness. If any of these effects were to occur, our operating results and financial condition could be adversely affected.</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Because we generally do not hold controlling equity interests in our portfolio companies, we may not be in a position to exercise control over our portfolio companies or to prevent decisions by management of our portfolio companies that could decrease the value of our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Although in some instances, we may control our portfolio companies or provide our portfolio companies with significant managerial assistance, we typically do not hold controlling equity positions in our portfolio companies. Thus, we generally do not, and do not expect to, control the decision making in many of our portfolio companies. As a result, we are subject to the risk that a portfolio company in which we invest will make business decisions with which we disagree and the management of such company, as representatives of the holders of their common equity, will take risks or otherwise act in ways that do not serve our interests as debt investors. Due to the lack of liquidity of the debt and equity investments that we typically hold in our portfolio companies, we may not be able to dispose of our interests as readily as we would like or at an appropriate valuation in the event we disagree with the actions of a portfolio company. As a result, a portfolio company may make decisions that would decrease the value of our investments.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Defaults by our portfolio companies will harm our operating results.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a portfolio company’s ability to meet its obligations under the debt or equity securities that we hold. We may incur expenses to the extent necessary to seek recovery upon default or to negotiate new terms — which may include the waiver of certain financial covenants — with a defaulting portfolio company. These expenses could materially and adversely affect our operating results and cash flow.</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If our portfolio companies are unable to commercialize their technologies, products, business concepts or services, the returns on our investments could be adversely affected.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value of our investments in our portfolio companies may decline if they are not able to commercialize their technology, products, business concepts or services. Additionally, although some of our portfolio companies may already have a commercially successful product or product line at the time of our investment, information technology, e-commerce and life science products and services often have a more limited market or life span than products in other industries. Thus, the ultimate success of these companies often depends on their ability to continually innovate in increasingly competitive markets. If they are unable to do so, our investment returns could be adversely affected and their ability to service their debt obligations to us over the term of the loan could be impaired. Our portfolio companies may be unable to successfully acquire or develop any new products, and the intellectual property they currently hold may not remain viable. Even if our portfolio companies are able to develop commercially viable products, the market for new products and services is highly competitive and rapidly changing. Neither our portfolio companies nor we will have any control over the pace of technology development. Commercial success is difficult to predict, and the marketing efforts of our portfolio companies may not be successful.</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and may be available in a downside scenario to repay our loans. Our portfolio companies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 party’s patent or other proprietary rights, it could be required to pay damages to the third party, alter its products or processes, obtain a license from the third 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Any unrealized losses we experience on our loan portfolio may be an indication of future realized losses, which could reduce our income available for distribution.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a BDC, we are required to carry our investments at market value or, if no market value is ascertainable, at the fair value as determined in good faith by our Board of Directors. Decreases in the market values or fair values of our investments will be recorded as unrealized depreciation. Any unrealized losses in our loan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Prepayments of our debt investments by our portfolio companies could adversely impact our results of operations and reduce our return on equity.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subject to the risk that the investments we make in our portfolio companies may be repaid prior to maturity. When this occurs, we will generally reinvest these proceeds in temporary investments, pending future investment in new portfolio companies. These temporary investments will typically have substantially lower yields than the yields of the loans being prepaid and we could experience significant delays in reinvesting these amounts. Any future investment in a new portfolio company may also be at lower yields than the debt that was previously prepaid by a portfolio company. As a result, our results of operations could be materially adversely affected if any of our portfolio companies elect to prepay amounts owed to us. Additionally, prepayments of loans made to portfolio companies could negatively impact our return on equity.</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investments in leveraged portfolio companies may be risky, and you could lose all or part of your investment.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Some of our portfolio companies may be highly leveraged, which may have adverse consequences to these companies and to us as an investor. These companies may be subject to restrictive financial and operating covenants and the leverage may impair these companies’ ability to finance their future operations and capital needs. As a result, these companies’ flexibility to respond to changing business and economic conditions and to take advantage of business opportunities may be limited. Further, a leveraged company’s income and net assets will tend to increase or decrease at a greater rate than if borrowed money were not used. Leveraged companies may enter into bankruptcy proceedings at higher rates than companies that are not leveraged.</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We may not realize gains from our equity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restraining our ability to transfer or sell such securities and limited voting rights. In addition, we may from time to time make non-control, equity investments in portfolio companies. Our goal is ultimately to realize gains upon our disposition of such equity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We also may be unable to realize any value if a portfolio company does not have a liquidity event, such as a sale of the business, recapitalization or public offering, which would allow us to sell the underlying equity interests. We will sometimes seek puts or similar rights to give us the right to sell our equity securities back to the portfolio company issuer. We may be unable to exercise these put rights for the consideration provided in our investment documents if the issuer is in financial distress.</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We may expose ourselves to risks if we engage in hedging transactions.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we engage in hedging transactions, we may expose ourselves to risks associated with such transactions. We may utilize instruments such as forward contracts, credit default swaps,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investments in portfolio companies may expose us to environmental risks.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invest in portfolio companies that are subject to changing and increasingly stringent environmental and health and safety laws, regulations and permit requirements and environmental costs that could place increasing financial burdens on such portfolio entities. Required expenditures for environmental compliance may adversely impact investment returns on portfolio companies. The imposition of new environmental and other laws, regulations and initiatives could adversely affect the business operations and financial stability of such portfolio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can be no guarantee that all costs and risks regarding compliance with environmental laws and regulations can be identified. New and more stringent environmental and health and safety laws, regulations and permit requirements or stricter interpretations of current laws or regulations could impose substantial additional costs on our portfolio companies. Compliance with such current or future environmental requirements does not ensure that the operations of the portfolio companies will not cause injury to the environment or to people under all circumstances or that the portfolio companies will not be required to incur additional unforeseen environmental expenditures. Moreover, failure to comply with any such requirements could have a material adverse effect on a portfolio company, and we can offer no assurance that any such portfolio companies will at all times comply with all applicable environmental laws, regulations and permit requirements.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Conflicts of Interest</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strategic relationship with Oaktree may create conflicts of interest.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December 31, 2023, OCM Holders owned 40.7% of our outstanding common stock. Pursuant to an irrevocable proxy, the shares of our common stock held by OCM Growth must be voted in the same manner that our other stockholders vote their shares. OCM Growth has a right to nominate a member of our Board of Directors for election for so long as OCM Growth holds shares of our common stock in an amount equal to, in the aggregate, at least one-third (33.33%) of OCM Growth’s initial $125.0 million capital commitment to us, which percentage shall be determined based on the dollar value of the shares of common stock owned by OCM Growth. OCM Growth holds the right to appoint a nominee to the Board of Directors, subject to the conditions previously described, regardless of the Company's size (e.g., assets under management or market capitalization) or the beneficial ownership interests of other stockholders. Further, to the extent OCM Growth’s share ownership falls below one-third of its initial $125.0 million capital commitment under any circumstances, OCM Growth will no longer have the right to appoint a director nominee and will use reasonable efforts to cause such nominee to resign immediately (subject to his or her existing fiduciary duties). Gregory M. Share serves on our Board of Directors as OCM Growth’s director nominee and is considered an interested director.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addition, OCM Growth owns a minority interest in RGC and has the right to appoint a member of RGC’s board of managers as well as a member of RGC’s Investment Committee. Mr. Share serves on RGC’s board of managers and investment committee on behalf of OCM Growth.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Mr. Share is Managing Director of Oaktree's Global Opportunities Group in Los Angeles and we expect that he will continue to engage in investment advisory activities for Oaktree, which could result in a conflict of interest and may distract him from his responsibilities to us and RGC. As a result of the relationship with Oaktree and OCM Growth, we are presumed to be an affiliate of Oaktree and OCM Growth under the 1940 Act. As a result, we are not able to invest in the same portfolio companies in which any funds managed by Oaktree or OCM Growth invest without seeking exemptive relief from the SEC.</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There are significant potential conflicts of interest which could impact our investment returns.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executive officers and directors, as well as the current and future members of RGC,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course of our investing activities, we pay management and incentive fees to RGC and reimburse our Administrator for certain expenses it incurs on our behalf. As a result, investors in our common stock invest on a "gross" basis and receive distributions on a "net" basis after expenses, resulting in a lower rate of return than an investor might achieve through direct investments. Accordingly, there may be times when the management team of RGC will have interests that differ from those of our stockholders, giving rise to a conflict.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entered into a license agreement with RGC (the "License Agreement") pursuant to which RGC has granted us a personal, non-exclusive, royalty-free right and license to use the name "Runway Growth Finance". Under the License Agreement, we have the right to use the "Runway Growth Finance" name for so long as RGC or one of its affiliates remains our investment adviser. Other than with respect to this limited license, we have no legal right to the "Runway Growth Finance" name.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we pay our Administrator, a wholly-owned subsidiary of RGC, our allocable portion of overhead and other expenses incurred by our Administrator in performing its obligations under the Administration Agreement, including rent, the fees and expenses associated with performing accounting and compliance functions. These arrangements may create conflicts of interest that our Board of Directors must monitor.</w:t>
      </w:r>
    </w:p>
    <w:p>
      <w:pPr>
        <w:pStyle w:val="TextBody"/>
        <w:bidi w:val="0"/>
        <w:spacing w:before="360" w:after="240"/>
        <w:jc w:val="both"/>
        <w:rPr>
          <w:rFonts w:ascii="Times New Roman" w:hAnsi="Times New Roman"/>
          <w:sz w:val="20"/>
        </w:rPr>
      </w:pPr>
      <w:r>
        <w:rPr>
          <w:rFonts w:ascii="Times New Roman" w:hAnsi="Times New Roman"/>
          <w:b/>
          <w:i/>
          <w:color w:val="000000"/>
          <w:sz w:val="20"/>
        </w:rPr>
        <w:t>RGC’s liability is limited under the Advisory Agreement and we have agreed to indemnify RGC against certain liabilities, which may lead RGC to act in a riskier manner on our behalf than it would when acting for its own account.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Advisory Agreement, RGC has not assumed any responsibility to us other than to render the services called for under that agreement. It is not responsible for any action of our Board of Directors in following or declining to follow RGC’s advice or recommendations. Under the Advisory Agreement, RGC and its professionals and any person controlling or controlled by RGC are not liable to us, any subsidiary of ours, our directors, our stockholders or any subsidiary’s stockholders or partners for acts or omissions performed in accordance with and pursuant to the Advisory Agreement, except those resulting from acts constituting gross negligence, willful misfeasance, bad faith or reckless disregard of the duties that RGC owes to us under the Advisory Agreement. In addition, as part of the Advisory Agreement, we will indemnify RGC and its professionals from and against any claims or liabilities, including reasonable legal fees and other expenses reasonably incurred, arising out of or in connection with our business and operations or any action taken or omitted on our behalf pursuant to authority granted by the Advisory Agreement, except where attributable to gross negligence, willful misfeasance, bad faith or reckless disregard of such person’s duties under the Advisory Agreement.</w:t>
      </w:r>
    </w:p>
    <w:p>
      <w:pPr>
        <w:pStyle w:val="TextBody"/>
        <w:bidi w:val="0"/>
        <w:spacing w:before="360" w:after="240"/>
        <w:jc w:val="both"/>
        <w:rPr>
          <w:rFonts w:ascii="Times New Roman" w:hAnsi="Times New Roman"/>
          <w:sz w:val="20"/>
        </w:rPr>
      </w:pPr>
      <w:r>
        <w:rPr>
          <w:rFonts w:ascii="Times New Roman" w:hAnsi="Times New Roman"/>
          <w:b/>
          <w:i/>
          <w:color w:val="000000"/>
          <w:sz w:val="20"/>
        </w:rPr>
        <w:t>The valuation process for certain of our investments may create a conflict of interest.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majority of our investments, no market-based price quotation is available. As a result, our Board of Directors determines the fair value of these securities in good faith as described in "— Our portfolio securities may not have a readily available market price and, in such a case, we will value these securities at fair value as determined in good faith under procedures adopted by our Board of Directors, which valuation is inherently subjective and may not reflect what we may actually realize for the sale of the investment." In connection with that determination, RGC’s investment team provides our Board of Directors with valuation recommendations based upon the most recent and available information, which generally includes industry outlook, capitalization, consolidated financial statements and projected financial results of each portfolio company. Our Board of Directors utilizes the services of certain independent third-party valuation firms to aid it in determining the fair value of these investments. The Board of Directors discusses valuations and determines the fair value in good faith based on the input of RGC, the Audit Committee of the Board of Directors and the applicable third-party valuation firm. The participation of RGC’s investment team in our valuation process, and the pecuniary interest in RGC by certain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members of our Board of Directors, could result in a conflict of interest as RGC’s base management fee is based, in part, on the value of our average adjusted gross assets, and RGC’s incentive fee is based, in part, on realized gains and realized and unrealized losses. </w:t>
      </w:r>
    </w:p>
    <w:p>
      <w:pPr>
        <w:pStyle w:val="TextBody"/>
        <w:bidi w:val="0"/>
        <w:spacing w:before="360" w:after="240"/>
        <w:jc w:val="both"/>
        <w:rPr>
          <w:rFonts w:ascii="Times New Roman" w:hAnsi="Times New Roman"/>
          <w:sz w:val="20"/>
        </w:rPr>
      </w:pPr>
      <w:r>
        <w:rPr>
          <w:rFonts w:ascii="Times New Roman" w:hAnsi="Times New Roman"/>
          <w:b/>
          <w:i/>
          <w:color w:val="000000"/>
          <w:sz w:val="20"/>
        </w:rPr>
        <w:t>We may pay our Adviser an incentive fee on certain investments that include a deferred interest feature.</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We underwrite our loans to generally include an end-of-term payment, a PIK interest payment and/or original issue discount. Our end-of-term payments are contractual and fixed interest payments due at the maturity date of the loan, including upon prepayment, and are generally a fixed percentage of the original principal balance of the loan. The portion of our end-of-term payments, which equal the difference between our yield-to-maturity and the stated interest rate on the loan, are recognized as non-cash income or original issue discount until they are paid. In addition, in connection with our equity-related investments, we may be required to accrue original issue discount, which decreases the balance on our secured loans by an amount equal to the value of the warrant investment we receive in connection with the applicable secured loan over its lifetime. Under these types of investments, we accrue interest during the life of the loan on the end-of-term payment, PIK interest payment and/or original issue discount but do not receive the cash income from the investment until the end of the term. However, our pre-incentive fee net investment income, which is used to calculate the income portion of our incentive fee, includes accrued interest. Thus, a portion of this incentive fee is based on income that we have not yet received in cash, such as an end-of-term payment, a PIK interest payment and/or original issue discount.</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Shares of our common stock have traded at a discount from net asset value and may do so in the future.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common stock has at times traded below our net asset value per share since our IPO on October 25, 2021. Our shares may also trade at a discount to net asset value in the future. The possibility that our shares of common stock may trade at a discount from net asset value over the long term is separate and distinct from the risk that our net asset value will decrease. We cannot predict whether shares of our common stock will trade above, at or below our net asset value. If our common stock trades below our net asset value, we will generally not be able to issue additional shares of our common stock without first obtaining the approval for such issuance from our stockholders and our Independent Directors. As a result, we may be forced to curtail or cease our new lending and investment activities, our net asset value could decrease, and our level of distributions could be impacted.</w:t>
      </w:r>
    </w:p>
    <w:p>
      <w:pPr>
        <w:pStyle w:val="TextBody"/>
        <w:bidi w:val="0"/>
        <w:spacing w:before="360" w:after="240"/>
        <w:jc w:val="both"/>
        <w:rPr>
          <w:rFonts w:ascii="Times New Roman" w:hAnsi="Times New Roman"/>
          <w:sz w:val="20"/>
        </w:rPr>
      </w:pPr>
      <w:r>
        <w:rPr>
          <w:rFonts w:ascii="Times New Roman" w:hAnsi="Times New Roman"/>
          <w:b/>
          <w:i/>
          <w:color w:val="000000"/>
          <w:sz w:val="20"/>
        </w:rPr>
        <w:t>A stockholder’s interest in us will be diluted if we issue additional shares, which could reduce the overall value of an investment in us.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stockholders do not have preemptive rights to purchase any shares we issue in the future. Our charter authorizes us to issue up to 100.0 million shares of common stock. Pursuant to our charter, a majority of our entire Board of Directors may amend our charter to increase the number of shares of common stock we may issue without stockholder approval. Our Board of Directors may elect to sell additional shares in the future or issue equity interests in private offerings. To the extent we issue additional equity interests at or below net asset value, your percentage ownership interest in us may be diluted. In addition, depending upon the terms and pricing of any additional offerings and the value of our investments, you may also experience dilution in the book value and fair value of your shares.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1940 Act, we generally are prohibited from issuing or selling our common stock at a price below net asset value per share, which may be a disadvantage as compared with certain public companies. We may, however, sell our common stock, or warrants, options, or rights to acquire our common stock, at a price below the current net asset value of our common stock if our Board of Directors and independent directors determine that such sale is in our best interests and the best interests of our stockholders, and our stockholders approve such sale. In any such case, the price at which our securities are to be issued and sold may not be less than a price that, in the determination of our Board of Directors, closely approximates the fair value of such securities (less any distributing commission or discount). If we raise additional funds by issuing common stock or senior securities convertible into, or exchangeable for, our common stock, then the percentage ownership of our stockholders at that time will decrease and you will experience dilution.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Sales of substantial amounts of our common stock in the public market may have an adverse effect on the market price of our 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shares of our common stock that were outstanding prior to the completion of the IPO are "restricted securities" under the meaning of Rule 144 promulgated under the Securities Act and may only be sold if such sale is registered under the Securities Act or exempt from registration, including the exemption under Rule 144.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December 31, 2023, OCM Holders owned 40.7% of our total outstanding shares. Subject to applicable securities laws, including Rule 144, sales of substantial amounts of our common stock, or the perception that such sales could occur, could adversely affect the prevailing market prices for our common stock. If these sales occur,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pStyle w:val="TextBody"/>
        <w:bidi w:val="0"/>
        <w:spacing w:before="360" w:after="240"/>
        <w:jc w:val="both"/>
        <w:rPr>
          <w:rFonts w:ascii="Times New Roman" w:hAnsi="Times New Roman"/>
          <w:sz w:val="20"/>
        </w:rPr>
      </w:pPr>
      <w:r>
        <w:rPr>
          <w:rFonts w:ascii="Times New Roman" w:hAnsi="Times New Roman"/>
          <w:b/>
          <w:i/>
          <w:color w:val="000000"/>
          <w:sz w:val="20"/>
        </w:rPr>
        <w:t>Investing in our common stock involves a high degree of risk.</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investments we make in accordance with our investment objective may result in a higher amount of risk than alternative investment options, including volatility or loss of principal. Our investments in portfolio companies may be highly speculative and aggressive and, therefore, an investment in our common stock may not be suitable for someone with lower risk tolerance.</w:t>
      </w:r>
    </w:p>
    <w:p>
      <w:pPr>
        <w:pStyle w:val="TextBody"/>
        <w:bidi w:val="0"/>
        <w:spacing w:before="360" w:after="240"/>
        <w:jc w:val="both"/>
        <w:rPr>
          <w:rFonts w:ascii="Times New Roman" w:hAnsi="Times New Roman"/>
          <w:sz w:val="20"/>
        </w:rPr>
      </w:pPr>
      <w:r>
        <w:rPr>
          <w:rFonts w:ascii="Times New Roman" w:hAnsi="Times New Roman"/>
          <w:b/>
          <w:i/>
          <w:color w:val="000000"/>
          <w:sz w:val="20"/>
        </w:rPr>
        <w:t>The market value of our common stock may fluctuate significantly.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market value and liquidity, if any, of the market for shares of our common stock may be significantly affected by numerous factors, some of which are beyond our control and may not be directly related to our operating performance. These factors include: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the value of our portfolio of investments and derivative instruments as a result of changes in market factors, such as interest rate shifts, and also portfolio specific performance, such as portfolio company defaults, among other reasons;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changes in regulatory policies or tax guidelines, particularly with respect to RICs or BDCs;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loss of RIC or BDC status;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distributions that exceed our net investment income and net income as reported according to U.S. GAAP;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changes in earnings or variations in operating results;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changes in accounting guidelines governing valuation of our investments;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any shortfall in revenue or net income or any increase in losses from levels expected by investors;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departure of our Adviser or certain of its key personnel;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general economic trends and other external factors; and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loss of a major funding source.</w:t>
      </w:r>
    </w:p>
    <w:p>
      <w:pPr>
        <w:pStyle w:val="TextBody"/>
        <w:bidi w:val="0"/>
        <w:spacing w:before="360" w:after="240"/>
        <w:jc w:val="both"/>
        <w:rPr>
          <w:rFonts w:ascii="Times New Roman" w:hAnsi="Times New Roman"/>
          <w:sz w:val="20"/>
        </w:rPr>
      </w:pPr>
      <w:r>
        <w:rPr>
          <w:rFonts w:ascii="Times New Roman" w:hAnsi="Times New Roman"/>
          <w:b/>
          <w:i/>
          <w:color w:val="000000"/>
          <w:sz w:val="20"/>
        </w:rPr>
        <w:t>The amount of any distributions we may make is uncertain. We may not be able to pay you distributions, or be able to sustain distributions at any particular level, and our distributions per share, if any, may not grow over time, and our distributions per share may be reduced. We have not established any limit on the extent to which we may use borrowings, if any, to sustain distributions and we may also use offering proceeds to fund distributions (which may reduce the amount of capital we ultimately invest in portfolio companies).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Subject to our Board of Director’s discretion and applicable legal restrictions, we intend to authorize and declare cash distributions and pay such distributions on a quarterly basis. We expect to pay distributions out of assets legally available for distribution. However, we cannot assure you that we will achieve investment results that will allow us to make a consistent targeted level of distributions or year-to-year increases in distributions. Our ability to pay distributions might be adversely affected by the impact of the risks described herein. In addition, the inability to satisfy the asset coverage test applicable to us as a BDC under the 1940 Act can limit our ability to pay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distributions. Distributions from offering proceeds also could reduce the amount of capital we ultimately invest in debt or equity securities of portfolio companies. We cannot assure you that we will pay distributions to our stockholders in the future. See "Business — Regulation as a Business Development Company" in Part I, Item 1 of this Form 10-K.</w:t>
      </w:r>
    </w:p>
    <w:p>
      <w:pPr>
        <w:pStyle w:val="TextBody"/>
        <w:bidi w:val="0"/>
        <w:spacing w:before="360" w:after="240"/>
        <w:jc w:val="both"/>
        <w:rPr>
          <w:rFonts w:ascii="Times New Roman" w:hAnsi="Times New Roman"/>
          <w:sz w:val="20"/>
        </w:rPr>
      </w:pPr>
      <w:r>
        <w:rPr>
          <w:rFonts w:ascii="Times New Roman" w:hAnsi="Times New Roman"/>
          <w:b/>
          <w:i/>
          <w:color w:val="000000"/>
          <w:sz w:val="20"/>
        </w:rPr>
        <w:t>Distributions on our common stock may exceed our taxable earnings and profits. Therefore, portions of the distributions that we pay may represent a return of capital to you.</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return of capital is a return of a portion of your original investment in shares of our common stock. As a result, a return of capital will (i) lower your adjusted tax basis in your shares and thereby increase the amount of capital gain (or decrease the amount of capital loss) realized upon a subsequent sale or redemption of such shares, and (ii) reduce the amount of funds we have for investment in portfolio companies.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may pay our distributions from offering proceeds in anticipation of future cash flow, which may constitute a return of your capital and will lower your adjusted tax basis in your shares, thereby increasing the amount of capital gain (or decreasing the amount of capital loss) realized upon a subsequent sale or redemption of such shares, even if such shares have not increased in value or have, in fact, lost value. </w:t>
      </w:r>
    </w:p>
    <w:p>
      <w:pPr>
        <w:pStyle w:val="TextBody"/>
        <w:bidi w:val="0"/>
        <w:spacing w:before="360" w:after="240"/>
        <w:jc w:val="both"/>
        <w:rPr>
          <w:rFonts w:ascii="Times New Roman" w:hAnsi="Times New Roman"/>
          <w:sz w:val="20"/>
        </w:rPr>
      </w:pPr>
      <w:r>
        <w:rPr>
          <w:rFonts w:ascii="Times New Roman" w:hAnsi="Times New Roman"/>
          <w:b/>
          <w:i/>
          <w:color w:val="000000"/>
          <w:sz w:val="20"/>
        </w:rPr>
        <w:t>Stockholders may experience dilution in the net asset value of their shares if they do not participate in our Dividend Reinvestment Plan and if our shares are trading at a discount to net asset value.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All distributions declared in cash payable to stockholders that are participants in our Dividend Reinvestment Plan will be automatically reinvested in shares of our common stock. In addition, stockholders who elect not to participate in our Dividend Reinvestment Plan may experience accretion to the net asset value of their shares if our shares are trading at a premium to net asset value and dilution if our shares are trading at a discount to net asset value. The level of accretion or discount would depend on various factors, including the proportion of our stockholders who participate in the plan, the level of premium or discount at which our shares are trading and the amount of the distribution payable to stockholders. </w:t>
      </w:r>
    </w:p>
    <w:p>
      <w:pPr>
        <w:pStyle w:val="TextBody"/>
        <w:bidi w:val="0"/>
        <w:spacing w:before="360" w:after="240"/>
        <w:jc w:val="both"/>
        <w:rPr>
          <w:rFonts w:ascii="Times New Roman" w:hAnsi="Times New Roman"/>
          <w:sz w:val="20"/>
        </w:rPr>
      </w:pPr>
      <w:r>
        <w:rPr>
          <w:rFonts w:ascii="Times New Roman" w:hAnsi="Times New Roman"/>
          <w:b/>
          <w:i/>
          <w:color w:val="000000"/>
          <w:sz w:val="20"/>
        </w:rPr>
        <w:t>If we issue preferred stock or convertible debt securities, the net asset value of our common stock may become more volatile.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may issue preferred stock or convertible debt in the future. We cannot assure you that the issuance of preferred stock and/or convertible debt securities would result in a higher yield or return to the holders of our common stock. The issuance of preferred stock or convertible debt would likely cause the net asset value of our common stock to become more volatile. If the dividend rate on the preferred stock, or the interest rate on the convertible debt securities, were to approach the net rate of return on our investment portfolio, the benefit of such leverage to the holders of our common stock would be reduced. If the dividend rate on the preferred stock, or the interest rate on the convertible debt securities, were to exceed the net rate of return on our portfolio, the use of leverage would result in a lower rate of return to the holders of common stock than if we had not issued the preferred stock or convertible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or debt securities. This decline in net asset value would also tend to cause a greater decline in the market price, if any, for our common stock.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There is also a risk that, in the event of a sharp decline in the value of our net assets, we would be in danger of failing to maintain required asset coverage ratios, which may be required by the preferred stock or convertible debt, or our current investment income might not be sufficient to meet the dividend requirements on the preferred stock or the interest payments on the debt securities. In order to counteract such an event, we might need to liquidate investments in order to fund the redemption of some or all of the preferred stock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or convertible debt may have different interests than holders of common stock and may at times have disproportionate influence over our affairs.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Provisions of the MGCL and of our charter and bylaws could deter takeover attempts and have an adverse impact on the price of our 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Under Maryland General Corporation Law (the "MGCL") and our charter and bylaws contain provisions that may discourage, delay or make more difficult a change in control of us or the removal of our directors. We are subject to the Maryland Business Combination Act, subject to any applicable requirements of the 1940 Act. Our Board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(the "Control Share Act") acquisitions of our stock by any person. If we amend our bylaws to repeal the exemption from the Control Share Act, the Control Share Act also may make it more difficult for a third party to obtain control of us and increase the difficulty of consummating such a transaction. The SEC staff has rescinded its position that, under the 1940 Act, an investment company may not avail itself of the Control Share Act. As a result, we will amend our bylaws to be subject to the Control Share Act only if our Board of Directors determines it would be in our best interests.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have also adopted measures that may make it difficult for a third party to obtain control of us, including provisions of our charter classifying our Board in three classes serving staggered three-year terms, and authorizing our Board to classify or reclassify shares of our stock in one or more classes or series, to cause the issuance of additional shares of our stock, to amend our bylaws without stockholder approval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Board of Directors is authorized to reclassify any unissued shares of common stock into one or more classes of preferred stock, which could convey special rights and privileges to its owners.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MGCL and our charter, our Board of Directors is authorized to classify and reclassify any authorized but unissued shares of stock into one or more classes of stock, including preferred stock. Prior to the issuance of shares of each class or series, the Board of Directors is required by Maryland law and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The cost of any such reclassification would be borne by our existing common stockholders. Certain matters under the 1940 Act require the separate vote of the holders of any issued and outstanding preferred stock. For example, holders of preferred stock would vote separately from the holders of common stock on a proposal to cease operations as a BDC. In addition, the 1940 Act provides that holders of preferred stock are entitled to vote separately from holders of common stock to elect two preferred stock directors. We currently have no plans to issue preferred stock, but may determine to do so in the future. The issuance of preferred stock convertible into shares of common stock might also reduce the net income per share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an investment in our common stock.</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Certain investors are limited in their ability to make significant investments in 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Private funds that are excluded from the definition of  "investment company" either pursuant to Section 3(c)(1) or 3(c)(7) of the 1940 Act are restricted from acquiring directly or through a controlled entity more than 3% of our total outstanding voting stock (measured at the time of the acquisition). Investment companies registered under the 1940 Act and BDCs are also generally subject to this restriction as well as other limitations under the 1940 Act that would restrict the amount that they are able to invest in our securities.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sz w:val="20"/>
        </w:rPr>
      </w:pPr>
      <w:r>
        <w:rPr>
          <w:rFonts w:ascii="Times New Roman" w:hAnsi="Times New Roman"/>
          <w:b/>
          <w:i/>
          <w:color w:val="000000"/>
          <w:sz w:val="20"/>
        </w:rPr>
        <w:t>Our business and operations could be negatively affected if we become subject to any securities litigation or stockholder activism, which could cause us to incur significant expense, hinder execution of investment strategy and impact our stock price.</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in the BDC space in recent years. While we are currently not subject to any securities litigation or stockholder activism, due to the potential volatility of our stock price and for a variety of other reasons, we may in the future become the target of securities litigation or stockholder activism. Securities litigation and stockholder activism, including potential proxy contests, could result in substantial costs and divert management’s and our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Risks Related to RIC Tax Treatment</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We will be subject to U.S. federal income tax at corporate rates if we are unable to qualify as a RIC.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Although we have elected to be treated as a RIC under Subchapter M of the Code, no assurance can be given that we will be able to qualify as and maintain our qualification as a RIC. To maintain our tax treatment as a RIC, we must meet the 90% Gross Income Test, Diversification Tests, and the Annual Distribution Requirement described above.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Failure to meet the Diversification Tests may result in our having to dispose of certain investments quickly in order to prevent the loss of our qualification as a RIC. Because most of our investments will be in private companies, and therefore will be relatively illiquid, any such dispositions could be made at disadvantageous prices and could result in substantial losses.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Because we may use debt financing, we are subject to certain asset coverage ratio requirements under the 1940 Act and financial covenants under loan and credit agreements that could, under certain circumstances, restrict us from making distributions necessary to satisfy the Annual Distribution Requirement. If we are unable to obtain cash from other sources, we could fail to qualify for tax treatment as a RIC.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we fail to qualify as a RIC for any reason and therefore become subject to U.S. federal income tax at corporate rates, the resulting corporate taxes could substantially reduce our net assets, the amount of income available for distribution and the amount of our distributions.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We may have difficulty paying our required distributions if we recognize income before or without receiving cash representing such income.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U.S. federal income tax purposes, we will include in our taxable income certain amounts that we have not yet received in cash, such as original issue discount, which may arise if we receive warrants in connection with the origination of a loan or possibly in other circumstances, or contractual PIK interest, which represents contractual interest added to the loan balance and due at the end of the loan term. Such original issue discount or increases in loan balances as a result of contractual PIK arrangements will be included in our taxable income before we receive any corresponding cash payments. We also may be required to include in our taxable income certain other amounts that we will not receive in cash.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Since, in certain cases, we may recognize taxable income before or without receiving corresponding cash payments, we may have difficulty meeting the Annual Distribution Requirement necessary to maintain our qualification as a RIC. Accordingly, to satisfy our RIC distribution requirements, we may have to sell some of our investments at times and/or at prices we would not consider advantageous, raise additional debt or equity capital or forgo new investment opportunities. If we are not able to obtain cash from other sources, we may fail to qualify for tax treatment as a RIC and thus become subject to U.S. federal income tax at corporate rates. For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additional discussion regarding the tax implications of our election to be taxed as a RIC, please see "Business — Certain U.S. Federal Income Tax Considerations — Taxation of the Company" in Part I, Item 1 of this Form 10-K.</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Due to ongoing healthcare emergencies or other disruptions in the economy, we may reduce or defer our dividends and choose to incur U.S. federal excise tax in order preserve cash and maintain flexibility.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a BDC, we are not required to make any distributions to stockholders other than in connection with our election to be taxed as a RIC under subchapter M of the Code. In order to maintain our tax treatment as a RIC, we must meet the Annual Distribution Requirement. If we qualify for taxation as a RIC, we generally will not be subject to U.S. federal income tax at corporate rates on our investment company taxable income and net capital gains (i.e., realized net long-term capital gains in excess of realized net short-term capital losses) that we timely distribute to stockholders. We will be subject to a 4% U.S. federal excise tax on undistributed earnings of a RIC unless we distribute each calendar year at least the sum of (i) 98% of our ordinary income for the calendar year, (ii) 98.2% of our capital gains in excess of capital losses for the one-year period ending on October 31 of the calendar year, and (iii) any ordinary income and net capital gains for preceding years that were not distributed during such years and on which we paid no federal income tax.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Under the Code, we may satisfy certain of our RIC distributions with dividends paid after the end of the current year. In particular, if we pay a distribution in January of the following year that was declared in October, November, or December of the current year and is payable to stockholders of record in the current year, the dividend will be treated for all US federal tax purposes as if it were paid on December 31 of the current year. In addition, under the Code, we may pay dividends, referred to as "spillback dividends," that are paid during the following taxable year that will allow us to maintain our qualification for taxation as a RIC and eliminate our liability for U.S. federal income tax. Under these spillback dividend procedures, we may defer distribution of income earned during the current year until December of the following year. For example, we may defer distributions of income earned during 2023 until as late as December 31, 2024. If we choose to pay a spillback dividend, we will incur the nondeductible 4% U.S. federal excise tax on some or all of the distribution.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Due to ongoing healthcare emergencies or other disruptions in the economy, we may take certain actions with respect to the timing and amounts of our distributions in order to preserve cash and maintain flexibility. For example, we may reduce our dividends and/or defer our dividends to the following taxable year. If we defer our dividends, we may choose to utilize the spillback dividend rules discussed above and incur the 4% U.S. federal excise tax on such amounts. To further preserve cash, we may combine these reductions or deferrals of dividends with one or more distributions that are payable partially in our stock as discussed below under "—We may choose to pay distributions in our own stock, including in connection with our Dividend Reinvestment Plan, in which case you may be required to pay U.S. federal income tax in excess of the cash you receive."</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We may choose to pay distributions in our own stock, including in connection with our Dividend Reinvestment Plan, in which case you may be required to pay U.S. federal income tax in excess of the cash you receive.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distribute taxable distributions that are payable in cash or shares of our common stock, including in connection with our Dividend Reinvestment Plan. Under certain applicable provisions of the Code and published IRS guidance, distributions payable from a publicly offered RIC that are payable in cash or in shares of stock at the election of stockholders may be treated as taxable distributions. The IRS has issued a revenue procedure indicating that this rule will apply if the total amount of cash to be distributed is not less than 20% of the total distribution. Under this revenue procedure, if too many stockholders elect to receive their distributions in cash, the cash available for distribution must be allocated among the stockholders electing to receive cash (with the balance of the distribution paid in shares of our common stock). We currently expect to qualify as a publicly offered RIC. If we qualify as a publicly offered RIC and decide to make any distributions consistent with this revenue procedures that are payable in part in shares of our common stock, taxable stockholders receiving such distributions will be required to include the full amount of the distribution (whether received in cash, stock or a combination thereof) as ordinary income (or as long-term capital gain to the extent such distribution is properly reported as a capital gain distribution) to the extent of our current and accumulated earnings and profits for U.S. federal income tax purposes. As a result, a U.S. stockholder may be required to pay U.S. federal income tax with respect to such distributions in excess of any cash received. If a U.S. stockholder sells the stock it receives as a distribution in order to pay this tax, the sales proceeds may be less than the amount included in income with respect to the distribution, depending on the net asset value of our stock at the time of the sale. Furthermore, with respect to non-U.S. stockholders, we may be required to withhold U.S. federal tax with respect to such distributions, including in respect of all or a portion of such distribution that is payable in stock. In addition, if a significant number of our stockholders sell shares of our common stock in order to pay U.S. federal income taxes owed on distributions, it may put downward pressure on the net asset value of our common stock.</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If we are not treated as a "publicly offered regulated investment company," as defined in the Code, certain U.S. stockholders will be treated as having received a dividend from us in the amount of such U.S. stockholders’ allocable share of the management and incentive fees paid to RGC and certain of our other expenses, and these fees and expenses will be treated as miscellaneous itemized deductions of such U.S. stockholders.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"publicly offered RIC" is a RIC whose shares are either (i) continuously offered pursuant to a public offering, (ii) regularly traded on an established securities market or (iii) held by at least 500 persons at all times during the taxable year. 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and incentive fees paid to RGC and certain of our other expenses for the calendar year, and will be deductible by such shareholder only to the extent permitted under the limitations described below. For non-corporate U.S. stockholders, including individuals, trusts, and estates, significant limitations generally apply to the deductibility of certain expenses of a non-publicly offered RIC. In particular, these expenses, referred to as miscellaneous itemized deductions, currently are not deductible by non-corporate U.S. stockholders (and beginning in 2026, will be deductible only to non-corporate U.S. stockholders to the extent they exceed 2% of such non-corporate U.S. stockholders’ adjusted gross income, and will not be deductible for alternative minimum tax purposes).</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General Risks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We may experience fluctuations in our quarterly and annual results.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experience fluctuations in our quarterly and annual operating results due to a number of factors, including, but not limited to, our ability or inability to make investments in companies that meet our investment criteria,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Government intervention in the credit markets could adversely affect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central banks and, in particular, the U.S. Federal Reserve, have taken unprecedented steps since the financial crises of 2008-2009 and again related to the COVID-19 global pandemic and rising inflation rates. It is impossible to predict if, how, and to what extent the United States and other governments would further intervene in the credit markets. Such intervention is often prompted by politically sensitive issues involving family homes, student loans, real estate speculation, credit card receivables, pandemics, etc., and could, as a result, be contrary to what we would predict from an "economically rational" perspective.</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Political uncertainty could adversely affect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U.S. and non-U.S. markets could experience political uncertainty and/or change that subjects investments to heightened risks, including, for instance, the risks related to the elections in the U.S. or the effect on world leaders and governments of the COVID-19 pandemic. These heightened risks could also include: increased risk of default (by both government and private issuers); greater social, trade, economic and political instability (including the risk of war or terrorist activity); greater governmental involvement in the economy; greater governmental supervision and regulation of the securities markets and market participants resulting in increased expenses related to compliance; greater fluctuations in currency exchange rates; controls or restrictions on foreign investment and/or trade, capital controls and limitations on repatriation of invested capital and on the ability to exchange currencies; inability to purchase and sell investments or otherwise settle security or derivative transactions (i.e., a market freeze); unavailability of currency hedging techniques; and slower clearance. During times of political uncertainty and/or change, global markets often become more volatile. There could also be a lower level of monitoring and regulation of markets while a country is experiencing political uncertainty and/or change, and the activities of investors in such markets and enforcement of existing regulations could become more limited. Markets experiencing political uncertainty and/or change could have substantial, and in some periods extremely high, rates of inflation for many years. Inflation and rapid fluctuations in inflation rates typically have negative effects on such countries’ economies and markets. Tax laws could change materially, and any changes in tax laws could have an unpredictable effect on us, our investments and our investors. There can be no assurance that political changes will not cause us or our investors to suffer losses.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Terrorist attacks, acts of war or widespread health emergencies or natural disasters may affect any market for our common stock, impact the businesses in which we invest and harm our business, operating results and financial condition.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Terrorist acts, acts of war, widespread health emergencies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widespread health emergencies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natural disasters and widespread health emergencies are generally uninsurable.</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We are subject to risks in using custodians, administrators and other agents.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depend on the services of custodians, administrators and other agents to carry out certain securities transactions and administrative services for us. In the event of the insolvency of a custodian, we may not be able to recover equivalent assets in full as we will rank among the custodian’s unsecured creditors in relation to assets which the custodian borrows, lends or otherwise uses. In addition, our cash held with a custodian may not be segregated from the custodian’s own cash, and we therefore may rank as unsecured creditors in relation thereto. The inability to recover assets from the custodian could have a material impact on our performance.</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Changes in laws or regulations governing our business or the businesses of our portfolio companies, changes in the interpretation thereof or newly enacted laws or regulations, and any failure by us or our portfolio companies to comply with these laws or regulations may adversely affect our business and the businesses of our portfolio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and our portfolio companies are subject to laws and regulations at the U.S. federal, state and local levels and, in some cases, foreign levels. These laws and regulations, as well as their interpretation, could change from time to time, including as the result of interpretive guidance or other directives from the U.S. President and others in the executive branch, and new laws, regulations and interpretations could also come into effect. For example, the current U.S. presidential administration could support an enhanced regulatory agenda that imposes greater costs on all sectors and on financial services companies in particular. Any such new or changed laws or regulations could have a material adverse effect on our business, and political uncertainty could increase regulatory uncertainty in the near term.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such new or changed laws or regulations could have a material adverse effect on our business or the business of our portfolio companies. The legal, tax and regulatory environment for BDCs, investment advisers and the instruments that they utilize (including derivative instruments) is continuously evolving.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as private equity firms become more influential participants in the U.S. and global financial markets and economy generally, there recently has been pressure for greater governmental scrutiny and/or regulation of the private equity industry. It is uncertain as to what form and in what jurisdictions such enhanced scrutiny and/or regulation, if any, on the private equity industry may ultimately take. Therefore, there can be no assurance as to whether any such scrutiny or initiatives will have an adverse impact on the private equity industry, including our ability to effect operating improvements or restructurings of our portfolio companies or otherwise achieve our objectives.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operating results or financial condition, impose additional costs on us, intensify the regulatory supervision of us or otherwise adversely affect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RGC’s investment team to other types of investments in which the investment team may have less expertise or little or no experience. Thus, any such changes, if they occur, could have a material adverse effect on our results of operations and the value of your investment.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Internal and external cyber threats, as well as other disasters, could impair our ability to conduct business effectively.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or unauthorized tampering.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incidents that adversely affects our data, resulting in increased costs and other consequences as described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and our service providers continue to be impacted by an increase in the ability of employees to work from external locations, including their homes. Policies of extended periods of remote working, whether by us or our service providers, could strain technology resources, introduce operational risks and otherwise heighten the risks described above. Remote working environments may be less secure and more susceptible to hacking attacks, including phishing and social engineering attempts. Accordingly, the risks described above, are heightened under the current conditions.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 misappropriation of assets, increased cybersecurity protection and insurance costs, litigation and damage to our business relationships. Any such attack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 service providers. We and RGC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We are subject to risks related to corporate social responsibility.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business faces increasing public scrutiny related to environmental, social and governance ("ESG") activities. We risk damage to our brand and reputation if we fail to act responsibly in a number of areas, such as environmental stewardship, corporate governance and transparency and considering ESG factors in our investment processes. Adverse incidents with respect to ESG activities could impact the value of our brand, the cost of our operations and relationships with investors, all of which could adversely affect our business and results of operations. Additionally, new regulatory initiatives related to ESG could adversely affect our business.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We cannot predict how new tax legislation will affect us, our investments, or our stockholders, and any such legislation could adversely affect our business.</w:t>
      </w:r>
    </w:p>
    <w:p>
      <w:pPr>
        <w:pStyle w:val="TextBody"/>
        <w:bidi w:val="0"/>
        <w:jc w:val="both"/>
        <w:rPr>
          <w:rFonts w:ascii="Times New Roman" w:hAnsi="Times New Roman"/>
          <w:color w:val="000000"/>
          <w:sz w:val="20"/>
        </w:rPr>
      </w:pPr>
      <w:r>
        <w:rPr>
          <w:rFonts w:ascii="Times New Roman" w:hAnsi="Times New Roman"/>
          <w:color w:val="000000"/>
          <w:sz w:val="20"/>
        </w:rPr>
        <w:t>Legislative or other actions relating to taxes could have a negative effect on us. The rules dealing with U.S. federal income taxation are constantly under review by persons involved in the legislative process and by the Internal Revenue Service and the U.S. Treasury Department. The Biden Administration has proposed significant changes to the existing U.S. tax rules, and there are a number of proposals in Congress that would similarly modify the existing U.S. tax rules. The likelihood of any such legislation being enacted is uncertain, but new legislation and any U.S. Treasury regulations, administrative interpretations or court decisions interpreting such legislation could significantly and negatively affect our ability to qualify for tax treatment as a RIC or the U.S. federal income tax consequences to us and our investors of such qualification, or could have other adverse consequences. Investors are urged to consult with their tax advisor regarding tax legislative, regulatory, or administrative developments and proposals and their potential effect on an investment in our common stock.</w:t>
      </w:r>
    </w:p>
    <w:p>
      <w:pPr>
        <w:pStyle w:val="TextBody"/>
        <w:bidi w:val="0"/>
        <w:spacing w:before="360" w:after="240"/>
        <w:jc w:val="left"/>
        <w:rPr>
          <w:rFonts w:ascii="Times New Roman" w:hAnsi="Times New Roman"/>
          <w:b/>
          <w:color w:val="000000"/>
          <w:sz w:val="20"/>
        </w:rPr>
      </w:pPr>
      <w:bookmarkStart w:id="7" w:name="unresolved_staff_comments"/>
      <w:bookmarkEnd w:id="7"/>
      <w:r>
        <w:rPr>
          <w:rFonts w:ascii="Times New Roman" w:hAnsi="Times New Roman"/>
          <w:b/>
          <w:color w:val="000000"/>
          <w:sz w:val="20"/>
        </w:rPr>
        <w:t>Item 1B. Unresolved Staff Comments</w:t>
      </w:r>
      <w:bookmarkStart w:id="8" w:name="item1bunresolvedstaffcomments_715901"/>
      <w:bookmarkEnd w:id="8"/>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40"/>
        <w:jc w:val="left"/>
        <w:rPr>
          <w:rFonts w:ascii="Times New Roman" w:hAnsi="Times New Roman"/>
          <w:b/>
          <w:color w:val="000000"/>
          <w:sz w:val="20"/>
        </w:rPr>
      </w:pPr>
      <w:bookmarkStart w:id="9" w:name="item_1c_cybersecurity"/>
      <w:bookmarkEnd w:id="9"/>
      <w:r>
        <w:rPr>
          <w:rFonts w:ascii="Times New Roman" w:hAnsi="Times New Roman"/>
          <w:b/>
          <w:color w:val="000000"/>
          <w:sz w:val="20"/>
        </w:rPr>
        <w:t>Item 1C. Cybersecurity</w:t>
      </w:r>
    </w:p>
    <w:p>
      <w:pPr>
        <w:pStyle w:val="TextBody"/>
        <w:bidi w:val="0"/>
        <w:spacing w:before="360" w:after="240"/>
        <w:jc w:val="left"/>
        <w:rPr>
          <w:rFonts w:ascii="Times New Roman" w:hAnsi="Times New Roman"/>
          <w:sz w:val="20"/>
        </w:rPr>
      </w:pPr>
      <w:r>
        <w:rPr>
          <w:rFonts w:ascii="Times New Roman" w:hAnsi="Times New Roman"/>
          <w:b/>
          <w:color w:val="000000"/>
          <w:sz w:val="20"/>
        </w:rPr>
        <w:t>Risk Management and Strategy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processes in place for assessing, identifying, and managing material risks from potential unauthorized occurrences on or through our electronic information systems that could negatively impact the confidentiality, integrity, or availability of our information systems or the information held on such systems. These processes include controls, procedures, systems and tools that are designed to prevent, detect, or mitigate data loss, theft, misuse, unauthorized access, or other security incidents or vulnerabilities affecting the data. Such processes are set forth in our joint Cybersecurity Policy and Disaster Recovery Plan (collectively, the “Cybersecurity Policy”). The Cybersecurity Policy sets forth the role of the Information Security Committee in preparing, implementing, and maintaining incident response procedures in consultation with senior management of the Adviser and Administrator.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Information Security Committee is responsible for the development and implementation of policies and technical measures to reasonably prevent security incidents. The Information Security Committee includes our Chief Financial Officer and Chief Compliance Officer. At times we may also engage assessors, consultants, or other third parties to assist with assessing, identifying and managing cybersecurity risk. As part of our risk management process, we conduct assessment and penetration testing, including regular trainings completed by employees of RGC who provide services to us pursuant to the Advisory Agreement and Administration Agreement. </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Material Impact of Cybersecurity Risks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the date of this annual report on Form 10-K, we are not aware of any material risks from cybersecurity threats that have materially affected, or are reasonably likely to materially affect, the Company, including our business strategy, results of operations, or financial condition. However, future incidents could have a material impact on our business. Additional information about the cybersecurity risks that we face is discussed in Item 1A of Part I, “Risk Factors” in this Annual Report on Form 10-K under the heading “Cybersecurity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Oversight of Cybersecurity Risks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cybersecurity risks and associated mitigation strategies are evaluated by our management and the Information Security Committee as needed, but no less frequently than annually. On at least a quarterly basis, management and the Information Security Committee report to our Board of Directors on developments to cybersecurity risks we face. Such reports include, among other things, an overview of the controls and procedures related to assessing, identifying, and managing risks related to cybersecurity threats, oversight of third-party service providers and related cybersecurity threats, and management’s evaluation of cybersecurity risks that are material to us. </w:t>
      </w:r>
    </w:p>
    <w:p>
      <w:pPr>
        <w:pStyle w:val="TextBody"/>
        <w:bidi w:val="0"/>
        <w:spacing w:before="360" w:after="240"/>
        <w:jc w:val="left"/>
        <w:rPr>
          <w:rFonts w:ascii="Times New Roman" w:hAnsi="Times New Roman"/>
          <w:b/>
          <w:color w:val="000000"/>
          <w:sz w:val="20"/>
        </w:rPr>
      </w:pPr>
      <w:bookmarkStart w:id="10" w:name="item2properties_653484"/>
      <w:bookmarkEnd w:id="10"/>
      <w:r>
        <w:rPr>
          <w:rFonts w:ascii="Times New Roman" w:hAnsi="Times New Roman"/>
          <w:b/>
          <w:color w:val="000000"/>
          <w:sz w:val="20"/>
        </w:rPr>
        <w:t>Item 2. Properties</w:t>
      </w:r>
    </w:p>
    <w:p>
      <w:pPr>
        <w:pStyle w:val="TextBody"/>
        <w:bidi w:val="0"/>
        <w:jc w:val="both"/>
        <w:rPr>
          <w:rFonts w:ascii="Times New Roman" w:hAnsi="Times New Roman"/>
          <w:color w:val="000000"/>
          <w:sz w:val="20"/>
        </w:rPr>
      </w:pPr>
      <w:r>
        <w:rPr>
          <w:rFonts w:ascii="Times New Roman" w:hAnsi="Times New Roman"/>
          <w:color w:val="000000"/>
          <w:sz w:val="20"/>
        </w:rPr>
        <w:t>Our corporate headquarters are located at 205 N. Michigan Ave., Suite 4200, Chicago, IL 60601 and are provided by the Administrator in accordance with the terms of the Administration Agreement. We and RGC also have offices located in Menlo Park, California and New York, New York. We do not own any real estate. We believe that our office facilities are suitable and adequate for our business as it is contemplated to be conducted.</w:t>
      </w:r>
    </w:p>
    <w:p>
      <w:pPr>
        <w:pStyle w:val="TextBody"/>
        <w:bidi w:val="0"/>
        <w:spacing w:before="360" w:after="240"/>
        <w:jc w:val="left"/>
        <w:rPr>
          <w:rFonts w:ascii="Times New Roman" w:hAnsi="Times New Roman"/>
          <w:b/>
          <w:color w:val="000000"/>
          <w:sz w:val="20"/>
        </w:rPr>
      </w:pPr>
      <w:bookmarkStart w:id="11" w:name="item3legalproceedings_119224"/>
      <w:bookmarkEnd w:id="11"/>
      <w:r>
        <w:rPr>
          <w:rFonts w:ascii="Times New Roman" w:hAnsi="Times New Roman"/>
          <w:b/>
          <w:color w:val="000000"/>
          <w:sz w:val="20"/>
        </w:rPr>
        <w:t>Item 3. Legal Proceedings</w:t>
      </w:r>
    </w:p>
    <w:p>
      <w:pPr>
        <w:pStyle w:val="TextBody"/>
        <w:bidi w:val="0"/>
        <w:jc w:val="both"/>
        <w:rPr>
          <w:rFonts w:ascii="Times New Roman" w:hAnsi="Times New Roman"/>
          <w:color w:val="000000"/>
          <w:sz w:val="20"/>
        </w:rPr>
      </w:pPr>
      <w:r>
        <w:rPr>
          <w:rFonts w:ascii="Times New Roman" w:hAnsi="Times New Roman"/>
          <w:color w:val="000000"/>
          <w:sz w:val="20"/>
        </w:rPr>
        <w:t>We and RGC are not currently subject to any material legal proceedings, nor, to our knowledge, is any material legal proceeding threatened against us. From time to time, we or RGC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these legal proceedings cannot be predicted with certainty, we do not expect that these proceedings will have a material effect upon our financial condition or results of operations.</w:t>
      </w:r>
    </w:p>
    <w:p>
      <w:pPr>
        <w:pStyle w:val="TextBody"/>
        <w:bidi w:val="0"/>
        <w:spacing w:before="360" w:after="240"/>
        <w:jc w:val="left"/>
        <w:rPr>
          <w:rFonts w:ascii="Times New Roman" w:hAnsi="Times New Roman"/>
          <w:b/>
          <w:color w:val="000000"/>
          <w:sz w:val="20"/>
        </w:rPr>
      </w:pPr>
      <w:bookmarkStart w:id="12" w:name="item4minesafetydisclosures_118322"/>
      <w:bookmarkEnd w:id="12"/>
      <w:r>
        <w:rPr>
          <w:rFonts w:ascii="Times New Roman" w:hAnsi="Times New Roman"/>
          <w:b/>
          <w:color w:val="000000"/>
          <w:sz w:val="20"/>
        </w:rPr>
        <w:t>Item 4. Mine Safety Disclosures</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360" w:after="240"/>
        <w:jc w:val="left"/>
        <w:rPr>
          <w:rFonts w:ascii="Times New Roman" w:hAnsi="Times New Roman"/>
          <w:b/>
          <w:color w:val="000000"/>
          <w:sz w:val="20"/>
        </w:rPr>
      </w:pPr>
      <w:bookmarkStart w:id="13" w:name="item5marketforregistrantscommonequityrel"/>
      <w:bookmarkEnd w:id="13"/>
      <w:r>
        <w:rPr>
          <w:rFonts w:ascii="Times New Roman" w:hAnsi="Times New Roman"/>
          <w:b/>
          <w:color w:val="000000"/>
          <w:sz w:val="20"/>
        </w:rPr>
        <w:t>Item 5. Market for Registrant’s Common Equity, Related Stockholder Matters and Issuer Purchases of Equity Securities</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common stock began trading on the Nasdaq Global Select Market LLC on October 21, 2021 under the symbol "RWAY" in connection with our IPO of shares of our common stock. Shares of BDCs may trade at a market price that is less than the value of the net assets attributable to those shares. The possibility that our shares of common stock will trade at a discount from NAV per share or at premiums that are unsustainable over the long-term are separate and distinct from the risk that our NAV per share will decrease. It is not possible to predict whether our common stock will trade at, above, or below NAV per share. See "Item 1A. Risk Factors—Risks Related to an Investment in Our Common Stock."</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March 6, 2024, there were 77 holders of record of our common stock, which does not include stockholders for whom shares are held in nominee or “street” name.</w:t>
      </w:r>
    </w:p>
    <w:p>
      <w:pPr>
        <w:pStyle w:val="TextBody"/>
        <w:bidi w:val="0"/>
        <w:spacing w:before="360" w:after="240"/>
        <w:jc w:val="both"/>
        <w:rPr>
          <w:rFonts w:ascii="Times New Roman" w:hAnsi="Times New Roman"/>
          <w:sz w:val="20"/>
        </w:rPr>
      </w:pPr>
      <w:r>
        <w:rPr>
          <w:rFonts w:ascii="Times New Roman" w:hAnsi="Times New Roman"/>
          <w:b/>
          <w:color w:val="000000"/>
          <w:sz w:val="20"/>
        </w:rPr>
        <w:t>Price Range of Common Stock</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common stock began trading on the Nasdaq Global Select Market LLC on October 21, 2021 under the symbol "RWAY" in connection with our IPO of shares of our common stock. Shares of BDCs may trade at a market price that is less than the value of the net assets attributable to those shares. The possibility that our shares of common stock will trade at a discount from NAV per share or at premiums that are unsustainable over the long-term are separate and distinct from the risk that our NAV per share will decrease. It is not possible to predict whether our common stock will trade at, above, or below NAV per share. See "Item 1A. Risk Factors—Risks Related to an Investment in Our Common Stock." On March 6, 2024, the last reported closing sales price of our common stock on the Nasdaq Global Select Market LLC was $13.35 per share, which represented a discount of approximately 1.1% to our NAV per share of $13.50 as of December 31, 2023.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Prior to our IPO, the shares of our common stock were offered and sold in transactions exempt from registration under the Securities Act. As such, there was no public market for shares of our common stock through the period ended October 20, 2021.</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sets forth the most recent fiscal quarter's NAV per share of our common stock, the high and low closing sales prices of our common stock, such sales prices as a percentage of NAV per share and quarterly distribution per share.</w:t>
      </w:r>
    </w:p>
    <w:tbl>
      <w:tblPr>
        <w:tblW w:w="10205" w:type="dxa"/>
        <w:jc w:val="left"/>
        <w:tblInd w:w="0" w:type="dxa"/>
        <w:tblLayout w:type="fixed"/>
        <w:tblCellMar>
          <w:top w:w="28" w:type="dxa"/>
          <w:left w:w="28" w:type="dxa"/>
          <w:bottom w:w="28" w:type="dxa"/>
          <w:right w:w="28" w:type="dxa"/>
        </w:tblCellMar>
      </w:tblPr>
      <w:tblGrid>
        <w:gridCol w:w="968"/>
        <w:gridCol w:w="146"/>
        <w:gridCol w:w="196"/>
        <w:gridCol w:w="146"/>
        <w:gridCol w:w="511"/>
        <w:gridCol w:w="146"/>
        <w:gridCol w:w="146"/>
        <w:gridCol w:w="196"/>
        <w:gridCol w:w="146"/>
        <w:gridCol w:w="511"/>
        <w:gridCol w:w="146"/>
        <w:gridCol w:w="146"/>
        <w:gridCol w:w="196"/>
        <w:gridCol w:w="146"/>
        <w:gridCol w:w="511"/>
        <w:gridCol w:w="146"/>
        <w:gridCol w:w="146"/>
        <w:gridCol w:w="261"/>
        <w:gridCol w:w="861"/>
        <w:gridCol w:w="297"/>
        <w:gridCol w:w="431"/>
        <w:gridCol w:w="146"/>
        <w:gridCol w:w="259"/>
        <w:gridCol w:w="854"/>
        <w:gridCol w:w="294"/>
        <w:gridCol w:w="428"/>
        <w:gridCol w:w="146"/>
        <w:gridCol w:w="354"/>
        <w:gridCol w:w="263"/>
        <w:gridCol w:w="766"/>
        <w:gridCol w:w="296"/>
      </w:tblGrid>
      <w:tr>
        <w:trPr/>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9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0" w:type="dxa"/>
            <w:gridSpan w:val="4"/>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35" w:type="dxa"/>
            <w:gridSpan w:val="4"/>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3" w:type="dxa"/>
            <w:gridSpan w:val="3"/>
            <w:tcBorders/>
            <w:shd w:fill="FFFFFF" w:val="clear"/>
            <w:vAlign w:val="center"/>
          </w:tcPr>
          <w:p>
            <w:pPr>
              <w:pStyle w:val="TableContents"/>
              <w:bidi w:val="0"/>
              <w:spacing w:before="0" w:after="283"/>
              <w:jc w:val="center"/>
              <w:rPr/>
            </w:pPr>
            <w:r>
              <w:rPr/>
              <w:t> </w:t>
            </w:r>
          </w:p>
        </w:tc>
        <w:tc>
          <w:tcPr>
            <w:tcW w:w="296" w:type="dxa"/>
            <w:tcBorders/>
            <w:shd w:fill="FFFFFF" w:val="clear"/>
            <w:vAlign w:val="center"/>
          </w:tcPr>
          <w:p>
            <w:pPr>
              <w:pStyle w:val="TableContents"/>
              <w:bidi w:val="0"/>
              <w:spacing w:before="0" w:after="283"/>
              <w:jc w:val="center"/>
              <w:rPr/>
            </w:pPr>
            <w:r>
              <w:rPr/>
              <w:t> </w:t>
            </w:r>
          </w:p>
        </w:tc>
      </w:tr>
      <w:tr>
        <w:trPr/>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NAV</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Premium/Discount of High Sales Price to NAV</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Premium/Discount of Low Sales Price to NAV</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Cash Distribution per Share</w:t>
            </w:r>
            <w:r>
              <w:rPr>
                <w:rFonts w:ascii="Times New Roman" w:hAnsi="Times New Roman"/>
                <w:b/>
                <w:color w:val="000000"/>
                <w:sz w:val="11"/>
              </w:rPr>
              <w:t>(3)</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2023</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2" w:type="dxa"/>
            <w:gridSpan w:val="2"/>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3" w:type="dxa"/>
            <w:gridSpan w:val="2"/>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c>
          <w:tcPr>
            <w:tcW w:w="1029" w:type="dxa"/>
            <w:gridSpan w:val="2"/>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96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Fourth Quarter</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29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3"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0.46</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96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Third Quarter</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29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96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Second Quarter</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w:t>
            </w:r>
          </w:p>
        </w:tc>
        <w:tc>
          <w:tcPr>
            <w:tcW w:w="29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96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First Quarter</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29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c>
          <w:tcPr>
            <w:tcW w:w="296" w:type="dxa"/>
            <w:tcBorders/>
            <w:shd w:fill="CFF0FC" w:val="clear"/>
            <w:vAlign w:val="center"/>
          </w:tcPr>
          <w:p>
            <w:pPr>
              <w:pStyle w:val="TableContents"/>
              <w:bidi w:val="0"/>
              <w:spacing w:before="0" w:after="283"/>
              <w:jc w:val="left"/>
              <w:rPr/>
            </w:pPr>
            <w:r>
              <w:rPr/>
              <w:t> </w:t>
            </w:r>
          </w:p>
        </w:tc>
      </w:tr>
      <w:tr>
        <w:trPr/>
        <w:tc>
          <w:tcPr>
            <w:tcW w:w="96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2" w:type="dxa"/>
            <w:gridSpan w:val="2"/>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3" w:type="dxa"/>
            <w:gridSpan w:val="2"/>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029" w:type="dxa"/>
            <w:gridSpan w:val="2"/>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96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Fourth Quarter</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29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3"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0.36</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96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Third Quarter</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29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96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Second Quarter</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97"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29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0.30</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96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First Quarter</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97"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29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0.27</w:t>
            </w:r>
          </w:p>
        </w:tc>
        <w:tc>
          <w:tcPr>
            <w:tcW w:w="296" w:type="dxa"/>
            <w:tcBorders/>
            <w:shd w:fill="FFFFFF" w:val="clear"/>
            <w:vAlign w:val="center"/>
          </w:tcPr>
          <w:p>
            <w:pPr>
              <w:pStyle w:val="TableContents"/>
              <w:bidi w:val="0"/>
              <w:spacing w:before="0" w:after="283"/>
              <w:jc w:val="left"/>
              <w:rPr/>
            </w:pPr>
            <w:r>
              <w:rPr/>
              <w:t> </w:t>
            </w:r>
          </w:p>
        </w:tc>
      </w:tr>
      <w:tr>
        <w:trPr/>
        <w:tc>
          <w:tcPr>
            <w:tcW w:w="96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2" w:type="dxa"/>
            <w:gridSpan w:val="2"/>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3" w:type="dxa"/>
            <w:gridSpan w:val="2"/>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c>
          <w:tcPr>
            <w:tcW w:w="1029" w:type="dxa"/>
            <w:gridSpan w:val="2"/>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968" w:type="dxa"/>
            <w:tcBorders/>
            <w:shd w:fill="FFFFFF" w:val="clear"/>
            <w:vAlign w:val="center"/>
          </w:tcPr>
          <w:p>
            <w:pPr>
              <w:pStyle w:val="TableContents"/>
              <w:bidi w:val="0"/>
              <w:spacing w:before="0" w:after="283"/>
              <w:ind w:left="100" w:right="0" w:firstLine="100"/>
              <w:jc w:val="left"/>
              <w:rPr>
                <w:rFonts w:ascii="Times New Roman" w:hAnsi="Times New Roman"/>
                <w:sz w:val="16"/>
              </w:rPr>
            </w:pPr>
            <w:r>
              <w:rPr>
                <w:rFonts w:ascii="Times New Roman" w:hAnsi="Times New Roman"/>
                <w:color w:val="000000"/>
                <w:sz w:val="16"/>
              </w:rPr>
              <w:t>Fourth Quarter</w:t>
            </w:r>
            <w:r>
              <w:rPr>
                <w:rFonts w:ascii="Times New Roman" w:hAnsi="Times New Roman"/>
                <w:color w:val="000000"/>
                <w:sz w:val="11"/>
              </w:rPr>
              <w:t>(4)</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29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3"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296" w:type="dxa"/>
            <w:tcBorders/>
            <w:shd w:fill="FFFFFF"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NAV per share is generally determined as of the last day in the relevant quarter and therefore may not reflect the NAV per share on the date of the high and low sales prices. The NAVs shown are based on outstanding shares at the end of each period.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Calculated as the respective high or low closing price less net asset value, divided by net asset value (in each case, as of the applicable quarter).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the dividend or distribution declared in the relevant quarter.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16"/>
        </w:rPr>
      </w:pPr>
      <w:r>
        <w:rPr>
          <w:rFonts w:ascii="Times New Roman" w:hAnsi="Times New Roman"/>
          <w:color w:val="000000"/>
          <w:sz w:val="16"/>
        </w:rPr>
        <w:t>Shares of our common stock began trading on the Nasdaq Global Select Market LLC on October 21, 2021 under the trading symbol "RWAY."</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Distributions</w:t>
      </w:r>
    </w:p>
    <w:p>
      <w:pPr>
        <w:pStyle w:val="TextBody"/>
        <w:bidi w:val="0"/>
        <w:jc w:val="both"/>
        <w:rPr>
          <w:rFonts w:ascii="Times New Roman" w:hAnsi="Times New Roman"/>
          <w:color w:val="000000"/>
          <w:sz w:val="20"/>
        </w:rPr>
      </w:pPr>
      <w:r>
        <w:rPr>
          <w:rFonts w:ascii="Times New Roman" w:hAnsi="Times New Roman"/>
          <w:color w:val="000000"/>
          <w:sz w:val="20"/>
        </w:rPr>
        <w:t xml:space="preserve">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timing and amount of our distributions, if any, will be determined by our Board of Directors and will be declared out of assets legally available for distribution. Refer to "Note 9 – Net Assets" of our financial statements in Part II, Item 8 of this Form 10-K for a summary of the distributions declared and paid since inception.</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stock performance graph compares the cumulative stockholder return on our common stock from October 21, 2021 (the date our common stock commenced trading on the Nasdaq Global Select Market LLC) to December 31, 2023, with that of the Standard &amp; Poor’s 500 Stock Index, the NASDAQ Financial 100 Index, and the Wells Fargo BDC Index. This graph assumes that on October 21, 2021, $100 was invested in our common stock, the Standard &amp; Poor’s BDC Index, the NASDAQ Financial 100 Index, and the Wells Fargo BDC Index. The graph also assumes the reinvestment of all cash dividends prior to any tax effect. The graph and other information furnished under this Part II Item 5 of this Annual Report on Form 10-K shall not be deemed to be "soliciting material" or to be "filed" with the SEC or subject to Regulation 14A or 14C under, or to the liabilities of Section 18 of, the Exchange Act. The stock price performance included in the below graph is not necessarily indicative of future stock performance.</w:t>
      </w:r>
    </w:p>
    <w:p>
      <w:pPr>
        <w:pStyle w:val="TextBody"/>
        <w:bidi w:val="0"/>
        <w:jc w:val="center"/>
        <w:rPr>
          <w:rFonts w:ascii="Times New Roman" w:hAnsi="Times New Roman"/>
          <w:b/>
          <w:color w:val="000000"/>
          <w:sz w:val="20"/>
        </w:rPr>
      </w:pPr>
      <w:r>
        <w:rPr>
          <w:rFonts w:ascii="Times New Roman" w:hAnsi="Times New Roman"/>
          <w:b/>
          <w:color w:val="000000"/>
          <w:sz w:val="20"/>
        </w:rPr>
        <w:t>COMPARISON OF CUMULATIVE TOTAL RETURN</w:t>
      </w:r>
    </w:p>
    <w:p>
      <w:pPr>
        <w:pStyle w:val="TextBody"/>
        <w:bidi w:val="0"/>
        <w:jc w:val="center"/>
        <w:rPr>
          <w:rFonts w:ascii="Times New Roman" w:hAnsi="Times New Roman"/>
          <w:b/>
          <w:color w:val="000000"/>
          <w:sz w:val="20"/>
        </w:rPr>
      </w:pPr>
      <w:r>
        <w:rPr>
          <w:rFonts w:ascii="Times New Roman" w:hAnsi="Times New Roman"/>
          <w:b/>
          <w:color w:val="000000"/>
          <w:sz w:val="20"/>
        </w:rPr>
        <w:t>Among Runway Growth Finance Corp., the Standard &amp; Poor’s 500 Index,</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The NASDAQ Financial 100 Index, and the Wells Fargo BDC Index</w:t>
      </w:r>
    </w:p>
    <w:p>
      <w:pPr>
        <w:pStyle w:val="TextBody"/>
        <w:pBdr>
          <w:bottom w:val="single" w:sz="6" w:space="1" w:color="000000"/>
        </w:pBdr>
        <w:bidi w:val="0"/>
        <w:spacing w:before="0" w:after="120"/>
        <w:jc w:val="center"/>
        <w:rPr/>
      </w:pPr>
      <w:r>
        <w:rPr/>
        <w:drawing>
          <wp:inline distT="0" distB="0" distL="0" distR="0">
            <wp:extent cx="5724525" cy="3038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24525" cy="3038475"/>
                    </a:xfrm>
                    <a:prstGeom prst="rect">
                      <a:avLst/>
                    </a:prstGeom>
                  </pic:spPr>
                </pic:pic>
              </a:graphicData>
            </a:graphic>
          </wp:inline>
        </w:drawing>
      </w: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center"/>
        <w:rPr>
          <w:rFonts w:ascii="Times New Roman" w:hAnsi="Times New Roman"/>
          <w:color w:val="000000"/>
          <w:sz w:val="16"/>
        </w:rPr>
      </w:pPr>
      <w:r>
        <w:rPr>
          <w:rFonts w:ascii="Times New Roman" w:hAnsi="Times New Roman"/>
          <w:color w:val="000000"/>
          <w:sz w:val="16"/>
        </w:rPr>
        <w:t>Cumulative stockholder return is calculated on the closing stock prices for each respective date.</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Recent Sales of Unregistered Securities and Use of Proceeds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Other than pursuant to our Dividend Reinvestment Plan, and except as previously reported by us on our current reports on Form 8</w:t>
        <w:noBreakHyphen/>
        <w:t>K or quarterly reports on Form 10-Q, we did not sell any securities during the period covered by this Form 10</w:t>
        <w:noBreakHyphen/>
        <w:t>K that were not registered under the Securities Act.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bookmarkStart w:id="14" w:name="item6selectedfinancialdata_540295"/>
      <w:bookmarkEnd w:id="14"/>
      <w:r>
        <w:rPr>
          <w:rFonts w:ascii="Times New Roman" w:hAnsi="Times New Roman"/>
          <w:b/>
          <w:color w:val="000000"/>
          <w:sz w:val="20"/>
        </w:rPr>
        <w:t>Item 6. [Reserved]</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left"/>
        <w:rPr>
          <w:rFonts w:ascii="Times New Roman" w:hAnsi="Times New Roman"/>
          <w:b/>
          <w:color w:val="000000"/>
          <w:sz w:val="20"/>
        </w:rPr>
      </w:pPr>
      <w:bookmarkStart w:id="15" w:name="item7managementsdiscussionandanalysisoff"/>
      <w:bookmarkEnd w:id="15"/>
      <w:r>
        <w:rPr>
          <w:rFonts w:ascii="Times New Roman" w:hAnsi="Times New Roman"/>
          <w:b/>
          <w:color w:val="000000"/>
          <w:sz w:val="20"/>
        </w:rPr>
        <w:t>Item 7. Management’s Discussion and Analysis of Financial Condition and Results of Operations.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Forward-Looking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This annual report on Form 10</w:t>
        <w:noBreakHyphen/>
        <w:t>K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political, economic or industry conditions, the interest rate environment or conditions affecting the financial and capital markets;6</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 economic downturn or recession could impair our portfolio companies’ ability to continue to operate, which could lead to the loss of some or all of our investments in such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such an economic downturn could disproportionately impact the companies that we intend to target for investment, potentially causing us to experience a decrease in investment opportunities and diminished demand for capital from these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contraction of available credit and/or an inability to access the equity markets that could impair our lending and investment activities;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interest rate volatility that could adversely affect our results, particularly to the extent that we use leverage as part of our investment strategy;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impact of interest and inflation rates on our business prospects and the prospects of our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business prospects and the prospects of our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contractual arrangements and relationships with third parties;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our portfolio companies to achieve their objectives;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competition with other entities and our affiliates for investment opportunities;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speculative and illiquid nature of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use of borrowed money to finance a portion of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adequacy of our financing sources and working capital;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loss of key personnel and members of our management team;</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timing of cash flows, if any, from the operations of our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our external investment adviser, Runway Growth Capital LLC, to locate suitable investments for us and to monitor and administer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Runway Growth Capital LLC to attract and retain highly talented professionals;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qualify and maintain our qualification as a RIC under Subchapter M of the Code, and as a BDC;</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occurrence of a disaster, such as a cyber-attack against us or against a third party that has access to our data or networks, a natural catastrophe, an industrial accident, failure of our disaster-recovery systems, or consequential employee error;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effect of legal, tax, and regulatory changes;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other risks, uncertainties and other factors we identify under "Risk Factors" in Part I, Item 1A of this Form 10</w:t>
        <w:noBreakHyphen/>
        <w:t>K and in our other filings with the SEC.</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annual report on Form 10</w:t>
        <w:noBreakHyphen/>
        <w:t>K should not be regarded as a representation by us that our plans and objectives will be achieved. These risks and uncertainties include those described or identified in "Risk Factors" in in Part I, Item 1A of this Form 10</w:t>
        <w:noBreakHyphen/>
        <w:t>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based the forward-looking statements included in this Form 10</w:t>
        <w:noBreakHyphen/>
        <w:t>K on information available to us on the date of this Form 10</w:t>
        <w:noBreakHyphen/>
        <w:t>K,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w:t>
        <w:noBreakHyphen/>
        <w:t>K, quarterly reports on Form 10</w:t>
        <w:noBreakHyphen/>
        <w:t>Q and current reports on Form 8</w:t>
        <w:noBreakHyphen/>
        <w:t>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analysis of our financial condition and results of operations should be read in conjunction with our consolidated financial statements and the related notes thereto contained elsewhere in this annual report on Form 10</w:t>
        <w:noBreakHyphen/>
        <w:t>K.</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Overview</w:t>
      </w:r>
    </w:p>
    <w:p>
      <w:pPr>
        <w:pStyle w:val="TextBody"/>
        <w:bidi w:val="0"/>
        <w:jc w:val="both"/>
        <w:rPr>
          <w:rFonts w:ascii="Times New Roman" w:hAnsi="Times New Roman"/>
          <w:color w:val="000000"/>
          <w:sz w:val="20"/>
        </w:rPr>
      </w:pPr>
      <w:r>
        <w:rPr>
          <w:rFonts w:ascii="Times New Roman" w:hAnsi="Times New Roman"/>
          <w:color w:val="000000"/>
          <w:sz w:val="20"/>
        </w:rPr>
        <w:t>Runway Growth Finance Corp. ("we," "us," "our," or the "Company"), a Maryland corporation formed on August 31, 2015, is structured as an externally managed, non-diversified closed-end management investment company. On August 18, 2021, we changed our name to "Runway Growth Finance Corp." from "Runway Growth Credit Fund Inc." We are a specialty finance company focused on providing senior secured loans to high growth-potential companies in technology, life sciences, healthcare information and services, business services, financial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gains on our warrants and other equity positions. Our offices are in Chicago, Illinois; Menlo Park, California; and New York, New York.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elected to be regulated as a business development company ("BDC") under the Investment Company Act of 1940, as amended (together with the rules and regulations promulgated thereunder, the "1940 Act"). We have also elected to be treated as regulated investment company ("RIC") under Subchapter M of the Internal Revenue Code of 1986, as amended (the "Code"). While we currently qualify, and intend to qualify annually, to be treated as a RIC, no assurance can be provided that we will be able to maintain our tax treatment as a RIC. If we fail to qualify for tax treatment as a RIC for any taxable year, we will be subject to U.S. federal income tax at corporate rates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(the “JOBS Act”). We will remain an emerging growth company until the last day of our fiscal year following the fifth anniversary of our IPO, which closed on October 25, 2021 or until the earliest of (i) the last day of the first fiscal year in which we have total annual gross revenue of $1.235 billion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externally managed by Runway Growth Capital LLC ("RGC"), an investment adviser that has registered with the SEC under the Investment Advisers Act of 1940, as amended. The Administrator, a wholly-owned subsidiary of RGC, provides all the administrative services necessary for us to operate.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10, 2020, we, RGC, and certain other funds and accounts sponsored or managed by RGC and/or its affiliates were granted an order (the “Order”), as amended on August 30, 2022,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our investment objective, positions, policies, strategies and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and is consistent with our investment strategies and policies.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Portfolio Composition and Investment Activity</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Portfolio Composition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 December 31, 2023, we had investments in 52 portfolio companies, representing 22 companies in which we held loan and warrant investments, three companies in which we held loan investments and shares of common stock, preferred stock, or a combination with warrants, four companies in which we held a loan investment only, 16 companies in which we held warrant investments only, and seven companies in which we held shares of common stock, preferred stock, or membership interests only, or a combination with warrants. At December 31, 2022, we had investments in 49 portfolio companies, representing 28 companies in which we held loan and warrant investments, one company in which we held loan investments and shares of common, preferred stock, or a combination with warrants, six companies in which we held a loan investment only, nine companies in which we held warrant investments only, and five companies in which we held shares of common or preferred stock only, or a combination with warrants.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shows the fair value of our investments, by asset class, as of December 31, 2023 and December 31, 2022 (in thousands):</w:t>
      </w:r>
    </w:p>
    <w:tbl>
      <w:tblPr>
        <w:tblW w:w="10205" w:type="dxa"/>
        <w:jc w:val="left"/>
        <w:tblInd w:w="0" w:type="dxa"/>
        <w:tblLayout w:type="fixed"/>
        <w:tblCellMar>
          <w:top w:w="28" w:type="dxa"/>
          <w:left w:w="28" w:type="dxa"/>
          <w:bottom w:w="28" w:type="dxa"/>
          <w:right w:w="28" w:type="dxa"/>
        </w:tblCellMar>
      </w:tblPr>
      <w:tblGrid>
        <w:gridCol w:w="1255"/>
        <w:gridCol w:w="187"/>
        <w:gridCol w:w="196"/>
        <w:gridCol w:w="146"/>
        <w:gridCol w:w="826"/>
        <w:gridCol w:w="146"/>
        <w:gridCol w:w="146"/>
        <w:gridCol w:w="196"/>
        <w:gridCol w:w="146"/>
        <w:gridCol w:w="826"/>
        <w:gridCol w:w="146"/>
        <w:gridCol w:w="146"/>
        <w:gridCol w:w="150"/>
        <w:gridCol w:w="150"/>
        <w:gridCol w:w="620"/>
        <w:gridCol w:w="150"/>
        <w:gridCol w:w="248"/>
        <w:gridCol w:w="146"/>
        <w:gridCol w:w="196"/>
        <w:gridCol w:w="146"/>
        <w:gridCol w:w="826"/>
        <w:gridCol w:w="146"/>
        <w:gridCol w:w="146"/>
        <w:gridCol w:w="196"/>
        <w:gridCol w:w="146"/>
        <w:gridCol w:w="826"/>
        <w:gridCol w:w="146"/>
        <w:gridCol w:w="146"/>
        <w:gridCol w:w="148"/>
        <w:gridCol w:w="148"/>
        <w:gridCol w:w="613"/>
        <w:gridCol w:w="148"/>
        <w:gridCol w:w="402"/>
      </w:tblGrid>
      <w:tr>
        <w:trPr/>
        <w:tc>
          <w:tcPr>
            <w:tcW w:w="125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255"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4238"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9"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r>
      <w:tr>
        <w:trPr/>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Investments</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8" w:type="dxa"/>
            <w:gridSpan w:val="5"/>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c>
          <w:tcPr>
            <w:tcW w:w="146" w:type="dxa"/>
            <w:tcBorders/>
            <w:shd w:fill="FFFFFF" w:val="cle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gridSpan w:val="5"/>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r>
      <w:tr>
        <w:trPr/>
        <w:tc>
          <w:tcPr>
            <w:tcW w:w="1442" w:type="dxa"/>
            <w:gridSpan w:val="2"/>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Investments</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70" w:type="dxa"/>
            <w:gridSpan w:val="2"/>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61" w:type="dxa"/>
            <w:gridSpan w:val="2"/>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ind w:left="0" w:right="0" w:firstLine="100"/>
              <w:jc w:val="left"/>
              <w:rPr/>
            </w:pPr>
            <w:r>
              <w:rPr/>
              <w:t> </w:t>
            </w:r>
          </w:p>
        </w:tc>
      </w:tr>
      <w:tr>
        <w:trPr/>
        <w:tc>
          <w:tcPr>
            <w:tcW w:w="1442" w:type="dxa"/>
            <w:gridSpan w:val="2"/>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Senior Secured Term Loans</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977,947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964,099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90.35</w:t>
            </w:r>
          </w:p>
        </w:tc>
        <w:tc>
          <w:tcPr>
            <w:tcW w:w="150"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1,096,724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1,080,121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95.90</w:t>
            </w:r>
          </w:p>
        </w:tc>
        <w:tc>
          <w:tcPr>
            <w:tcW w:w="14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442" w:type="dxa"/>
            <w:gridSpan w:val="2"/>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Second Lien Term Loans</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5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4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ind w:left="0" w:right="0" w:firstLine="100"/>
              <w:jc w:val="left"/>
              <w:rPr/>
            </w:pPr>
            <w:r>
              <w:rPr/>
              <w:t> </w:t>
            </w:r>
          </w:p>
        </w:tc>
      </w:tr>
      <w:tr>
        <w:trPr/>
        <w:tc>
          <w:tcPr>
            <w:tcW w:w="1442" w:type="dxa"/>
            <w:gridSpan w:val="2"/>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Convertible Note</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0.13</w:t>
            </w:r>
          </w:p>
        </w:tc>
        <w:tc>
          <w:tcPr>
            <w:tcW w:w="150"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color w:val="000000"/>
              </w:rPr>
            </w:pPr>
            <w:r>
              <w:rPr>
                <w:color w:val="000000"/>
              </w:rPr>
              <w:t>—</w:t>
            </w:r>
          </w:p>
        </w:tc>
        <w:tc>
          <w:tcPr>
            <w:tcW w:w="14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ind w:left="0" w:right="0" w:firstLine="100"/>
              <w:jc w:val="left"/>
              <w:rPr/>
            </w:pPr>
            <w:r>
              <w:rPr/>
              <w:t> </w:t>
            </w:r>
          </w:p>
        </w:tc>
      </w:tr>
      <w:tr>
        <w:trPr/>
        <w:tc>
          <w:tcPr>
            <w:tcW w:w="1442" w:type="dxa"/>
            <w:gridSpan w:val="2"/>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Preferred Stocks</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15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4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ind w:left="0" w:right="0" w:firstLine="100"/>
              <w:jc w:val="left"/>
              <w:rPr/>
            </w:pPr>
            <w:r>
              <w:rPr/>
              <w:t> </w:t>
            </w:r>
          </w:p>
        </w:tc>
      </w:tr>
      <w:tr>
        <w:trPr/>
        <w:tc>
          <w:tcPr>
            <w:tcW w:w="1442" w:type="dxa"/>
            <w:gridSpan w:val="2"/>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Common Stocks</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0.13</w:t>
            </w:r>
          </w:p>
        </w:tc>
        <w:tc>
          <w:tcPr>
            <w:tcW w:w="150"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0.27</w:t>
            </w:r>
          </w:p>
        </w:tc>
        <w:tc>
          <w:tcPr>
            <w:tcW w:w="14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ind w:left="0" w:right="0" w:firstLine="100"/>
              <w:jc w:val="left"/>
              <w:rPr/>
            </w:pPr>
            <w:r>
              <w:rPr/>
              <w:t> </w:t>
            </w:r>
          </w:p>
        </w:tc>
      </w:tr>
      <w:tr>
        <w:trPr/>
        <w:tc>
          <w:tcPr>
            <w:tcW w:w="1442" w:type="dxa"/>
            <w:gridSpan w:val="2"/>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Equity Interest</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15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color w:val="000000"/>
              </w:rPr>
            </w:pPr>
            <w:r>
              <w:rPr>
                <w:color w:val="000000"/>
              </w:rPr>
              <w:t>—</w:t>
            </w:r>
          </w:p>
        </w:tc>
        <w:tc>
          <w:tcPr>
            <w:tcW w:w="14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ind w:left="0" w:right="0" w:firstLine="100"/>
              <w:jc w:val="left"/>
              <w:rPr/>
            </w:pPr>
            <w:r>
              <w:rPr/>
              <w:t> </w:t>
            </w:r>
          </w:p>
        </w:tc>
      </w:tr>
      <w:tr>
        <w:trPr/>
        <w:tc>
          <w:tcPr>
            <w:tcW w:w="1442" w:type="dxa"/>
            <w:gridSpan w:val="2"/>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Warrants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42" w:type="dxa"/>
            <w:gridSpan w:val="2"/>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Investments, Excluding U.S. Treasury Bills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1,150,602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55"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770" w:type="dxa"/>
            <w:gridSpan w:val="2"/>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61" w:type="dxa"/>
            <w:gridSpan w:val="2"/>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left"/>
              <w:rPr/>
            </w:pPr>
            <w:r>
              <w:rPr/>
              <w:t> </w:t>
            </w:r>
          </w:p>
        </w:tc>
      </w:tr>
      <w:tr>
        <w:trPr/>
        <w:tc>
          <w:tcPr>
            <w:tcW w:w="1442"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 Treasury Bill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42" w:type="dxa"/>
            <w:gridSpan w:val="2"/>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Portfolio Investments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1,106,849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1,067,009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1,150,602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360" w:after="240"/>
        <w:jc w:val="both"/>
        <w:rPr>
          <w:rFonts w:ascii="Times New Roman" w:hAnsi="Times New Roman"/>
          <w:color w:val="231F20"/>
          <w:sz w:val="20"/>
        </w:rPr>
      </w:pPr>
      <w:r>
        <w:rPr>
          <w:rFonts w:ascii="Times New Roman" w:hAnsi="Times New Roman"/>
          <w:color w:val="231F20"/>
          <w:sz w:val="20"/>
        </w:rPr>
        <w:t>For the years ended December 31, 2023, December 31, 2022, and December 31, 2021, our debt investment portfolio had a dollar-weighted annualized yield of 15.8%, 13.7%, and 13.8%, respectively. We calculate the yield on dollar-weighted debt investments for any period measured as (1) total related investment income during the period divided by (2) the daily average of the fair value of debt investments outstanding during the period, including any debt investments on non-accrual status. As of December 31, 2023, our debt investments had a dollar-weighted average outstanding term of 58 months at origination and a dollar-weighted average remaining term of 39 months, or approximately 3.2 years. As of December 31, 2023, substantially all of our debt investments had an original committed principal amount of between $6.0 million and $85.0 million and pay cash interest at annual interest rates of between 8.0% and 15.6%.</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231F20"/>
          <w:sz w:val="20"/>
        </w:rPr>
      </w:pPr>
      <w:r>
        <w:rPr>
          <w:rFonts w:ascii="Times New Roman" w:hAnsi="Times New Roman"/>
          <w:color w:val="231F20"/>
          <w:sz w:val="20"/>
        </w:rPr>
        <w:t>The following table shows our dollar-weighted annualized yield by investment type for the years ended December 31, 2023, December 31, 2022, and December 31, 2021:</w:t>
      </w:r>
    </w:p>
    <w:tbl>
      <w:tblPr>
        <w:tblW w:w="8521" w:type="dxa"/>
        <w:jc w:val="left"/>
        <w:tblInd w:w="0" w:type="dxa"/>
        <w:tblLayout w:type="fixed"/>
        <w:tblCellMar>
          <w:top w:w="28" w:type="dxa"/>
          <w:left w:w="28" w:type="dxa"/>
          <w:bottom w:w="28" w:type="dxa"/>
          <w:right w:w="28" w:type="dxa"/>
        </w:tblCellMar>
      </w:tblPr>
      <w:tblGrid>
        <w:gridCol w:w="1336"/>
        <w:gridCol w:w="146"/>
        <w:gridCol w:w="146"/>
        <w:gridCol w:w="511"/>
        <w:gridCol w:w="146"/>
        <w:gridCol w:w="241"/>
        <w:gridCol w:w="146"/>
        <w:gridCol w:w="146"/>
        <w:gridCol w:w="511"/>
        <w:gridCol w:w="146"/>
        <w:gridCol w:w="241"/>
        <w:gridCol w:w="146"/>
        <w:gridCol w:w="146"/>
        <w:gridCol w:w="511"/>
        <w:gridCol w:w="146"/>
        <w:gridCol w:w="241"/>
        <w:gridCol w:w="146"/>
        <w:gridCol w:w="146"/>
        <w:gridCol w:w="511"/>
        <w:gridCol w:w="146"/>
        <w:gridCol w:w="241"/>
        <w:gridCol w:w="146"/>
        <w:gridCol w:w="146"/>
        <w:gridCol w:w="511"/>
        <w:gridCol w:w="146"/>
        <w:gridCol w:w="241"/>
        <w:gridCol w:w="146"/>
        <w:gridCol w:w="146"/>
        <w:gridCol w:w="511"/>
        <w:gridCol w:w="146"/>
        <w:gridCol w:w="286"/>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Cost</w:t>
            </w:r>
            <w:r>
              <w:rPr>
                <w:rFonts w:ascii="Times New Roman" w:hAnsi="Times New Roman"/>
                <w:b/>
                <w:color w:val="000000"/>
                <w:sz w:val="11"/>
              </w:rPr>
              <w:t>(2)</w:t>
            </w:r>
          </w:p>
        </w:tc>
      </w:tr>
      <w:tr>
        <w:trPr/>
        <w:tc>
          <w:tcPr>
            <w:tcW w:w="13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shd w:fill="FFFFFF" w:val="clear"/>
            <w:vAlign w:val="center"/>
          </w:tcPr>
          <w:p>
            <w:pPr>
              <w:pStyle w:val="TableContents"/>
              <w:bidi w:val="0"/>
              <w:spacing w:before="0" w:after="283"/>
              <w:jc w:val="left"/>
              <w:rPr/>
            </w:pPr>
            <w:r>
              <w:rPr/>
              <w:t> </w:t>
            </w:r>
          </w:p>
        </w:tc>
        <w:tc>
          <w:tcPr>
            <w:tcW w:w="3469"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13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r>
      <w:tr>
        <w:trPr/>
        <w:tc>
          <w:tcPr>
            <w:tcW w:w="133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type:</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r>
      <w:tr>
        <w:trPr/>
        <w:tc>
          <w:tcPr>
            <w:tcW w:w="13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Debt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15.78</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13.77</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13.49</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13.52</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15.20</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idi w:val="0"/>
        <w:spacing w:before="0" w:after="120"/>
        <w:jc w:val="both"/>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non-accrual status. The dollar-weighted annualized yield represents the portfolio yield and will be higher than what investors will realize because it does not reflect our expenses or any sales load paid by investors.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Investment Activity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For the year ended December 31, 2023, we funded, net of upfront fees at origination, $82.7 million in four new portfolio companies and $117.8 million in 14 existing portfolio companies. We also received $289.0 million in full or partial loan repayments from 12 portfolio companies and $7.3 million in scheduled principal payments from three portfolio companies. We received $44.0 thousand in proceeds from the termination of warrants, sale of preferred stock, and sale of common stock. For the year ended December 31, 2022 we funded, net of upfront fees at origination, $396.5 million in 14 new portfolio companies and $226.2 million in 12 existing portfolio companies. We also received $151.9 million in partial and full loan prepayments from eight portfolio companies and $2.5 million in scheduled principal payments from three portfolio companies. We received $7.2 million in proceeds from the termination of warrants, sale of preferred stock, and sale of common stock.</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Portfolio Reconciliation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is a reconciliation of our investment portfolio, including U.S. Treasury Bills, for the years ended December 31, 2023 and 2022 (dollars in thousands):</w:t>
      </w:r>
    </w:p>
    <w:tbl>
      <w:tblPr>
        <w:tblW w:w="7539" w:type="dxa"/>
        <w:jc w:val="left"/>
        <w:tblInd w:w="0" w:type="dxa"/>
        <w:tblLayout w:type="fixed"/>
        <w:tblCellMar>
          <w:top w:w="28" w:type="dxa"/>
          <w:left w:w="28" w:type="dxa"/>
          <w:bottom w:w="28" w:type="dxa"/>
          <w:right w:w="28" w:type="dxa"/>
        </w:tblCellMar>
      </w:tblPr>
      <w:tblGrid>
        <w:gridCol w:w="2451"/>
        <w:gridCol w:w="2229"/>
        <w:gridCol w:w="196"/>
        <w:gridCol w:w="146"/>
        <w:gridCol w:w="826"/>
        <w:gridCol w:w="166"/>
        <w:gridCol w:w="146"/>
        <w:gridCol w:w="196"/>
        <w:gridCol w:w="146"/>
        <w:gridCol w:w="826"/>
        <w:gridCol w:w="211"/>
      </w:tblGrid>
      <w:tr>
        <w:trPr/>
        <w:tc>
          <w:tcPr>
            <w:tcW w:w="2451"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FFFFFF" w:val="clear"/>
            <w:vAlign w:val="center"/>
          </w:tcPr>
          <w:p>
            <w:pPr>
              <w:pStyle w:val="TableContents"/>
              <w:bidi w:val="0"/>
              <w:spacing w:before="0" w:after="283"/>
              <w:jc w:val="left"/>
              <w:rPr/>
            </w:pPr>
            <w:r>
              <w:rPr/>
              <w:t> </w:t>
            </w:r>
          </w:p>
        </w:tc>
        <w:tc>
          <w:tcPr>
            <w:tcW w:w="2229"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shd w:fill="FFFFFF" w:val="clear"/>
            <w:vAlign w:val="center"/>
          </w:tcPr>
          <w:p>
            <w:pPr>
              <w:pStyle w:val="TableContents"/>
              <w:bidi w:val="0"/>
              <w:spacing w:before="0" w:after="283"/>
              <w:jc w:val="center"/>
              <w:rPr/>
            </w:pPr>
            <w:r>
              <w:rPr/>
              <w:t> </w:t>
            </w:r>
          </w:p>
        </w:tc>
      </w:tr>
      <w:tr>
        <w:trPr/>
        <w:tc>
          <w:tcPr>
            <w:tcW w:w="2451" w:type="dxa"/>
            <w:tcBorders/>
            <w:shd w:fill="FFFFFF" w:val="clear"/>
            <w:vAlign w:val="center"/>
          </w:tcPr>
          <w:p>
            <w:pPr>
              <w:pStyle w:val="TableContents"/>
              <w:bidi w:val="0"/>
              <w:spacing w:before="0" w:after="283"/>
              <w:jc w:val="left"/>
              <w:rPr/>
            </w:pPr>
            <w:r>
              <w:rPr/>
              <w:t> </w:t>
            </w:r>
          </w:p>
        </w:tc>
        <w:tc>
          <w:tcPr>
            <w:tcW w:w="2229" w:type="dxa"/>
            <w:tcBorders/>
            <w:shd w:fill="FFFFFF" w:val="cle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680"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 investment portfolio</w:t>
            </w:r>
          </w:p>
        </w:tc>
        <w:tc>
          <w:tcPr>
            <w:tcW w:w="1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1,126,309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729,516</w:t>
            </w:r>
          </w:p>
        </w:tc>
        <w:tc>
          <w:tcPr>
            <w:tcW w:w="211" w:type="dxa"/>
            <w:tcBorders/>
            <w:shd w:fill="CFF0FC" w:val="clear"/>
            <w:vAlign w:val="center"/>
          </w:tcPr>
          <w:p>
            <w:pPr>
              <w:pStyle w:val="TableContents"/>
              <w:bidi w:val="0"/>
              <w:spacing w:before="0" w:after="283"/>
              <w:jc w:val="left"/>
              <w:rPr/>
            </w:pPr>
            <w:r>
              <w:rPr/>
              <w:t> </w:t>
            </w:r>
          </w:p>
        </w:tc>
      </w:tr>
      <w:tr>
        <w:trPr/>
        <w:tc>
          <w:tcPr>
            <w:tcW w:w="4680"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investments</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200,464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622,719</w:t>
            </w:r>
          </w:p>
        </w:tc>
        <w:tc>
          <w:tcPr>
            <w:tcW w:w="211" w:type="dxa"/>
            <w:tcBorders/>
            <w:shd w:fill="FFFFFF" w:val="clear"/>
            <w:vAlign w:val="center"/>
          </w:tcPr>
          <w:p>
            <w:pPr>
              <w:pStyle w:val="TableContents"/>
              <w:bidi w:val="0"/>
              <w:spacing w:before="0" w:after="283"/>
              <w:jc w:val="left"/>
              <w:rPr/>
            </w:pPr>
            <w:r>
              <w:rPr/>
              <w:t> </w:t>
            </w:r>
          </w:p>
        </w:tc>
      </w:tr>
      <w:tr>
        <w:trPr/>
        <w:tc>
          <w:tcPr>
            <w:tcW w:w="4680"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U.S. Treasury Bills</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680"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PIK interest</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8,655</w:t>
            </w:r>
          </w:p>
        </w:tc>
        <w:tc>
          <w:tcPr>
            <w:tcW w:w="211" w:type="dxa"/>
            <w:tcBorders/>
            <w:shd w:fill="FFFFFF" w:val="clear"/>
            <w:vAlign w:val="center"/>
          </w:tcPr>
          <w:p>
            <w:pPr>
              <w:pStyle w:val="TableContents"/>
              <w:bidi w:val="0"/>
              <w:spacing w:before="0" w:after="283"/>
              <w:jc w:val="left"/>
              <w:rPr/>
            </w:pPr>
            <w:r>
              <w:rPr/>
              <w:t> </w:t>
            </w:r>
          </w:p>
        </w:tc>
      </w:tr>
      <w:tr>
        <w:trPr/>
        <w:tc>
          <w:tcPr>
            <w:tcW w:w="4680"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prepayments of investments</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(289,078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(159,144</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Scheduled repayments of investments</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(9,754</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maturities of U.S. Treasury Bills</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(45,000</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fixed income premiums or accretion of discounts</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6,863</w:t>
            </w:r>
          </w:p>
        </w:tc>
        <w:tc>
          <w:tcPr>
            <w:tcW w:w="211" w:type="dxa"/>
            <w:tcBorders/>
            <w:shd w:fill="FFFFFF" w:val="clear"/>
            <w:vAlign w:val="center"/>
          </w:tcPr>
          <w:p>
            <w:pPr>
              <w:pStyle w:val="TableContents"/>
              <w:bidi w:val="0"/>
              <w:spacing w:before="0" w:after="283"/>
              <w:jc w:val="left"/>
              <w:rPr/>
            </w:pPr>
            <w:r>
              <w:rPr/>
              <w:t> </w:t>
            </w:r>
          </w:p>
        </w:tc>
      </w:tr>
      <w:tr>
        <w:trPr/>
        <w:tc>
          <w:tcPr>
            <w:tcW w:w="4680"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 investment portfolio</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1,126,309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Asset Quality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tbl>
      <w:tblPr>
        <w:tblW w:w="10205" w:type="dxa"/>
        <w:jc w:val="left"/>
        <w:tblInd w:w="0" w:type="dxa"/>
        <w:tblLayout w:type="fixed"/>
        <w:tblCellMar>
          <w:top w:w="28" w:type="dxa"/>
          <w:left w:w="28" w:type="dxa"/>
          <w:bottom w:w="28" w:type="dxa"/>
          <w:right w:w="28" w:type="dxa"/>
        </w:tblCellMar>
      </w:tblPr>
      <w:tblGrid>
        <w:gridCol w:w="928"/>
        <w:gridCol w:w="146"/>
        <w:gridCol w:w="9131"/>
      </w:tblGrid>
      <w:tr>
        <w:trPr/>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31" w:type="dxa"/>
            <w:tcBorders/>
            <w:vAlign w:val="center"/>
          </w:tcPr>
          <w:p>
            <w:pPr>
              <w:pStyle w:val="TableContents"/>
              <w:bidi w:val="0"/>
              <w:spacing w:before="0" w:after="283"/>
              <w:jc w:val="left"/>
              <w:rPr>
                <w:sz w:val="4"/>
                <w:szCs w:val="4"/>
              </w:rPr>
            </w:pPr>
            <w:r>
              <w:rPr>
                <w:sz w:val="4"/>
                <w:szCs w:val="4"/>
              </w:rPr>
            </w:r>
          </w:p>
        </w:tc>
      </w:tr>
      <w:tr>
        <w:trPr/>
        <w:tc>
          <w:tcPr>
            <w:tcW w:w="92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Investment</w:t>
            </w:r>
            <w:r>
              <w:rPr>
                <w:rFonts w:ascii="Times New Roman" w:hAnsi="Times New Roman"/>
                <w:color w:val="000000"/>
                <w:sz w:val="16"/>
              </w:rPr>
              <w:t xml:space="preserve"> </w:t>
              <w:br/>
            </w:r>
            <w:r>
              <w:rPr>
                <w:rFonts w:ascii="Times New Roman" w:hAnsi="Times New Roman"/>
                <w:b/>
                <w:color w:val="000000"/>
                <w:sz w:val="16"/>
              </w:rPr>
              <w:t>Rating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Rating Definition</w:t>
            </w:r>
          </w:p>
        </w:tc>
      </w:tr>
      <w:tr>
        <w:trPr/>
        <w:tc>
          <w:tcPr>
            <w:tcW w:w="928"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CEEFF" w:val="clear"/>
            <w:vAlign w:val="center"/>
          </w:tcPr>
          <w:p>
            <w:pPr>
              <w:pStyle w:val="TableContents"/>
              <w:bidi w:val="0"/>
              <w:spacing w:before="0" w:after="283"/>
              <w:jc w:val="left"/>
              <w:rPr/>
            </w:pPr>
            <w:r>
              <w:rPr/>
              <w:t> </w:t>
            </w:r>
          </w:p>
        </w:tc>
        <w:tc>
          <w:tcPr>
            <w:tcW w:w="913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Performing above plan and/or strong enterprise profile, value, financial performance/coverage. Maintaining full covenant and payment compliance as agreed.</w:t>
            </w:r>
          </w:p>
        </w:tc>
      </w:tr>
      <w:tr>
        <w:trPr/>
        <w:tc>
          <w:tcPr>
            <w:tcW w:w="9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vAlign w:val="center"/>
          </w:tcPr>
          <w:p>
            <w:pPr>
              <w:pStyle w:val="TableContents"/>
              <w:bidi w:val="0"/>
              <w:spacing w:before="0" w:after="283"/>
              <w:jc w:val="left"/>
              <w:rPr/>
            </w:pPr>
            <w:r>
              <w:rPr/>
              <w:t> </w:t>
            </w:r>
          </w:p>
        </w:tc>
        <w:tc>
          <w:tcPr>
            <w:tcW w:w="91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Performing at or reasonably close to plan. Acceptable business prospects, enterprise value, financial coverage. Maintaining key covenant and payment compliance as agreed. Generally, all new loans are initially graded Category 2.</w:t>
            </w:r>
          </w:p>
        </w:tc>
      </w:tr>
      <w:tr>
        <w:trPr/>
        <w:tc>
          <w:tcPr>
            <w:tcW w:w="928"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CEEFF" w:val="clear"/>
            <w:vAlign w:val="center"/>
          </w:tcPr>
          <w:p>
            <w:pPr>
              <w:pStyle w:val="TableContents"/>
              <w:bidi w:val="0"/>
              <w:spacing w:before="0" w:after="283"/>
              <w:jc w:val="left"/>
              <w:rPr/>
            </w:pPr>
            <w:r>
              <w:rPr/>
              <w:t> </w:t>
            </w:r>
          </w:p>
        </w:tc>
        <w:tc>
          <w:tcPr>
            <w:tcW w:w="913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Performing below plan of record. Potential elements of concern over performance, trends and business outlook. Loan-to-value remains adequate. Potential key covenant non-compliance. Full payment compliance.</w:t>
            </w:r>
          </w:p>
        </w:tc>
      </w:tr>
      <w:tr>
        <w:trPr/>
        <w:tc>
          <w:tcPr>
            <w:tcW w:w="9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vAlign w:val="center"/>
          </w:tcPr>
          <w:p>
            <w:pPr>
              <w:pStyle w:val="TableContents"/>
              <w:bidi w:val="0"/>
              <w:spacing w:before="0" w:after="283"/>
              <w:jc w:val="left"/>
              <w:rPr/>
            </w:pPr>
            <w:r>
              <w:rPr/>
              <w:t> </w:t>
            </w:r>
          </w:p>
        </w:tc>
        <w:tc>
          <w:tcPr>
            <w:tcW w:w="91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tc>
      </w:tr>
      <w:tr>
        <w:trPr/>
        <w:tc>
          <w:tcPr>
            <w:tcW w:w="928"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CEEFF" w:val="clear"/>
            <w:vAlign w:val="center"/>
          </w:tcPr>
          <w:p>
            <w:pPr>
              <w:pStyle w:val="TableContents"/>
              <w:bidi w:val="0"/>
              <w:spacing w:before="0" w:after="283"/>
              <w:jc w:val="left"/>
              <w:rPr/>
            </w:pPr>
            <w:r>
              <w:rPr/>
              <w:t> </w:t>
            </w:r>
          </w:p>
        </w:tc>
        <w:tc>
          <w:tcPr>
            <w:tcW w:w="913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Going concern nature in question. Substantial decline in enterprise value and all coverages. Covenant and payment default imminent if not currently present. Investments are nearly always in workout. May experience partial and/or full loss.</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shows the investment ratings of our debt investments at fair value as of December 31, 2023 and December 31, 2022 (dollars in thousands):</w:t>
      </w:r>
    </w:p>
    <w:tbl>
      <w:tblPr>
        <w:tblW w:w="10205" w:type="dxa"/>
        <w:jc w:val="left"/>
        <w:tblInd w:w="0" w:type="dxa"/>
        <w:tblLayout w:type="fixed"/>
        <w:tblCellMar>
          <w:top w:w="28" w:type="dxa"/>
          <w:left w:w="28" w:type="dxa"/>
          <w:bottom w:w="28" w:type="dxa"/>
          <w:right w:w="28" w:type="dxa"/>
        </w:tblCellMar>
      </w:tblPr>
      <w:tblGrid>
        <w:gridCol w:w="1076"/>
        <w:gridCol w:w="196"/>
        <w:gridCol w:w="146"/>
        <w:gridCol w:w="691"/>
        <w:gridCol w:w="146"/>
        <w:gridCol w:w="146"/>
        <w:gridCol w:w="146"/>
        <w:gridCol w:w="169"/>
        <w:gridCol w:w="592"/>
        <w:gridCol w:w="169"/>
        <w:gridCol w:w="279"/>
        <w:gridCol w:w="146"/>
        <w:gridCol w:w="401"/>
        <w:gridCol w:w="953"/>
        <w:gridCol w:w="146"/>
        <w:gridCol w:w="146"/>
        <w:gridCol w:w="146"/>
        <w:gridCol w:w="196"/>
        <w:gridCol w:w="146"/>
        <w:gridCol w:w="826"/>
        <w:gridCol w:w="146"/>
        <w:gridCol w:w="146"/>
        <w:gridCol w:w="146"/>
        <w:gridCol w:w="169"/>
        <w:gridCol w:w="592"/>
        <w:gridCol w:w="169"/>
        <w:gridCol w:w="279"/>
        <w:gridCol w:w="146"/>
        <w:gridCol w:w="401"/>
        <w:gridCol w:w="953"/>
        <w:gridCol w:w="196"/>
      </w:tblGrid>
      <w:tr>
        <w:trPr/>
        <w:tc>
          <w:tcPr>
            <w:tcW w:w="10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76" w:type="dxa"/>
            <w:tcBorders/>
            <w:shd w:fill="FFFFFF" w:val="clear"/>
            <w:vAlign w:val="center"/>
          </w:tcPr>
          <w:p>
            <w:pPr>
              <w:pStyle w:val="TableContents"/>
              <w:bidi w:val="0"/>
              <w:spacing w:before="0" w:after="283"/>
              <w:jc w:val="left"/>
              <w:rPr/>
            </w:pPr>
            <w:r>
              <w:rPr/>
              <w:t> </w:t>
            </w:r>
          </w:p>
        </w:tc>
        <w:tc>
          <w:tcPr>
            <w:tcW w:w="4180"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15"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Rating</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9" w:type="dxa"/>
            <w:gridSpan w:val="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c>
          <w:tcPr>
            <w:tcW w:w="146" w:type="dxa"/>
            <w:tcBorders/>
            <w:shd w:fill="FFFFFF" w:val="clear"/>
            <w:vAlign w:val="center"/>
          </w:tcPr>
          <w:p>
            <w:pPr>
              <w:pStyle w:val="TableContents"/>
              <w:bidi w:val="0"/>
              <w:spacing w:before="0" w:after="283"/>
              <w:jc w:val="lef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Portfolio Companies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9" w:type="dxa"/>
            <w:gridSpan w:val="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c>
          <w:tcPr>
            <w:tcW w:w="146" w:type="dxa"/>
            <w:tcBorders/>
            <w:shd w:fill="FFFFFF" w:val="clear"/>
            <w:vAlign w:val="center"/>
          </w:tcPr>
          <w:p>
            <w:pPr>
              <w:pStyle w:val="TableContents"/>
              <w:bidi w:val="0"/>
              <w:spacing w:before="0" w:after="283"/>
              <w:jc w:val="lef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Portfolio Companies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9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9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107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612,709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57.41</w:t>
            </w:r>
          </w:p>
        </w:tc>
        <w:tc>
          <w:tcPr>
            <w:tcW w:w="169"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1,006,247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89.34</w:t>
            </w:r>
          </w:p>
        </w:tc>
        <w:tc>
          <w:tcPr>
            <w:tcW w:w="169"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96" w:type="dxa"/>
            <w:tcBorders/>
            <w:shd w:fill="FFFFFF" w:val="clear"/>
            <w:vAlign w:val="center"/>
          </w:tcPr>
          <w:p>
            <w:pPr>
              <w:pStyle w:val="TableContents"/>
              <w:bidi w:val="0"/>
              <w:spacing w:before="0" w:after="283"/>
              <w:jc w:val="left"/>
              <w:rPr/>
            </w:pPr>
            <w:r>
              <w:rPr/>
              <w:t> </w:t>
            </w:r>
          </w:p>
        </w:tc>
      </w:tr>
      <w:tr>
        <w:trPr/>
        <w:tc>
          <w:tcPr>
            <w:tcW w:w="107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361,998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33.93</w:t>
            </w:r>
          </w:p>
        </w:tc>
        <w:tc>
          <w:tcPr>
            <w:tcW w:w="169"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w:t>
            </w:r>
          </w:p>
        </w:tc>
        <w:tc>
          <w:tcPr>
            <w:tcW w:w="169"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left"/>
              <w:rPr/>
            </w:pPr>
            <w:r>
              <w:rPr/>
              <w:t> </w:t>
            </w:r>
          </w:p>
        </w:tc>
        <w:tc>
          <w:tcPr>
            <w:tcW w:w="9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96" w:type="dxa"/>
            <w:tcBorders/>
            <w:shd w:fill="CFF0FC" w:val="clear"/>
            <w:vAlign w:val="center"/>
          </w:tcPr>
          <w:p>
            <w:pPr>
              <w:pStyle w:val="TableContents"/>
              <w:bidi w:val="0"/>
              <w:spacing w:before="0" w:after="283"/>
              <w:jc w:val="left"/>
              <w:rPr/>
            </w:pPr>
            <w:r>
              <w:rPr/>
              <w:t> </w:t>
            </w:r>
          </w:p>
        </w:tc>
      </w:tr>
      <w:tr>
        <w:trPr/>
        <w:tc>
          <w:tcPr>
            <w:tcW w:w="107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0.36</w:t>
            </w:r>
          </w:p>
        </w:tc>
        <w:tc>
          <w:tcPr>
            <w:tcW w:w="169"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9"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107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0.82</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7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91.70</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1,093,775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97.11</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Loans and Debt Securities on Non-Accrual Status</w:t>
      </w:r>
    </w:p>
    <w:p>
      <w:pPr>
        <w:pStyle w:val="TextBody"/>
        <w:bidi w:val="0"/>
        <w:jc w:val="both"/>
        <w:rPr>
          <w:rFonts w:ascii="Times New Roman" w:hAnsi="Times New Roman"/>
          <w:color w:val="000000"/>
          <w:sz w:val="20"/>
        </w:rPr>
      </w:pPr>
      <w:r>
        <w:rPr>
          <w:rFonts w:ascii="Times New Roman" w:hAnsi="Times New Roman"/>
          <w:color w:val="000000"/>
          <w:sz w:val="20"/>
        </w:rPr>
        <w:t>Generally, when interest and/or principal payments on a loan become past due, or if we otherwise do not expect the borrower to be able to service its debt and other obligations, we will place the loan on non-accrual status and will cease recognizing interest income on that loan for financial reporting purposes until all principal and interest have been brought current through payment or due to a restructuring such that the interest income is deemed to be collectible. As of December 31, 2023, we had no loans on non-accrual status. As of December 31, 2022, we had one loan to Pivot3, Inc. on non-accrual status. The loan, with a cost basis of $19.2 million and a fair market value of $9.3 million represents 0.8% of the total investment portfolio. From being placed on non-accrual status through December 31, 2022, cumulative interest of $3.6 million would be payable and $0.3 million OID would be accreted into the cost basis, for a total of $3.9 million not recorded in Interest income from control investments on the Consolidated Statements of Operations. As of December 31, 2022, we have not written off any accrued and uncollected PIK interest.</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 important measure of our financial performance is net increase/(decrease) in net assets resulting from operations, which includes net investment income/(loss), net realized gain/(loss) and net change in unrealized gain (loss). Net investment income/(loss) is the difference between our income from interest, dividends, fees and other investment income and our operating expenses, including interest on borrowed funds. Net realized gain/(loss) on investments is the difference between the proceeds received from dispositions of portfolio investments and their amortized cost. Net change in unrealized gain (loss) on investments is the net change in the fair value of our investment portfolio.</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jc w:val="left"/>
        <w:rPr>
          <w:rFonts w:ascii="Times New Roman" w:hAnsi="Times New Roman"/>
          <w:sz w:val="20"/>
        </w:rPr>
      </w:pPr>
      <w:r>
        <w:rPr>
          <w:rFonts w:ascii="Times New Roman" w:hAnsi="Times New Roman"/>
          <w:b/>
          <w:i/>
          <w:color w:val="000000"/>
          <w:sz w:val="20"/>
        </w:rPr>
        <w:t>Comparison of the Years Ended December 31, 2023, 2022 and 2021</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is a comparison of the results of our operations for the years ended December 31, 2023, 2022, and 2021 (dollars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9"/>
        <w:gridCol w:w="246"/>
        <w:gridCol w:w="246"/>
        <w:gridCol w:w="146"/>
        <w:gridCol w:w="691"/>
        <w:gridCol w:w="166"/>
        <w:gridCol w:w="146"/>
        <w:gridCol w:w="206"/>
        <w:gridCol w:w="153"/>
        <w:gridCol w:w="506"/>
        <w:gridCol w:w="166"/>
        <w:gridCol w:w="146"/>
        <w:gridCol w:w="196"/>
        <w:gridCol w:w="146"/>
        <w:gridCol w:w="691"/>
        <w:gridCol w:w="166"/>
        <w:gridCol w:w="146"/>
        <w:gridCol w:w="206"/>
        <w:gridCol w:w="153"/>
        <w:gridCol w:w="506"/>
        <w:gridCol w:w="166"/>
        <w:gridCol w:w="146"/>
        <w:gridCol w:w="196"/>
        <w:gridCol w:w="146"/>
        <w:gridCol w:w="601"/>
        <w:gridCol w:w="166"/>
        <w:gridCol w:w="146"/>
        <w:gridCol w:w="206"/>
        <w:gridCol w:w="153"/>
        <w:gridCol w:w="506"/>
        <w:gridCol w:w="296"/>
      </w:tblGrid>
      <w:tr>
        <w:trPr/>
        <w:tc>
          <w:tcPr>
            <w:tcW w:w="24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449"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c>
          <w:tcPr>
            <w:tcW w:w="7214" w:type="dxa"/>
            <w:gridSpan w:val="2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96" w:type="dxa"/>
            <w:tcBorders/>
            <w:shd w:fill="FFFFFF" w:val="clear"/>
            <w:vAlign w:val="center"/>
          </w:tcPr>
          <w:p>
            <w:pPr>
              <w:pStyle w:val="TableContents"/>
              <w:bidi w:val="0"/>
              <w:spacing w:before="0" w:after="283"/>
              <w:jc w:val="center"/>
              <w:rPr/>
            </w:pPr>
            <w:r>
              <w:rPr/>
              <w:t> </w:t>
            </w:r>
          </w:p>
        </w:tc>
      </w:tr>
      <w:tr>
        <w:trPr/>
        <w:tc>
          <w:tcPr>
            <w:tcW w:w="2449"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26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9"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5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5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59" w:type="dxa"/>
            <w:gridSpan w:val="2"/>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244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Interest, fee and dividend income</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163,721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3"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3"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3"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244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Other income</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investment income</w:t>
            </w:r>
          </w:p>
        </w:tc>
        <w:tc>
          <w:tcPr>
            <w:tcW w:w="2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5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5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59" w:type="dxa"/>
            <w:gridSpan w:val="2"/>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244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Management fees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0.26</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244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Incentive fees</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0.27</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244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Interest and other debt financing expenses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0.12</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244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Professional fees</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244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Administration agreement expenses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244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Insurance expense</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296" w:type="dxa"/>
            <w:tcBorders/>
            <w:shd w:fill="FFFFFF" w:val="clear"/>
            <w:vAlign w:val="center"/>
          </w:tcPr>
          <w:p>
            <w:pPr>
              <w:pStyle w:val="TableContents"/>
              <w:bidi w:val="0"/>
              <w:spacing w:before="0" w:after="283"/>
              <w:ind w:left="0" w:right="0" w:firstLine="100"/>
              <w:jc w:val="left"/>
              <w:rPr/>
            </w:pPr>
            <w:r>
              <w:rPr/>
              <w:t> </w:t>
            </w:r>
          </w:p>
        </w:tc>
      </w:tr>
      <w:tr>
        <w:trPr/>
        <w:tc>
          <w:tcPr>
            <w:tcW w:w="244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Tax expense</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color w:val="000000"/>
              </w:rPr>
            </w:pPr>
            <w:r>
              <w:rPr>
                <w:color w:val="000000"/>
              </w:rPr>
              <w:t>—</w:t>
            </w:r>
          </w:p>
        </w:tc>
        <w:tc>
          <w:tcPr>
            <w:tcW w:w="296" w:type="dxa"/>
            <w:tcBorders/>
            <w:shd w:fill="CFF0FC" w:val="clear"/>
            <w:vAlign w:val="center"/>
          </w:tcPr>
          <w:p>
            <w:pPr>
              <w:pStyle w:val="TableContents"/>
              <w:bidi w:val="0"/>
              <w:spacing w:before="0" w:after="283"/>
              <w:ind w:left="0" w:right="0" w:firstLine="100"/>
              <w:jc w:val="left"/>
              <w:rPr/>
            </w:pPr>
            <w:r>
              <w:rPr/>
              <w:t> </w:t>
            </w:r>
          </w:p>
        </w:tc>
      </w:tr>
      <w:tr>
        <w:trPr/>
        <w:tc>
          <w:tcPr>
            <w:tcW w:w="244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Other expenses</w:t>
            </w:r>
          </w:p>
        </w:tc>
        <w:tc>
          <w:tcPr>
            <w:tcW w:w="2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operating expenses</w:t>
            </w:r>
          </w:p>
        </w:tc>
        <w:tc>
          <w:tcPr>
            <w:tcW w:w="2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0.78</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2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gain (loss) on investments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0.12</w:t>
            </w:r>
          </w:p>
        </w:tc>
        <w:tc>
          <w:tcPr>
            <w:tcW w:w="296" w:type="dxa"/>
            <w:tcBorders/>
            <w:shd w:fill="CFF0FC" w:val="clear"/>
            <w:vAlign w:val="center"/>
          </w:tcPr>
          <w:p>
            <w:pPr>
              <w:pStyle w:val="TableContents"/>
              <w:bidi w:val="0"/>
              <w:spacing w:before="0" w:after="283"/>
              <w:jc w:val="left"/>
              <w:rPr/>
            </w:pPr>
            <w:r>
              <w:rPr/>
              <w:t> </w:t>
            </w:r>
          </w:p>
        </w:tc>
      </w:tr>
      <w:tr>
        <w:trPr/>
        <w:tc>
          <w:tcPr>
            <w:tcW w:w="244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change in unrealized gain (loss) on investments</w:t>
            </w:r>
          </w:p>
        </w:tc>
        <w:tc>
          <w:tcPr>
            <w:tcW w:w="2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4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2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basic per share figures noted above are based on weighted averages of 40,509,269, 40,971,242, and 34,183,358 shares outstanding for the years ended December 31, 2023, 2022, and 2021, respectively.</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Investment Income</w:t>
      </w:r>
    </w:p>
    <w:p>
      <w:pPr>
        <w:pStyle w:val="TextBody"/>
        <w:bidi w:val="0"/>
        <w:jc w:val="both"/>
        <w:rPr>
          <w:rFonts w:ascii="Times New Roman" w:hAnsi="Times New Roman"/>
          <w:color w:val="000000"/>
          <w:sz w:val="20"/>
        </w:rPr>
      </w:pPr>
      <w:r>
        <w:rPr>
          <w:rFonts w:ascii="Times New Roman" w:hAnsi="Times New Roman"/>
          <w:color w:val="000000"/>
          <w:sz w:val="20"/>
        </w:rPr>
        <w:t>Our investment objective is to maximize total return to our stockholders primarily through current income on our loan portfolio, and secondarily through capital gain on our warrants and other equity positions. We intend to achieve our investment objective by investing in high growth-potential, private companies. We typically invest in senior secured loans that generally fall into two strategies: Sponsored Growth Lending and Non-Sponsored Growth Lending. We generally receive warrants and/or other equity from our investments. We expect our investments in loans will generally range from between $10.0 million to $100.0 million, and the upper end of this range may increase as we raise additional capital.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monthly, primarily based on a floating rate index, and subject to certain floors determined by market rates at the time the investment is made. In some cases, some of our investments may provide for deferred interest payments or PIK interest. The principal amount of the debt securities and any accrued but unpaid interest will become due at the maturity date. Any original issue discount ("OID") or market discount or premium will be capitalized, and we will accrete or amortize such amounts as interest income. We record prepayment fees on debt investments as fee income. Dividend income, if any, will be recognized on an accrual basis to the extent that we expect to collect such amounts.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Investment income for the year ended December 31, 2023, 2022 and 2021 was $164.2 million, $107.8 million, and $71.1 million, respectively, and includes non-recurring income of $11.4 million, $3.5 million, and $9.2 million, respectively. Non-recurring income includes, but is not limited to, acceleration of unaccreted OID, prepayment fees, and amendment fees. The increase in investment income for the years ended December 31, 2023 compared to the years ended December 31, 2022 and December 31, 2021 was primarily due to increased interest income driven by our deployment of capital and increased market interest rates.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our pro-rata portion of fees and expenses related to an initial public offering in connection with a Spin-Off transaction, meaning either a transaction whereby (a) we offer our stockholders the option to elect to either (i) retain their ownership of shares of our common stock, or (ii) exchange their shares of our common stock for shares of common stock in a newly formed entity that will elect to be regulated as a BDC under the 1940 Act and treated as a RIC under Subchapter M of the Code; or (b) we complete a listing of our securities on any securities exchange;</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fees and expenses related to public and private offerings, sales and repurchases of our securities;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calculating our net asset value (including the cost and expenses of any independent valuation firm);</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interest payable on debt incurred to finance our investments;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sales and purchases of our common stock and other securities;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investment advisory and management fees;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administration fees payable under the Administration Agreement;</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transfer agent and custodial fees;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federal and state registration fees;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all costs of registration and listing our securities on any securities exchange;</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U.S. federal, state and local taxes;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independent directors’ fees and expenses;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costs of preparing and filing reports or other documents required by the SEC, the Financial Industry Regulatory Authority or other regulators;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costs of any reports, proxy statements or other notices to stockholders, including printing costs;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our allocable portion of any fidelity bond, directors’ and officers’ errors and omissions liability insurance, and any other insurance premiums;</w:t>
      </w:r>
    </w:p>
    <w:p>
      <w:pPr>
        <w:pStyle w:val="TextBody"/>
        <w:bidi w:val="0"/>
        <w:spacing w:before="0" w:after="100"/>
        <w:jc w:val="both"/>
        <w:rPr>
          <w:color w:val="000000"/>
        </w:rPr>
      </w:pPr>
      <w:r>
        <w:rPr>
          <w:color w:val="000000"/>
        </w:rPr>
        <w:t>•</w:t>
      </w:r>
    </w:p>
    <w:p>
      <w:pPr>
        <w:pStyle w:val="TextBody"/>
        <w:bidi w:val="0"/>
        <w:spacing w:before="0" w:after="100"/>
        <w:jc w:val="both"/>
        <w:rPr>
          <w:rFonts w:ascii="Times New Roman" w:hAnsi="Times New Roman"/>
          <w:color w:val="000000"/>
          <w:sz w:val="20"/>
        </w:rPr>
      </w:pPr>
      <w:r>
        <w:rPr>
          <w:rFonts w:ascii="Times New Roman" w:hAnsi="Times New Roman"/>
          <w:color w:val="000000"/>
          <w:sz w:val="20"/>
        </w:rPr>
        <w:t>direct costs and expenses of administration, including printing, mailing, long distance telephone, copying, secretarial and other staff, independent auditors and outside legal costs; and</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Operating expenses for the years ended December 31, 2023, 2022 and 2021 were $85.9 million, $48.0 million, and $26.6 million, respectively. Operating expenses increased for the year ended December 31, 2023 from the years ended December 31, 2022 and 2021 primarily due to increased interest and other debt financing expenses, as well as increased management and incentive fees. Operating expenses per share for the years ended December 31, 2023, 2022 and 2021 were $2.12 per share, $1.17 per share and $0.78 per share, respectively.</w:t>
      </w:r>
    </w:p>
    <w:p>
      <w:pPr>
        <w:pStyle w:val="TextBody"/>
        <w:bidi w:val="0"/>
        <w:jc w:val="both"/>
        <w:rPr>
          <w:rFonts w:ascii="Times New Roman" w:hAnsi="Times New Roman"/>
          <w:color w:val="000000"/>
          <w:sz w:val="20"/>
        </w:rPr>
      </w:pPr>
      <w:r>
        <w:rPr>
          <w:rFonts w:ascii="Times New Roman" w:hAnsi="Times New Roman"/>
          <w:color w:val="000000"/>
          <w:sz w:val="20"/>
        </w:rPr>
        <w:t>Management fees for the years ended December 31, 2023, 2022, and 2021 were $16.7 million, $11.9 million, and $9.0 million, respectively. Management fees increased for the year ended December 31, 2023 as compared to the years ended December 31, 2022 and 2021 due to an increase in gross assets, offset by a decrease in the base management rate from 1.6% per annum for 2021 and 2022 to 1.5% per annum in 2023.</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Incentive fees for the years ended December 31, 2023, 2022, and 2021 were $19.0 million, $13.2 million and $9.2 million, respectively. Incentive fees increased for the years ended December 31, 2023 from the years ended December 31, 2022 and 2021 primarily due to an increase in net investment income. For the year ended December 31, 2023, $14.1 million of the incentive fees were earned and payable in cash, and $4.9 million were deferred and accrued. For the year ended December 31, 2022, $11.0 million of the incentive fees were earned and payable in cash, and $2.2 million were deferred and accrued. For the year ended December 31, 2021, $7.4 million of the incentive fees were earned and payable in cash, and $1.8 million were deferred and accrued. Incentive fees related to paid-in-kind or deferred interest are accrued and payment is deferred until such interest is collected in cash. Incentive fees per share for the years ended December 31, 2023, 2022, and 2021 were $0.47 per share, $0.32 per share, and $0.27 per share, respectively. </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Net Investment Income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Net investment income for the years ended December 31, 2023, 2022 and 2021 was $78.3 million, $59.8 million, and $44.5 million, respectively. Net investment income increased for the year ended December 31, 2023 from the year ended December 31, 2022 and 2021 primarily due to increased interest and fee income earned on our portfolio investments, partially offset by increased interest and other debt financing expenses, management fees, and incentive fees.Net investment income per share for the years ended December 31, 2023, 2022 and 2021 was $1.93 per share, $1.46 per share and $1.30 per share, respectively.</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Net Realized Gain (Loss) on Investment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net realized loss on investments of $18.4 million for the year ended December 31, 2023 was attributable to losses in our loan to Pivot3,Inc. that was previously on non-accrual status, as well as our warrant investments in CareCloud, Inc. and Gynesonics, Inc. The net realized loss on investments of $1.1 million for the year ended December 31, 2022 was primarily due to losses on our warrants in Aspen Group, Inc. and CareCloud, Inc. and a loss in our Pivot3 Holdings, Inc. preferred stock, offset by gains on the sale of Brilliant Earth Group, Inc. common stock. The net realized gain on investments of $4.2 million for the year ended December 31, 2021 was primarily attributable to the gains on the sale of common stock in Porch Group, Inc. and Ouster, Inc., partially offset by a realized loss on our preferred stock in CareCloud, Inc. </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Net Change in Unrealized Gain (Loss) on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Net change in unrealized loss on investments of $15.5 million for the year ended December 31, 2023 was primarily attributable to decreases in the fair value of CareCloud, Inc. and Gynesonics Inc. preferred stock, a decrease in the fair value of FiscalNote, Inc. common stock, decreases in the fair value of Aria Systems, Inc., INRIX, Inc., and ShareThis, Inc. warrants, and decreases in the fair value of our senior secured term loans to Gynesonics, Inc., FiscalNote, Inc., and Snagajob.com Inc., offset by an increase in fair value of Route 92 Medical, Inc. senior secured term loan and a release in prior unrealized loss in our loan to Pivot 3, Inc. Net change in unrealized loss on investments of $26.5 million for the year ended December 31, 2022 was primarily due to decreases in the fair value of a senior secured loan to Pivot3, Inc., and decreases in the fair value of our common stock in Brilliant Earth Group, Inc. and Quantum Corporation. Net change in unrealized loss on investments of  $3.0 million for the year ended December 31, 2021 was primarily due to decreases in the fair value of senior secured loans to Pivot3, Inc. and Aginity Inc., and our warrants for common stock in CareCloud, Inc. This decrease was offset by the increase in the fair value of our senior secured loans to Mojix, Inc. and our units of Brilliant Earth LLC. </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Net Increase in Net Assets Resulting from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had a net increase in net assets resulting from operations of $44.3 million for the year ended December 31, 2023, as compared to a net increase in net assets resulting from operations of $32.3 million and $45.6 million for the years ended December 31, 2022 and December 31, 2021, respectively. The net increase in net assets resulting from operations for the year ended December 31, 2023 from the year ended December 31, 2022 is attributable to an increase in net investment income and a decrease in net change in unrealized losses, offset by an increase in net realized losses on investments. The net decrease in net assets resulting from operations for the years ended December 31, 2022 from the year ended December 31, 2021 was primarily attributable a net change in unrealized loss on investments compared to a gain in the prior year, as well as an increase in operating expenses, particularly increases in interest expense and debt financing fees due to an increase in borrowings. The decrease is partially offset by an increase in investment income.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Financial Condition, Liquidity and Capital Resources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liquidity and capital resources are derived from net proceeds from the offering of our securities, debt borrowings and cash flows from operations, including investment sales and repayments, and income earned. We have used, and expect to continue to use, our debt and the proceeds from the turnover of our portfolio and from public and private offerings of securities to finance our investment objectives. We expect that we may also generate cash from any financing arrangements we may enter into in the future and any future offerings of our equity or debt securities. Financing arrangements may come in the form of borrowings from banks or issuances of senior securities, which may be secured or unsecured, through registered offerings or private placements. Our primary use of funds is to make investments in eligible portfolio companies, pay our operating expenses and make distributions to holders of our common stock.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During the year ended December 31, 2023, we principally funded our operations from (i) cash receipts from interest, dividend, and fee income from our investment portfolio and (ii) cash proceeds from the realization of portfolio investments through the repayments of debt investments and the sale of debt and equity investments.</w:t>
      </w:r>
    </w:p>
    <w:p>
      <w:pPr>
        <w:pStyle w:val="TextBody"/>
        <w:bidi w:val="0"/>
        <w:jc w:val="both"/>
        <w:rPr>
          <w:rFonts w:ascii="Times New Roman" w:hAnsi="Times New Roman"/>
          <w:color w:val="000000"/>
          <w:sz w:val="20"/>
        </w:rPr>
      </w:pPr>
      <w:r>
        <w:rPr>
          <w:rFonts w:ascii="Times New Roman" w:hAnsi="Times New Roman"/>
          <w:color w:val="000000"/>
          <w:sz w:val="20"/>
        </w:rPr>
        <w:t>During the year ended December 31, 2023, we principally funded our operations from (i) cash receipts from interest, dividend, and fee income from our investment portfolio and (ii) cash proceeds from the realization of portfolio investments through the repayments of debt investments and the sale of debt and equity investments.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year ended December 31, 2023, our operating activities provided $112.4 million of cash and cash equivalents, compared to $359.8 million and $61.2 million used in operating activities during the years ended December 31, 2022 and 2021, respectively. The $472.3 million increase in cash provided by operating activities from December 31, 2022 to December 31, 2023 was primarily due to a $345.3 million decrease in purchases of investments and U.S. Treasury Bills and a $117.5 million increase in sales and repayments of investments and U.S. Treasury Bills.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year ended December 31, 2023, our financing activities used $115.2 million of cash, compared to $360.9 million and $51.1 million provided by financing activities during the years ended December 31, 2022 and December 31, 2021, respectively. The $476.1 million decrease in cash flows provided by financing activities was primarily due to decreased net borrowing activity of $518.3 million, offset by decreased cash used in reverse repurchase agreements of $44.8 million and increased dividend distributions of $10.9 million. The $309.9 million increase in cash flows provided by financing activities was primarily due to increased net borrowing activity of $496.3 million, offset by decreased cash provided by reverse repurchase agreements of $149.2 million. The $298.6 million increase in cash used in operating activities from December 31, 2021 to December 31, 2022 was primarily due to a decrease of $324.7 million in sales, repayments, and maturities of investments and US Treasury bills, offset by an increase in purchases of investments and US Treasury bills of $11.7 million. </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Available Liquidity and Capital Resources</w:t>
      </w:r>
    </w:p>
    <w:p>
      <w:pPr>
        <w:pStyle w:val="TextBody"/>
        <w:bidi w:val="0"/>
        <w:jc w:val="both"/>
        <w:rPr>
          <w:rFonts w:ascii="Times New Roman" w:hAnsi="Times New Roman"/>
          <w:color w:val="000000"/>
          <w:sz w:val="20"/>
        </w:rPr>
      </w:pPr>
      <w:r>
        <w:rPr>
          <w:rFonts w:ascii="Times New Roman" w:hAnsi="Times New Roman"/>
          <w:color w:val="000000"/>
          <w:sz w:val="20"/>
        </w:rPr>
        <w:t>As of December 31, 2023, we had $281.0 million in available liquidity, including $3.0 million in cash and cash equivalents, and approximately $278.0 million available under our Credit Facility, subject to borrowing base capacity. As of December 31, 2023, we had $272.0 million of secured debt outstanding under our Credit Facility, which are floating interest rate obligations and $247.3 million of unsecured debt outstanding under 2026 and 2027 Notes, which are all fixed interest rate debt obligations. Refer to "Note 7 – Borrowings" to our consolidated financial statements in Part I, Item 8 of this Form 10-K for additional discussion of our debt obligations.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1940 Act, we are permitted to incur borrowings, issue debt securities, or issue preferred stock unless, immediately after the borrowings or issuance, the ratio of total assets (less total liabilities other than indebtedness) to total indebtedness plus preferred stock is at least 150% (at least 200% prior to June 17, 2022). As of December 31, 2023 and December 31, 2022, our asset coverage ratio was 205% and 203%,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detailed above, our diverse and well-structured balance sheet is designed to provide a long-term focused and sustainable investment platform. Currently, we believe we have sufficient liquidity to support our near-term capital requirements.</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Commitments and Obligations</w:t>
      </w:r>
    </w:p>
    <w:p>
      <w:pPr>
        <w:pStyle w:val="TextBody"/>
        <w:bidi w:val="0"/>
        <w:jc w:val="both"/>
        <w:rPr>
          <w:rFonts w:ascii="Times New Roman" w:hAnsi="Times New Roman"/>
          <w:color w:val="000000"/>
          <w:sz w:val="20"/>
        </w:rPr>
      </w:pPr>
      <w:r>
        <w:rPr>
          <w:rFonts w:ascii="Times New Roman" w:hAnsi="Times New Roman"/>
          <w:color w:val="000000"/>
          <w:sz w:val="20"/>
        </w:rPr>
        <w:t xml:space="preserve">Our significant contractual payment obligations relate to our borrowings and deferred incentive fees. As of December 31, 2023, we had $519.3 million of debt outstanding, none of which was due within the next year, $367.0 million within 1 to 3 years, and $152.3 million beyond 3 years. As of December 31, 2023, we had $9.2 million of deferred incentive fees, $2.6 million of which was due within the next year, $3.9 million within 1 to 3 years, and $2.7 million beyond 3 years.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our on-balance sheet contractual obligations, in the normal course of business, we have future cash requirements related to our financial instruments with off-balance sheet risk. These consist of unfunded loan commitments to extend credit, in the form of loans, to our portfolio companies. Unfunded loan commitments to provide funds to portfolio companies are not reflected on our balance sheet.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unfunded loan commitments may be significant from time to time. As of December 31, 2023, we had $201.5 million in unfunded loan commitments to provide debt financing to its portfolio companies. Unfunded contractual commitments depend upon a portfolio company reaching certain milestones before the debt commitment is available to the portfolio company, which is expected to affect our funding levels. These commitments are subject to the same underwriting and ongoing portfolio maintenance as the on-balance sheet financial instruments that we hold. From time to time, unfunded contractual commitments may expire without being drawn and thus do not represent future cash requirements. We maintain sufficient liquidity (through cash on hand and available borrowings under the Credit Facility) to fund such unfunded loan commitments should the need arise. As of December 31, 2023, we had approximately $42.0 million of available unfunded commitments eligible to be drawn based on achieved milestones. Refer to “Note 8 – Commitments and Contingencies” of our consolidated financial statements in Part I, Item 1 of this Form 10-Q for a summary of unfunded loan commitments by portfolio company as of December 31, 2023.</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fair value of our unfunded commitments is considered to be immaterial as the yield determined at the time of underwriting is expected to be materially consistent with the yield upon funding, given that interest rates are generally pegged to market indices and given the existence of milestones, conditions and/or obligations embedded in the borrowing agreements</w:t>
      </w:r>
      <w:r>
        <w:rPr>
          <w:rFonts w:ascii="Times New Roman" w:hAnsi="Times New Roman"/>
          <w:i/>
          <w:color w:val="000000"/>
          <w:sz w:val="20"/>
        </w:rPr>
        <w:t>.</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of December 31, 2023 and December 31, 2022, our asset coverage ratio was 205% and 203%, respectively.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Repurchase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24, 2022, our Board of Directors approved a repurchase program (the “ Initial Repurchase Program”) under which we could have repurchased up to $25.0 million of our outstanding common stock. Under the Initial Repurchase Program, we could have repurchased shares at management’s discretion from time to time in open-market transactions, in accordance with all applicable securities laws and regulations. As of December 31, 2023 and December 31, 2022, we had repurchased 871,345 shares of our common stock under the Initial Repurchase Program for an aggregate purchase price of $10.8 million. The Board of Directors did not renew the Initial Repurchase Program, and it expired on February 24,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November 2, 2023, our Board of Directors approved a new share repurchase program (the "Repurchase Program"), under which we may repurchase up to $25.0 million of our outstanding shares of common stock. Under the Repurchase Program, purchases may be made at management’s discretion from time to time in open-market transactions, in accordance with all applicable securities laws and regulations. As of December 31, 2023, we had repurchased 0 shares under the Repurchase Program. If not renewed, the Repurchase Program will terminate upon the earlier of (i) November 2, 2024 and (ii) the repurchase of $25.0 million of our shares of common stock.</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Distributions</w:t>
      </w:r>
    </w:p>
    <w:p>
      <w:pPr>
        <w:pStyle w:val="TextBody"/>
        <w:bidi w:val="0"/>
        <w:jc w:val="both"/>
        <w:rPr>
          <w:rFonts w:ascii="Times New Roman" w:hAnsi="Times New Roman"/>
          <w:color w:val="000000"/>
          <w:sz w:val="20"/>
        </w:rPr>
      </w:pPr>
      <w:r>
        <w:rPr>
          <w:rFonts w:ascii="Times New Roman" w:hAnsi="Times New Roman"/>
          <w:color w:val="000000"/>
          <w:sz w:val="20"/>
        </w:rPr>
        <w:t xml:space="preserve">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years ended December 31, 2023, we declared and paid dividends in the amount of $73.3 million, of which $70.8 million was distributed in cash and the remainder distributed in shares to stockholders pursuant to our Dividend Reinvestment Plan. For year ended December 31, 2022, we declared dividends in the amount of $51.6 million, of which $40.7 million was distributed in cash and the remainder distributed in shares to stockholders pursuant to our dividend reinvestment plan (the "Dividend Reinvestment Plan"). For year ended December 31, 2021, we declared dividends in the amount of $44.9 million, of which $17.9 was distributed in cash and the remainder distributed in shares to stockholders pursuant to our Dividend Reinvestment Plan.</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timing and amount of our distributions, if any, will be determined by our Board of Directors and will be declared out of assets legally available for distribution. Refer to "Note 9 – Net Assets" of our consolidated financial statements in Part I, Item 8 of this Form 10-K for a summary of the distributions declared and paid since inception.</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Critical Accounting Estimates</w:t>
      </w:r>
    </w:p>
    <w:p>
      <w:pPr>
        <w:pStyle w:val="TextBody"/>
        <w:bidi w:val="0"/>
        <w:jc w:val="left"/>
        <w:rPr>
          <w:rFonts w:ascii="Times New Roman" w:hAnsi="Times New Roman"/>
          <w:color w:val="000000"/>
          <w:sz w:val="20"/>
        </w:rPr>
      </w:pPr>
      <w:r>
        <w:rPr>
          <w:rFonts w:ascii="Times New Roman" w:hAnsi="Times New Roman"/>
          <w:color w:val="000000"/>
          <w:sz w:val="20"/>
        </w:rPr>
        <w:t>The preparation of the consolidated financial statements and related disclosures in conformity with U.S. GAAP requires our management to make estimates and assumptions that affect the reported amounts of assets and liabilities, disclosure of contingent assets and liabilities at the date of the consolidated financial statements, and revenues and expenses during the period reports. Actual results could materially differ from those estimates. For a description of our critical accounting policies, including those related to the valuation of investments and our election to be treated, and intent to qualify annually, as a RIC refer to “Note 2 – Summary of Significant Accounting Policies” to our consolidated financial statements in Part I, Item 8 of this Form 10-K . We consider the most significant accounting policies to be those related to our Fair Value Measurements and Income Taxes.</w:t>
      </w:r>
    </w:p>
    <w:p>
      <w:pPr>
        <w:pStyle w:val="TextBody"/>
        <w:bidi w:val="0"/>
        <w:spacing w:before="360" w:after="240"/>
        <w:jc w:val="left"/>
        <w:rPr>
          <w:rFonts w:ascii="Times New Roman" w:hAnsi="Times New Roman"/>
          <w:b/>
          <w:color w:val="000000"/>
          <w:sz w:val="20"/>
        </w:rPr>
      </w:pPr>
      <w:bookmarkStart w:id="16" w:name="item7aquantitativeandqualitativedisclosu"/>
      <w:bookmarkEnd w:id="16"/>
      <w:r>
        <w:rPr>
          <w:rFonts w:ascii="Times New Roman" w:hAnsi="Times New Roman"/>
          <w:b/>
          <w:color w:val="000000"/>
          <w:sz w:val="20"/>
        </w:rPr>
        <w:t>Item 7A. Quantitative and Qualitative Disclosures about Market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commenced investment activities in portfolio securities during the quarter ended June 30, 2017 and commenced investment activities in U.S. Treasury Bills during the quarter ended December 31, 2016.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economic effects of rising interest rates and inflation has introduced significant volatility in the financial markets, and the effects of this volatility could materially impact our market risks. For additional information concerning the risks we face and their potential impact on our business and our operating results, see Part I, Item 1A. Risk Factors.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Valuation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subject to financial market risks, including changes in interest rates. 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interest rates may affect both our cost of funding and our interest income from portfolio investments, and cash and cash equivalents. Changes in interest rates can also affect our ability to acquire and originate loans and securities and the value of our investment portfolio. Our net investment income is affected by fluctuations in various interest rates, including SOFR, and Prime rates. Increasing interest rates could have the effect of increasing our total investment income once interest rates increase above contractual interest rates floors to which our portfolio companies are subject. Conversely, we would expect the cost of our floating rate Credit Facility and unsecured notes to increase as well, offsetting the positive effect on our net interest income.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December 31, 2023, 100.0%, or $978.5 million, of our debt portfolio investments bore interest at variable rates, consisting of approximately 66.0% based on SOFR and 34.0% based on Prime. As a policy, any interest in excess of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$19.3 million and decrease our investment income by a maximum of $17.2 million, due to certain floors, on an annual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debt borrowings under the Credit Facility bear interest at a floating rate, all other outstanding debt borrowings bear interest at a fixed rate. Borrowings under the Credit Facility bear interest on a per annum basis equal to the SOFR plus an applicable margin rate that ranges from 2.95% to 3.35% per annum depending on the Company's leverage ratio and number of eligible loans in the collateral pool. For additional information regarding the interest rate associated with each of our debt borrowings, see "Note 7 — Borrowings" to our consolidated financial statements in Part II, Item 8 of this Form 10</w:t>
        <w:noBreakHyphen/>
        <w:t>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we currently borrow, and plan to borrow in the future, to originate loans and securities,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current economic conditions and any associated impact on foreign financial markets. See "Risk Factors — Risks Related to Our Business and Structure" in Part I, Item 1A of this Form 10</w:t>
        <w:noBreakHyphen/>
        <w:t>K.</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left"/>
        <w:rPr>
          <w:rFonts w:ascii="Times New Roman" w:hAnsi="Times New Roman"/>
          <w:b/>
          <w:color w:val="000000"/>
          <w:sz w:val="20"/>
        </w:rPr>
      </w:pPr>
      <w:bookmarkStart w:id="17" w:name="item8financialstatementsandsupplementary"/>
      <w:bookmarkEnd w:id="17"/>
      <w:r>
        <w:rPr>
          <w:rFonts w:ascii="Times New Roman" w:hAnsi="Times New Roman"/>
          <w:b/>
          <w:color w:val="000000"/>
          <w:sz w:val="20"/>
        </w:rPr>
        <w:t>Item 8. Consolidated Financial Statements and Supplementary Data.</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Index to Audited Consolidated Financial Statements</w:t>
      </w:r>
    </w:p>
    <w:tbl>
      <w:tblPr>
        <w:tblW w:w="10159" w:type="dxa"/>
        <w:jc w:val="left"/>
        <w:tblInd w:w="0" w:type="dxa"/>
        <w:tblLayout w:type="fixed"/>
        <w:tblCellMar>
          <w:top w:w="28" w:type="dxa"/>
          <w:left w:w="28" w:type="dxa"/>
          <w:bottom w:w="28" w:type="dxa"/>
          <w:right w:w="28" w:type="dxa"/>
        </w:tblCellMar>
      </w:tblPr>
      <w:tblGrid>
        <w:gridCol w:w="8761"/>
        <w:gridCol w:w="146"/>
        <w:gridCol w:w="146"/>
        <w:gridCol w:w="165"/>
        <w:gridCol w:w="165"/>
        <w:gridCol w:w="165"/>
        <w:gridCol w:w="165"/>
        <w:gridCol w:w="146"/>
        <w:gridCol w:w="109"/>
        <w:gridCol w:w="191"/>
      </w:tblGrid>
      <w:tr>
        <w:trPr/>
        <w:tc>
          <w:tcPr>
            <w:tcW w:w="8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87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65" w:type="dxa"/>
            <w:tcBorders/>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 w:type="dxa"/>
            <w:tcBorders/>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8761"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660" w:type="dxa"/>
            <w:gridSpan w:val="4"/>
            <w:vMerge w:val="restart"/>
            <w:tcBorders>
              <w:bottom w:val="single" w:sz="4" w:space="0" w:color="000000"/>
            </w:tcBorders>
            <w:tcMar>
              <w:top w:w="0" w:type="dxa"/>
              <w:left w:w="0" w:type="dxa"/>
              <w:bottom w:w="50" w:type="dxa"/>
              <w:right w:w="0" w:type="dxa"/>
            </w:tcMar>
            <w:vAlign w:val="center"/>
          </w:tcPr>
          <w:p>
            <w:pPr>
              <w:pStyle w:val="TableContents"/>
              <w:bidi w:val="0"/>
              <w:spacing w:before="0" w:after="283"/>
              <w:jc w:val="center"/>
              <w:rPr/>
            </w:pPr>
            <w:r>
              <w:rPr>
                <w:color w:val="000000"/>
              </w:rPr>
              <w:t> </w:t>
            </w:r>
            <w:r>
              <w:rPr>
                <w:rFonts w:ascii="Times New Roman" w:hAnsi="Times New Roman"/>
                <w:b/>
                <w:color w:val="000000"/>
                <w:sz w:val="16"/>
              </w:rPr>
              <w:t>Page </w:t>
            </w:r>
            <w:r>
              <w:rPr>
                <w:rFonts w:ascii="Times New Roman" w:hAnsi="Times New Roman"/>
                <w:color w:val="000000"/>
                <w:sz w:val="16"/>
              </w:rPr>
              <w:t xml:space="preserve"> </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109" w:type="dxa"/>
            <w:tcBorders/>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8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0" w:type="dxa"/>
            <w:gridSpan w:val="4"/>
            <w:vMerge w:val="continue"/>
            <w:tcBorders>
              <w:bottom w:val="single" w:sz="4" w:space="0" w:color="000000"/>
            </w:tcBorders>
            <w:tcMar>
              <w:top w:w="0" w:type="dxa"/>
              <w:left w:w="0" w:type="dxa"/>
              <w:bottom w:w="50" w:type="dxa"/>
              <w:right w:w="0" w:type="dxa"/>
            </w:tcMar>
            <w:vAlign w:val="center"/>
          </w:tcPr>
          <w:p>
            <w:pPr>
              <w:pStyle w:val="Normal"/>
              <w:bidi w:val="0"/>
              <w:jc w:val="left"/>
              <w:rPr/>
            </w:pPr>
            <w:r>
              <w:rPr/>
            </w:r>
          </w:p>
        </w:tc>
        <w:tc>
          <w:tcPr>
            <w:tcW w:w="255" w:type="dxa"/>
            <w:gridSpan w:val="2"/>
            <w:tcBorders>
              <w:bottom w:val="single" w:sz="4" w:space="0" w:color="000000"/>
            </w:tcBorders>
            <w:tcMar>
              <w:top w:w="0" w:type="dxa"/>
              <w:left w:w="0" w:type="dxa"/>
              <w:bottom w:w="5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761" w:type="dxa"/>
            <w:tcBorders/>
            <w:tcMar>
              <w:top w:w="0" w:type="dxa"/>
              <w:left w:w="0" w:type="dxa"/>
              <w:bottom w:w="0" w:type="dxa"/>
              <w:right w:w="0" w:type="dxa"/>
            </w:tcMar>
            <w:vAlign w:val="center"/>
          </w:tcPr>
          <w:p>
            <w:pPr>
              <w:pStyle w:val="TableContents"/>
              <w:bidi w:val="0"/>
              <w:spacing w:before="0" w:after="283"/>
              <w:jc w:val="left"/>
              <w:rPr/>
            </w:pPr>
            <w:hyperlink w:anchor="report_of_independent_registered_public">
              <w:r>
                <w:rPr>
                  <w:rStyle w:val="InternetLink"/>
                  <w:rFonts w:ascii="Times New Roman" w:hAnsi="Times New Roman"/>
                  <w:color w:val="0000FF"/>
                  <w:sz w:val="20"/>
                  <w:u w:val="single"/>
                </w:rPr>
                <w:t>Report of Independent Registered Public Accounting Firm</w:t>
              </w:r>
            </w:hyperlink>
            <w:hyperlink w:anchor="report_of_independent_registered_public">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0" w:type="dxa"/>
            <w:gridSpan w:val="4"/>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w:t>
            </w:r>
          </w:p>
        </w:tc>
        <w:tc>
          <w:tcPr>
            <w:tcW w:w="146" w:type="dxa"/>
            <w:tcBorders/>
            <w:vAlign w:val="center"/>
          </w:tcPr>
          <w:p>
            <w:pPr>
              <w:pStyle w:val="TableContents"/>
              <w:bidi w:val="0"/>
              <w:spacing w:before="0" w:after="283"/>
              <w:jc w:val="center"/>
              <w:rPr/>
            </w:pPr>
            <w:r>
              <w:rPr/>
              <w:t> </w:t>
            </w:r>
          </w:p>
        </w:tc>
        <w:tc>
          <w:tcPr>
            <w:tcW w:w="300" w:type="dxa"/>
            <w:gridSpan w:val="2"/>
            <w:tcBorders/>
          </w:tcPr>
          <w:p>
            <w:pPr>
              <w:pStyle w:val="TableContents"/>
              <w:bidi w:val="0"/>
              <w:spacing w:before="0" w:after="283"/>
              <w:jc w:val="left"/>
              <w:rPr>
                <w:sz w:val="4"/>
                <w:szCs w:val="4"/>
              </w:rPr>
            </w:pPr>
            <w:r>
              <w:rPr>
                <w:sz w:val="4"/>
                <w:szCs w:val="4"/>
              </w:rPr>
            </w:r>
          </w:p>
        </w:tc>
      </w:tr>
      <w:tr>
        <w:trPr/>
        <w:tc>
          <w:tcPr>
            <w:tcW w:w="8761" w:type="dxa"/>
            <w:tcBorders/>
            <w:tcMar>
              <w:top w:w="0" w:type="dxa"/>
              <w:left w:w="0" w:type="dxa"/>
              <w:bottom w:w="0" w:type="dxa"/>
              <w:right w:w="0" w:type="dxa"/>
            </w:tcMar>
            <w:vAlign w:val="center"/>
          </w:tcPr>
          <w:p>
            <w:pPr>
              <w:pStyle w:val="TableContents"/>
              <w:bidi w:val="0"/>
              <w:spacing w:before="0" w:after="283"/>
              <w:jc w:val="left"/>
              <w:rPr/>
            </w:pPr>
            <w:hyperlink w:anchor="statementsofassetsandliabilities_984676">
              <w:r>
                <w:rPr>
                  <w:rStyle w:val="InternetLink"/>
                  <w:rFonts w:ascii="Times New Roman" w:hAnsi="Times New Roman"/>
                  <w:color w:val="0000FF"/>
                  <w:sz w:val="20"/>
                  <w:u w:val="single"/>
                </w:rPr>
                <w:t>Consolidated Statements of Assets and Liabilities as of December 31, 2023 and 2022</w:t>
              </w:r>
            </w:hyperlink>
            <w:hyperlink w:anchor="statementsofassetsandliabilities_984676">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0" w:type="dxa"/>
            <w:gridSpan w:val="4"/>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w:t>
            </w:r>
          </w:p>
        </w:tc>
        <w:tc>
          <w:tcPr>
            <w:tcW w:w="146" w:type="dxa"/>
            <w:tcBorders/>
            <w:vAlign w:val="center"/>
          </w:tcPr>
          <w:p>
            <w:pPr>
              <w:pStyle w:val="TableContents"/>
              <w:bidi w:val="0"/>
              <w:spacing w:before="0" w:after="283"/>
              <w:jc w:val="center"/>
              <w:rPr/>
            </w:pPr>
            <w:r>
              <w:rPr/>
              <w:t> </w:t>
            </w:r>
          </w:p>
        </w:tc>
        <w:tc>
          <w:tcPr>
            <w:tcW w:w="300" w:type="dxa"/>
            <w:gridSpan w:val="2"/>
            <w:tcBorders/>
          </w:tcPr>
          <w:p>
            <w:pPr>
              <w:pStyle w:val="TableContents"/>
              <w:bidi w:val="0"/>
              <w:spacing w:before="0" w:after="283"/>
              <w:jc w:val="left"/>
              <w:rPr>
                <w:sz w:val="4"/>
                <w:szCs w:val="4"/>
              </w:rPr>
            </w:pPr>
            <w:r>
              <w:rPr>
                <w:sz w:val="4"/>
                <w:szCs w:val="4"/>
              </w:rPr>
            </w:r>
          </w:p>
        </w:tc>
      </w:tr>
      <w:tr>
        <w:trPr/>
        <w:tc>
          <w:tcPr>
            <w:tcW w:w="8761" w:type="dxa"/>
            <w:tcBorders/>
            <w:tcMar>
              <w:top w:w="0" w:type="dxa"/>
              <w:left w:w="0" w:type="dxa"/>
              <w:bottom w:w="0" w:type="dxa"/>
              <w:right w:w="0" w:type="dxa"/>
            </w:tcMar>
            <w:vAlign w:val="center"/>
          </w:tcPr>
          <w:p>
            <w:pPr>
              <w:pStyle w:val="TableContents"/>
              <w:bidi w:val="0"/>
              <w:spacing w:before="0" w:after="283"/>
              <w:jc w:val="left"/>
              <w:rPr/>
            </w:pPr>
            <w:hyperlink w:anchor="statementsofoperations_538321">
              <w:r>
                <w:rPr>
                  <w:rStyle w:val="InternetLink"/>
                  <w:rFonts w:ascii="Times New Roman" w:hAnsi="Times New Roman"/>
                  <w:color w:val="0000FF"/>
                  <w:sz w:val="20"/>
                  <w:u w:val="single"/>
                </w:rPr>
                <w:t>Consolidated Statements of Operations for the years ended December 31, 2023, 2022 and 2021</w:t>
              </w:r>
            </w:hyperlink>
            <w:hyperlink w:anchor="statementsofoperations_538321">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0" w:type="dxa"/>
            <w:gridSpan w:val="4"/>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w:t>
            </w:r>
          </w:p>
        </w:tc>
        <w:tc>
          <w:tcPr>
            <w:tcW w:w="146" w:type="dxa"/>
            <w:tcBorders/>
            <w:vAlign w:val="center"/>
          </w:tcPr>
          <w:p>
            <w:pPr>
              <w:pStyle w:val="TableContents"/>
              <w:bidi w:val="0"/>
              <w:spacing w:before="0" w:after="283"/>
              <w:jc w:val="center"/>
              <w:rPr/>
            </w:pPr>
            <w:r>
              <w:rPr/>
              <w:t> </w:t>
            </w:r>
          </w:p>
        </w:tc>
        <w:tc>
          <w:tcPr>
            <w:tcW w:w="300" w:type="dxa"/>
            <w:gridSpan w:val="2"/>
            <w:tcBorders/>
          </w:tcPr>
          <w:p>
            <w:pPr>
              <w:pStyle w:val="TableContents"/>
              <w:bidi w:val="0"/>
              <w:spacing w:before="0" w:after="283"/>
              <w:jc w:val="left"/>
              <w:rPr>
                <w:sz w:val="4"/>
                <w:szCs w:val="4"/>
              </w:rPr>
            </w:pPr>
            <w:r>
              <w:rPr>
                <w:sz w:val="4"/>
                <w:szCs w:val="4"/>
              </w:rPr>
            </w:r>
          </w:p>
        </w:tc>
      </w:tr>
      <w:tr>
        <w:trPr/>
        <w:tc>
          <w:tcPr>
            <w:tcW w:w="8761" w:type="dxa"/>
            <w:tcBorders/>
            <w:tcMar>
              <w:top w:w="0" w:type="dxa"/>
              <w:left w:w="0" w:type="dxa"/>
              <w:bottom w:w="0" w:type="dxa"/>
              <w:right w:w="0" w:type="dxa"/>
            </w:tcMar>
            <w:vAlign w:val="center"/>
          </w:tcPr>
          <w:p>
            <w:pPr>
              <w:pStyle w:val="TableContents"/>
              <w:bidi w:val="0"/>
              <w:spacing w:before="0" w:after="283"/>
              <w:jc w:val="left"/>
              <w:rPr/>
            </w:pPr>
            <w:hyperlink w:anchor="statementsofchangesinnetassets_610557">
              <w:r>
                <w:rPr>
                  <w:rStyle w:val="InternetLink"/>
                  <w:rFonts w:ascii="Times New Roman" w:hAnsi="Times New Roman"/>
                  <w:color w:val="0000FF"/>
                  <w:sz w:val="20"/>
                  <w:u w:val="single"/>
                </w:rPr>
                <w:t>Consolidated Statements of Changes in Net Assets for the years ended December 31, 2023, 2022 and 2021</w:t>
              </w:r>
            </w:hyperlink>
            <w:hyperlink w:anchor="statementsofchangesinnetassets_610557">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0" w:type="dxa"/>
            <w:gridSpan w:val="4"/>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w:t>
            </w:r>
          </w:p>
        </w:tc>
        <w:tc>
          <w:tcPr>
            <w:tcW w:w="146" w:type="dxa"/>
            <w:tcBorders/>
            <w:vAlign w:val="center"/>
          </w:tcPr>
          <w:p>
            <w:pPr>
              <w:pStyle w:val="TableContents"/>
              <w:bidi w:val="0"/>
              <w:spacing w:before="0" w:after="283"/>
              <w:jc w:val="center"/>
              <w:rPr/>
            </w:pPr>
            <w:r>
              <w:rPr/>
              <w:t> </w:t>
            </w:r>
          </w:p>
        </w:tc>
        <w:tc>
          <w:tcPr>
            <w:tcW w:w="300" w:type="dxa"/>
            <w:gridSpan w:val="2"/>
            <w:tcBorders/>
          </w:tcPr>
          <w:p>
            <w:pPr>
              <w:pStyle w:val="TableContents"/>
              <w:bidi w:val="0"/>
              <w:spacing w:before="0" w:after="283"/>
              <w:jc w:val="left"/>
              <w:rPr>
                <w:sz w:val="4"/>
                <w:szCs w:val="4"/>
              </w:rPr>
            </w:pPr>
            <w:r>
              <w:rPr>
                <w:sz w:val="4"/>
                <w:szCs w:val="4"/>
              </w:rPr>
            </w:r>
          </w:p>
        </w:tc>
      </w:tr>
      <w:tr>
        <w:trPr/>
        <w:tc>
          <w:tcPr>
            <w:tcW w:w="8761" w:type="dxa"/>
            <w:tcBorders/>
            <w:tcMar>
              <w:top w:w="0" w:type="dxa"/>
              <w:left w:w="0" w:type="dxa"/>
              <w:bottom w:w="0" w:type="dxa"/>
              <w:right w:w="0" w:type="dxa"/>
            </w:tcMar>
            <w:vAlign w:val="center"/>
          </w:tcPr>
          <w:p>
            <w:pPr>
              <w:pStyle w:val="TableContents"/>
              <w:bidi w:val="0"/>
              <w:spacing w:before="0" w:after="283"/>
              <w:jc w:val="left"/>
              <w:rPr/>
            </w:pPr>
            <w:hyperlink w:anchor="statementsofcashflows_699252">
              <w:r>
                <w:rPr>
                  <w:rStyle w:val="InternetLink"/>
                  <w:rFonts w:ascii="Times New Roman" w:hAnsi="Times New Roman"/>
                  <w:color w:val="0000FF"/>
                  <w:sz w:val="20"/>
                  <w:u w:val="single"/>
                </w:rPr>
                <w:t>Consolidated Statements of Cash Flows for the years ended December 31, 2023, 2022 and 2021</w:t>
              </w:r>
            </w:hyperlink>
            <w:hyperlink w:anchor="statementsofcashflows_699252">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0" w:type="dxa"/>
            <w:gridSpan w:val="4"/>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146" w:type="dxa"/>
            <w:tcBorders/>
            <w:vAlign w:val="center"/>
          </w:tcPr>
          <w:p>
            <w:pPr>
              <w:pStyle w:val="TableContents"/>
              <w:bidi w:val="0"/>
              <w:spacing w:before="0" w:after="283"/>
              <w:jc w:val="center"/>
              <w:rPr/>
            </w:pPr>
            <w:r>
              <w:rPr/>
              <w:t> </w:t>
            </w:r>
          </w:p>
        </w:tc>
        <w:tc>
          <w:tcPr>
            <w:tcW w:w="300" w:type="dxa"/>
            <w:gridSpan w:val="2"/>
            <w:tcBorders/>
          </w:tcPr>
          <w:p>
            <w:pPr>
              <w:pStyle w:val="TableContents"/>
              <w:bidi w:val="0"/>
              <w:spacing w:before="0" w:after="283"/>
              <w:jc w:val="left"/>
              <w:rPr>
                <w:sz w:val="4"/>
                <w:szCs w:val="4"/>
              </w:rPr>
            </w:pPr>
            <w:r>
              <w:rPr>
                <w:sz w:val="4"/>
                <w:szCs w:val="4"/>
              </w:rPr>
            </w:r>
          </w:p>
        </w:tc>
      </w:tr>
      <w:tr>
        <w:trPr/>
        <w:tc>
          <w:tcPr>
            <w:tcW w:w="8761" w:type="dxa"/>
            <w:tcBorders/>
            <w:tcMar>
              <w:top w:w="0" w:type="dxa"/>
              <w:left w:w="0" w:type="dxa"/>
              <w:bottom w:w="0" w:type="dxa"/>
              <w:right w:w="0" w:type="dxa"/>
            </w:tcMar>
            <w:vAlign w:val="center"/>
          </w:tcPr>
          <w:p>
            <w:pPr>
              <w:pStyle w:val="TableContents"/>
              <w:bidi w:val="0"/>
              <w:spacing w:before="0" w:after="283"/>
              <w:jc w:val="left"/>
              <w:rPr/>
            </w:pPr>
            <w:hyperlink w:anchor="schedulesofinvestmentsasofdecember312019">
              <w:r>
                <w:rPr>
                  <w:rStyle w:val="InternetLink"/>
                  <w:rFonts w:ascii="Times New Roman" w:hAnsi="Times New Roman"/>
                  <w:color w:val="0000FF"/>
                  <w:sz w:val="20"/>
                  <w:u w:val="single"/>
                </w:rPr>
                <w:t>Consolidated Schedules of Investments as of December 31, 2023 and 2022</w:t>
              </w:r>
            </w:hyperlink>
            <w:hyperlink w:anchor="schedulesofinvestmentsasofdecember312019">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0" w:type="dxa"/>
            <w:gridSpan w:val="4"/>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w:t>
            </w:r>
          </w:p>
        </w:tc>
        <w:tc>
          <w:tcPr>
            <w:tcW w:w="146" w:type="dxa"/>
            <w:tcBorders/>
            <w:vAlign w:val="center"/>
          </w:tcPr>
          <w:p>
            <w:pPr>
              <w:pStyle w:val="TableContents"/>
              <w:bidi w:val="0"/>
              <w:spacing w:before="0" w:after="283"/>
              <w:jc w:val="center"/>
              <w:rPr/>
            </w:pPr>
            <w:r>
              <w:rPr/>
              <w:t> </w:t>
            </w:r>
          </w:p>
        </w:tc>
        <w:tc>
          <w:tcPr>
            <w:tcW w:w="300" w:type="dxa"/>
            <w:gridSpan w:val="2"/>
            <w:tcBorders/>
          </w:tcPr>
          <w:p>
            <w:pPr>
              <w:pStyle w:val="TableContents"/>
              <w:bidi w:val="0"/>
              <w:spacing w:before="0" w:after="283"/>
              <w:jc w:val="left"/>
              <w:rPr>
                <w:sz w:val="4"/>
                <w:szCs w:val="4"/>
              </w:rPr>
            </w:pPr>
            <w:r>
              <w:rPr>
                <w:sz w:val="4"/>
                <w:szCs w:val="4"/>
              </w:rPr>
            </w:r>
          </w:p>
        </w:tc>
      </w:tr>
      <w:tr>
        <w:trPr/>
        <w:tc>
          <w:tcPr>
            <w:tcW w:w="8761" w:type="dxa"/>
            <w:tcBorders/>
            <w:tcMar>
              <w:top w:w="0" w:type="dxa"/>
              <w:left w:w="0" w:type="dxa"/>
              <w:bottom w:w="0" w:type="dxa"/>
              <w:right w:w="0" w:type="dxa"/>
            </w:tcMar>
            <w:vAlign w:val="center"/>
          </w:tcPr>
          <w:p>
            <w:pPr>
              <w:pStyle w:val="TableContents"/>
              <w:bidi w:val="0"/>
              <w:spacing w:before="0" w:after="283"/>
              <w:jc w:val="left"/>
              <w:rPr/>
            </w:pPr>
            <w:hyperlink w:anchor="notestofinancialstatementsasofdecember31">
              <w:r>
                <w:rPr>
                  <w:rStyle w:val="InternetLink"/>
                  <w:rFonts w:ascii="Times New Roman" w:hAnsi="Times New Roman"/>
                  <w:color w:val="0000FF"/>
                  <w:sz w:val="20"/>
                  <w:u w:val="single"/>
                </w:rPr>
                <w:t>Notes to Consolidated Financial Statements</w:t>
              </w:r>
            </w:hyperlink>
            <w:hyperlink w:anchor="notestofinancialstatementsasofdecember31">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0" w:type="dxa"/>
            <w:gridSpan w:val="4"/>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w:t>
            </w:r>
          </w:p>
        </w:tc>
        <w:tc>
          <w:tcPr>
            <w:tcW w:w="146" w:type="dxa"/>
            <w:tcBorders/>
            <w:vAlign w:val="center"/>
          </w:tcPr>
          <w:p>
            <w:pPr>
              <w:pStyle w:val="TableContents"/>
              <w:bidi w:val="0"/>
              <w:spacing w:before="0" w:after="283"/>
              <w:jc w:val="center"/>
              <w:rPr/>
            </w:pPr>
            <w:r>
              <w:rPr/>
              <w:t> </w:t>
            </w:r>
          </w:p>
        </w:tc>
        <w:tc>
          <w:tcPr>
            <w:tcW w:w="300" w:type="dxa"/>
            <w:gridSpan w:val="2"/>
            <w:tcBorders/>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center"/>
        <w:rPr>
          <w:rFonts w:ascii="Times New Roman" w:hAnsi="Times New Roman"/>
          <w:b/>
          <w:color w:val="000000"/>
          <w:sz w:val="20"/>
        </w:rPr>
      </w:pPr>
      <w:bookmarkStart w:id="18" w:name="report_of_independent_registered_public"/>
      <w:bookmarkEnd w:id="18"/>
      <w:r>
        <w:rPr>
          <w:rFonts w:ascii="Times New Roman" w:hAnsi="Times New Roman"/>
          <w:b/>
          <w:color w:val="000000"/>
          <w:sz w:val="20"/>
        </w:rPr>
        <w:t>Report of Independent Registered Public Accounting Firm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Stockholders and the Board of Directors of Runway Growth Finance Corp.</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audited the accompanying consolidated statements of assets and liabilities of Runway Growth Finance Corp. and its subsidiary (the Company), including the consolidated schedules of investments, as of December 31, 2023 and 2022, the related consolidated statements of operations, changes in net assets, and cash flows for each of the three years in the period ended December 31, 2023, and the related notes, which include the senior securities table, to the consolidated financial statements (collectively,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investments owned as of December 31, 2023 and 2022, by correspondence with the custodians and other appropriate procedures where replies were not received. Our audits also included evaluating the accounting principles used and significant estimates made by management, as well as evaluating the overall presentation of the financial statements. We believe that our audits provide a reasonable basis for our opinion.</w:t>
        <w:br/>
        <w:t> </w:t>
      </w:r>
    </w:p>
    <w:p>
      <w:pPr>
        <w:pStyle w:val="TextBody"/>
        <w:bidi w:val="0"/>
        <w:jc w:val="left"/>
        <w:rPr>
          <w:rFonts w:ascii="Times New Roman" w:hAnsi="Times New Roman"/>
          <w:color w:val="000000"/>
          <w:sz w:val="20"/>
        </w:rPr>
      </w:pPr>
      <w:r>
        <w:rPr>
          <w:rFonts w:ascii="Times New Roman" w:hAnsi="Times New Roman"/>
          <w:color w:val="000000"/>
          <w:sz w:val="20"/>
        </w:rPr>
        <w:t>/s/ RSM US LLP</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served as the Company’s auditor since 2015.</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Chicago, Illinois</w:t>
        <w:br/>
        <w:t>March 7, 2024</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19" w:name="statementsofassetsandliabilities_984676"/>
      <w:bookmarkEnd w:id="19"/>
      <w:r>
        <w:rPr>
          <w:rFonts w:ascii="Times New Roman" w:hAnsi="Times New Roman"/>
          <w:b/>
          <w:color w:val="000000"/>
          <w:sz w:val="20"/>
        </w:rPr>
        <w:t>Consolidated Statements of Assets and Liabilities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08"/>
        <w:gridCol w:w="146"/>
        <w:gridCol w:w="227"/>
        <w:gridCol w:w="169"/>
        <w:gridCol w:w="1066"/>
        <w:gridCol w:w="166"/>
        <w:gridCol w:w="146"/>
        <w:gridCol w:w="227"/>
        <w:gridCol w:w="169"/>
        <w:gridCol w:w="1066"/>
        <w:gridCol w:w="415"/>
      </w:tblGrid>
      <w:tr>
        <w:trPr/>
        <w:tc>
          <w:tcPr>
            <w:tcW w:w="6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64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2"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2"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415" w:type="dxa"/>
            <w:tcBorders/>
            <w:shd w:fill="FFFFFF" w:val="clear"/>
            <w:vAlign w:val="center"/>
          </w:tcPr>
          <w:p>
            <w:pPr>
              <w:pStyle w:val="TableContents"/>
              <w:bidi w:val="0"/>
              <w:spacing w:before="0" w:after="283"/>
              <w:jc w:val="center"/>
              <w:rPr/>
            </w:pPr>
            <w:r>
              <w:rPr/>
              <w:t> </w:t>
            </w:r>
          </w:p>
        </w:tc>
      </w:tr>
      <w:tr>
        <w:trPr/>
        <w:tc>
          <w:tcPr>
            <w:tcW w:w="640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vAlign w:val="center"/>
          </w:tcPr>
          <w:p>
            <w:pPr>
              <w:pStyle w:val="TableContents"/>
              <w:bidi w:val="0"/>
              <w:spacing w:before="0" w:after="283"/>
              <w:jc w:val="left"/>
              <w:rPr/>
            </w:pPr>
            <w:r>
              <w:rPr/>
              <w:t> </w:t>
            </w:r>
          </w:p>
        </w:tc>
        <w:tc>
          <w:tcPr>
            <w:tcW w:w="22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235"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235"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40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3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35" w:type="dxa"/>
            <w:gridSpan w:val="2"/>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ind w:left="0" w:right="0" w:firstLine="100"/>
              <w:jc w:val="left"/>
              <w:rPr/>
            </w:pPr>
            <w:r>
              <w:rPr/>
              <w:t> </w:t>
            </w:r>
          </w:p>
        </w:tc>
      </w:tr>
      <w:tr>
        <w:trPr/>
        <w:tc>
          <w:tcPr>
            <w:tcW w:w="6408"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6"/>
              </w:rPr>
              <w:t>Non-control/non-affiliate investments at fair value (cost of $1,005,024</w:t>
            </w:r>
            <w:r>
              <w:rPr>
                <w:rFonts w:ascii="Times New Roman" w:hAnsi="Times New Roman"/>
                <w:color w:val="000000"/>
                <w:sz w:val="20"/>
              </w:rPr>
              <w:t> </w:t>
            </w:r>
            <w:r>
              <w:rPr>
                <w:rFonts w:ascii="Times New Roman" w:hAnsi="Times New Roman"/>
                <w:color w:val="000000"/>
                <w:sz w:val="16"/>
              </w:rPr>
              <w:t>and $1,126,879, respectively)</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972,604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1,114,935</w:t>
            </w:r>
          </w:p>
        </w:tc>
        <w:tc>
          <w:tcPr>
            <w:tcW w:w="415" w:type="dxa"/>
            <w:tcBorders/>
            <w:shd w:fill="CFF0FC" w:val="clear"/>
            <w:vAlign w:val="center"/>
          </w:tcPr>
          <w:p>
            <w:pPr>
              <w:pStyle w:val="TableContents"/>
              <w:bidi w:val="0"/>
              <w:spacing w:before="0" w:after="283"/>
              <w:ind w:left="0" w:right="0" w:firstLine="100"/>
              <w:jc w:val="left"/>
              <w:rPr/>
            </w:pPr>
            <w:r>
              <w:rPr/>
              <w:t> </w:t>
            </w:r>
          </w:p>
        </w:tc>
      </w:tr>
      <w:tr>
        <w:trPr/>
        <w:tc>
          <w:tcPr>
            <w:tcW w:w="6408"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6"/>
              </w:rPr>
              <w:t>Affiliate investments at fair value (cost of $58,861</w:t>
            </w:r>
            <w:r>
              <w:rPr>
                <w:rFonts w:ascii="Times New Roman" w:hAnsi="Times New Roman"/>
                <w:color w:val="000000"/>
                <w:sz w:val="20"/>
              </w:rPr>
              <w:t> </w:t>
            </w:r>
            <w:r>
              <w:rPr>
                <w:rFonts w:ascii="Times New Roman" w:hAnsi="Times New Roman"/>
                <w:color w:val="000000"/>
                <w:sz w:val="16"/>
              </w:rPr>
              <w:t>and $4,551, respectively)</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2,084</w:t>
            </w:r>
          </w:p>
        </w:tc>
        <w:tc>
          <w:tcPr>
            <w:tcW w:w="415" w:type="dxa"/>
            <w:tcBorders/>
            <w:shd w:fill="FFFFFF" w:val="clear"/>
            <w:vAlign w:val="center"/>
          </w:tcPr>
          <w:p>
            <w:pPr>
              <w:pStyle w:val="TableContents"/>
              <w:bidi w:val="0"/>
              <w:spacing w:before="0" w:after="283"/>
              <w:ind w:left="0" w:right="0" w:firstLine="100"/>
              <w:jc w:val="left"/>
              <w:rPr/>
            </w:pPr>
            <w:r>
              <w:rPr/>
              <w:t> </w:t>
            </w:r>
          </w:p>
        </w:tc>
      </w:tr>
      <w:tr>
        <w:trPr/>
        <w:tc>
          <w:tcPr>
            <w:tcW w:w="6408"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6"/>
              </w:rPr>
              <w:t>Control investments at fair value (cost of $950</w:t>
            </w:r>
            <w:r>
              <w:rPr>
                <w:rFonts w:ascii="Times New Roman" w:hAnsi="Times New Roman"/>
                <w:color w:val="000000"/>
                <w:sz w:val="20"/>
              </w:rPr>
              <w:t> </w:t>
            </w:r>
            <w:r>
              <w:rPr>
                <w:rFonts w:ascii="Times New Roman" w:hAnsi="Times New Roman"/>
                <w:color w:val="000000"/>
                <w:sz w:val="16"/>
              </w:rPr>
              <w:t>and $19,172, respectively)</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9,290</w:t>
            </w:r>
          </w:p>
        </w:tc>
        <w:tc>
          <w:tcPr>
            <w:tcW w:w="415" w:type="dxa"/>
            <w:tcBorders/>
            <w:shd w:fill="CFF0FC" w:val="clear"/>
            <w:vAlign w:val="center"/>
          </w:tcPr>
          <w:p>
            <w:pPr>
              <w:pStyle w:val="TableContents"/>
              <w:bidi w:val="0"/>
              <w:spacing w:before="0" w:after="283"/>
              <w:ind w:left="0" w:right="0" w:firstLine="100"/>
              <w:jc w:val="left"/>
              <w:rPr/>
            </w:pPr>
            <w:r>
              <w:rPr/>
              <w:t> </w:t>
            </w:r>
          </w:p>
        </w:tc>
      </w:tr>
      <w:tr>
        <w:trPr/>
        <w:tc>
          <w:tcPr>
            <w:tcW w:w="6408"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6"/>
              </w:rPr>
              <w:t>Investment in U.S. Treasury Bills at fair value (cost of $42,014</w:t>
            </w:r>
            <w:r>
              <w:rPr>
                <w:rFonts w:ascii="Times New Roman" w:hAnsi="Times New Roman"/>
                <w:color w:val="000000"/>
                <w:sz w:val="20"/>
              </w:rPr>
              <w:t> </w:t>
            </w:r>
            <w:r>
              <w:rPr>
                <w:rFonts w:ascii="Times New Roman" w:hAnsi="Times New Roman"/>
                <w:color w:val="000000"/>
                <w:sz w:val="16"/>
              </w:rPr>
              <w:t>and $0, respectively)</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08"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Total investments at fair value (cost of $1,106,849</w:t>
            </w:r>
            <w:r>
              <w:rPr>
                <w:rFonts w:ascii="Times New Roman" w:hAnsi="Times New Roman"/>
                <w:color w:val="000000"/>
                <w:sz w:val="20"/>
              </w:rPr>
              <w:t> </w:t>
            </w:r>
            <w:r>
              <w:rPr>
                <w:rFonts w:ascii="Times New Roman" w:hAnsi="Times New Roman"/>
                <w:color w:val="000000"/>
                <w:sz w:val="16"/>
              </w:rPr>
              <w:t>and $1,150,602, respectively)</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1,067,009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1,126,309</w:t>
            </w:r>
          </w:p>
        </w:tc>
        <w:tc>
          <w:tcPr>
            <w:tcW w:w="415" w:type="dxa"/>
            <w:tcBorders/>
            <w:shd w:fill="CFF0FC" w:val="clear"/>
            <w:vAlign w:val="center"/>
          </w:tcPr>
          <w:p>
            <w:pPr>
              <w:pStyle w:val="TableContents"/>
              <w:bidi w:val="0"/>
              <w:spacing w:before="0" w:after="283"/>
              <w:jc w:val="left"/>
              <w:rPr/>
            </w:pPr>
            <w:r>
              <w:rPr/>
              <w:t> </w:t>
            </w:r>
          </w:p>
        </w:tc>
      </w:tr>
      <w:tr>
        <w:trPr/>
        <w:tc>
          <w:tcPr>
            <w:tcW w:w="640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5,761</w:t>
            </w:r>
          </w:p>
        </w:tc>
        <w:tc>
          <w:tcPr>
            <w:tcW w:w="415" w:type="dxa"/>
            <w:tcBorders/>
            <w:shd w:fill="FFFFFF" w:val="clear"/>
            <w:vAlign w:val="center"/>
          </w:tcPr>
          <w:p>
            <w:pPr>
              <w:pStyle w:val="TableContents"/>
              <w:bidi w:val="0"/>
              <w:spacing w:before="0" w:after="283"/>
              <w:jc w:val="left"/>
              <w:rPr/>
            </w:pPr>
            <w:r>
              <w:rPr/>
              <w:t> </w:t>
            </w:r>
          </w:p>
        </w:tc>
      </w:tr>
      <w:tr>
        <w:trPr/>
        <w:tc>
          <w:tcPr>
            <w:tcW w:w="64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fees receivable</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8,766</w:t>
            </w:r>
          </w:p>
        </w:tc>
        <w:tc>
          <w:tcPr>
            <w:tcW w:w="415" w:type="dxa"/>
            <w:tcBorders/>
            <w:shd w:fill="CFF0FC" w:val="clear"/>
            <w:vAlign w:val="center"/>
          </w:tcPr>
          <w:p>
            <w:pPr>
              <w:pStyle w:val="TableContents"/>
              <w:bidi w:val="0"/>
              <w:spacing w:before="0" w:after="283"/>
              <w:jc w:val="left"/>
              <w:rPr/>
            </w:pPr>
            <w:r>
              <w:rPr/>
              <w:t> </w:t>
            </w:r>
          </w:p>
        </w:tc>
      </w:tr>
      <w:tr>
        <w:trPr/>
        <w:tc>
          <w:tcPr>
            <w:tcW w:w="640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08"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1,079,153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1,141,766</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0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3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35" w:type="dxa"/>
            <w:gridSpan w:val="2"/>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r>
      <w:tr>
        <w:trPr/>
        <w:tc>
          <w:tcPr>
            <w:tcW w:w="64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Debt:</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23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235" w:type="dxa"/>
            <w:gridSpan w:val="2"/>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ind w:left="0" w:right="0" w:firstLine="100"/>
              <w:jc w:val="left"/>
              <w:rPr/>
            </w:pPr>
            <w:r>
              <w:rPr/>
              <w:t> </w:t>
            </w:r>
          </w:p>
        </w:tc>
      </w:tr>
      <w:tr>
        <w:trPr/>
        <w:tc>
          <w:tcPr>
            <w:tcW w:w="640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337,000</w:t>
            </w:r>
          </w:p>
        </w:tc>
        <w:tc>
          <w:tcPr>
            <w:tcW w:w="415" w:type="dxa"/>
            <w:tcBorders/>
            <w:shd w:fill="FFFFFF" w:val="clear"/>
            <w:vAlign w:val="center"/>
          </w:tcPr>
          <w:p>
            <w:pPr>
              <w:pStyle w:val="TableContents"/>
              <w:bidi w:val="0"/>
              <w:spacing w:before="0" w:after="283"/>
              <w:ind w:left="0" w:right="0" w:firstLine="100"/>
              <w:jc w:val="left"/>
              <w:rPr/>
            </w:pPr>
            <w:r>
              <w:rPr/>
              <w:t> </w:t>
            </w:r>
          </w:p>
        </w:tc>
      </w:tr>
      <w:tr>
        <w:trPr/>
        <w:tc>
          <w:tcPr>
            <w:tcW w:w="640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415" w:type="dxa"/>
            <w:tcBorders/>
            <w:shd w:fill="CFF0FC" w:val="clear"/>
            <w:vAlign w:val="center"/>
          </w:tcPr>
          <w:p>
            <w:pPr>
              <w:pStyle w:val="TableContents"/>
              <w:bidi w:val="0"/>
              <w:spacing w:before="0" w:after="283"/>
              <w:ind w:left="0" w:right="0" w:firstLine="100"/>
              <w:jc w:val="left"/>
              <w:rPr/>
            </w:pPr>
            <w:r>
              <w:rPr/>
              <w:t> </w:t>
            </w:r>
          </w:p>
        </w:tc>
      </w:tr>
      <w:tr>
        <w:trPr/>
        <w:tc>
          <w:tcPr>
            <w:tcW w:w="640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2027 Notes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415" w:type="dxa"/>
            <w:tcBorders/>
            <w:shd w:fill="FFFFFF" w:val="clear"/>
            <w:vAlign w:val="center"/>
          </w:tcPr>
          <w:p>
            <w:pPr>
              <w:pStyle w:val="TableContents"/>
              <w:bidi w:val="0"/>
              <w:spacing w:before="0" w:after="283"/>
              <w:ind w:left="0" w:right="0" w:firstLine="100"/>
              <w:jc w:val="left"/>
              <w:rPr/>
            </w:pPr>
            <w:r>
              <w:rPr/>
              <w:t> </w:t>
            </w:r>
          </w:p>
        </w:tc>
      </w:tr>
      <w:tr>
        <w:trPr/>
        <w:tc>
          <w:tcPr>
            <w:tcW w:w="640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Unamortized deferred debt costs</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(10,293</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4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debt, less unamortized deferred debt costs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510,078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548,957</w:t>
            </w:r>
          </w:p>
        </w:tc>
        <w:tc>
          <w:tcPr>
            <w:tcW w:w="415" w:type="dxa"/>
            <w:tcBorders/>
            <w:shd w:fill="FFFFFF" w:val="clear"/>
            <w:vAlign w:val="center"/>
          </w:tcPr>
          <w:p>
            <w:pPr>
              <w:pStyle w:val="TableContents"/>
              <w:bidi w:val="0"/>
              <w:spacing w:before="0" w:after="283"/>
              <w:jc w:val="left"/>
              <w:rPr/>
            </w:pPr>
            <w:r>
              <w:rPr/>
              <w:t> </w:t>
            </w:r>
          </w:p>
        </w:tc>
      </w:tr>
      <w:tr>
        <w:trPr/>
        <w:tc>
          <w:tcPr>
            <w:tcW w:w="64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payable</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8,808</w:t>
            </w:r>
          </w:p>
        </w:tc>
        <w:tc>
          <w:tcPr>
            <w:tcW w:w="415" w:type="dxa"/>
            <w:tcBorders/>
            <w:shd w:fill="CFF0FC" w:val="clear"/>
            <w:vAlign w:val="center"/>
          </w:tcPr>
          <w:p>
            <w:pPr>
              <w:pStyle w:val="TableContents"/>
              <w:bidi w:val="0"/>
              <w:spacing w:before="0" w:after="283"/>
              <w:jc w:val="left"/>
              <w:rPr/>
            </w:pPr>
            <w:r>
              <w:rPr/>
              <w:t> </w:t>
            </w:r>
          </w:p>
        </w:tc>
      </w:tr>
      <w:tr>
        <w:trPr/>
        <w:tc>
          <w:tcPr>
            <w:tcW w:w="640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payable</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6,221</w:t>
            </w:r>
          </w:p>
        </w:tc>
        <w:tc>
          <w:tcPr>
            <w:tcW w:w="415" w:type="dxa"/>
            <w:tcBorders/>
            <w:shd w:fill="FFFFFF" w:val="clear"/>
            <w:vAlign w:val="center"/>
          </w:tcPr>
          <w:p>
            <w:pPr>
              <w:pStyle w:val="TableContents"/>
              <w:bidi w:val="0"/>
              <w:spacing w:before="0" w:after="283"/>
              <w:jc w:val="left"/>
              <w:rPr/>
            </w:pPr>
            <w:r>
              <w:rPr/>
              <w:t> </w:t>
            </w:r>
          </w:p>
        </w:tc>
      </w:tr>
      <w:tr>
        <w:trPr/>
        <w:tc>
          <w:tcPr>
            <w:tcW w:w="64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1,728</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08"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532,082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565,714</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8)</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23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235" w:type="dxa"/>
            <w:gridSpan w:val="2"/>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pPr>
            <w:r>
              <w:rPr/>
              <w:t> </w:t>
            </w:r>
          </w:p>
        </w:tc>
      </w:tr>
      <w:tr>
        <w:trPr/>
        <w:tc>
          <w:tcPr>
            <w:tcW w:w="640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3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35" w:type="dxa"/>
            <w:gridSpan w:val="2"/>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ind w:left="0" w:right="0" w:firstLine="100"/>
              <w:jc w:val="left"/>
              <w:rPr/>
            </w:pPr>
            <w:r>
              <w:rPr/>
              <w:t> </w:t>
            </w:r>
          </w:p>
        </w:tc>
      </w:tr>
      <w:tr>
        <w:trPr/>
        <w:tc>
          <w:tcPr>
            <w:tcW w:w="640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Common stock, par value</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415" w:type="dxa"/>
            <w:tcBorders/>
            <w:shd w:fill="CFF0FC" w:val="clear"/>
            <w:vAlign w:val="center"/>
          </w:tcPr>
          <w:p>
            <w:pPr>
              <w:pStyle w:val="TableContents"/>
              <w:bidi w:val="0"/>
              <w:spacing w:before="0" w:after="283"/>
              <w:ind w:left="0" w:right="0" w:firstLine="100"/>
              <w:jc w:val="left"/>
              <w:rPr/>
            </w:pPr>
            <w:r>
              <w:rPr/>
              <w:t> </w:t>
            </w:r>
          </w:p>
        </w:tc>
      </w:tr>
      <w:tr>
        <w:trPr/>
        <w:tc>
          <w:tcPr>
            <w:tcW w:w="640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605,110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605,774</w:t>
            </w:r>
          </w:p>
        </w:tc>
        <w:tc>
          <w:tcPr>
            <w:tcW w:w="415" w:type="dxa"/>
            <w:tcBorders/>
            <w:shd w:fill="FFFFFF" w:val="clear"/>
            <w:vAlign w:val="center"/>
          </w:tcPr>
          <w:p>
            <w:pPr>
              <w:pStyle w:val="TableContents"/>
              <w:bidi w:val="0"/>
              <w:spacing w:before="0" w:after="283"/>
              <w:ind w:left="0" w:right="0" w:firstLine="100"/>
              <w:jc w:val="left"/>
              <w:rPr/>
            </w:pPr>
            <w:r>
              <w:rPr/>
              <w:t> </w:t>
            </w:r>
          </w:p>
        </w:tc>
      </w:tr>
      <w:tr>
        <w:trPr/>
        <w:tc>
          <w:tcPr>
            <w:tcW w:w="640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Distributable earnings (losses)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(47,637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(19,320</w:t>
            </w:r>
          </w:p>
        </w:tc>
        <w:tc>
          <w:tcPr>
            <w:tcW w:w="415"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40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Treasury stock</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(10,816</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408"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547,071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576,052</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3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35" w:type="dxa"/>
            <w:gridSpan w:val="2"/>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r>
      <w:tr>
        <w:trPr/>
        <w:tc>
          <w:tcPr>
            <w:tcW w:w="640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Shares of common stock outstanding ($0.01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40,509,269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40,509,269</w:t>
            </w:r>
          </w:p>
        </w:tc>
        <w:tc>
          <w:tcPr>
            <w:tcW w:w="415" w:type="dxa"/>
            <w:tcBorders/>
            <w:shd w:fill="CFF0FC" w:val="clear"/>
            <w:vAlign w:val="center"/>
          </w:tcPr>
          <w:p>
            <w:pPr>
              <w:pStyle w:val="TableContents"/>
              <w:bidi w:val="0"/>
              <w:spacing w:before="0" w:after="283"/>
              <w:jc w:val="left"/>
              <w:rPr/>
            </w:pPr>
            <w:r>
              <w:rPr/>
              <w:t> </w:t>
            </w:r>
          </w:p>
        </w:tc>
      </w:tr>
      <w:tr>
        <w:trPr/>
        <w:tc>
          <w:tcPr>
            <w:tcW w:w="640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per share</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14.22</w:t>
            </w:r>
          </w:p>
        </w:tc>
        <w:tc>
          <w:tcPr>
            <w:tcW w:w="415"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20" w:name="statementsofoperations_538321"/>
      <w:bookmarkEnd w:id="20"/>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170"/>
        <w:gridCol w:w="146"/>
        <w:gridCol w:w="196"/>
        <w:gridCol w:w="146"/>
        <w:gridCol w:w="916"/>
        <w:gridCol w:w="166"/>
        <w:gridCol w:w="146"/>
        <w:gridCol w:w="196"/>
        <w:gridCol w:w="146"/>
        <w:gridCol w:w="916"/>
        <w:gridCol w:w="166"/>
        <w:gridCol w:w="146"/>
        <w:gridCol w:w="196"/>
        <w:gridCol w:w="146"/>
        <w:gridCol w:w="916"/>
        <w:gridCol w:w="491"/>
      </w:tblGrid>
      <w:tr>
        <w:trPr/>
        <w:tc>
          <w:tcPr>
            <w:tcW w:w="5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1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491" w:type="dxa"/>
            <w:tcBorders/>
            <w:shd w:fill="FFFFFF" w:val="clear"/>
            <w:vAlign w:val="center"/>
          </w:tcPr>
          <w:p>
            <w:pPr>
              <w:pStyle w:val="TableContents"/>
              <w:bidi w:val="0"/>
              <w:spacing w:before="0" w:after="283"/>
              <w:jc w:val="center"/>
              <w:rPr/>
            </w:pPr>
            <w:r>
              <w:rPr/>
              <w:t> </w:t>
            </w:r>
          </w:p>
        </w:tc>
      </w:tr>
      <w:tr>
        <w:trPr/>
        <w:tc>
          <w:tcPr>
            <w:tcW w:w="51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8" w:type="dxa"/>
            <w:gridSpan w:val="1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491" w:type="dxa"/>
            <w:tcBorders/>
            <w:shd w:fill="FFFFFF" w:val="clear"/>
            <w:vAlign w:val="center"/>
          </w:tcPr>
          <w:p>
            <w:pPr>
              <w:pStyle w:val="TableContents"/>
              <w:bidi w:val="0"/>
              <w:spacing w:before="0" w:after="283"/>
              <w:jc w:val="center"/>
              <w:rPr/>
            </w:pPr>
            <w:r>
              <w:rPr/>
              <w:t> </w:t>
            </w:r>
          </w:p>
        </w:tc>
      </w:tr>
      <w:tr>
        <w:trPr/>
        <w:tc>
          <w:tcPr>
            <w:tcW w:w="51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517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From non-control/non-affiliate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517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63,226</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51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2,992</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517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1,395</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51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Fee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3,364</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17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From 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51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517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51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Fee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17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From control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51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517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517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170"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71,095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17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8,989</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517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Incentive fees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9,232</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17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Interest and other debt financing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4,192</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517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17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Administration agreement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1,566</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517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Insurance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17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Tax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517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Other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170"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26,603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44,492</w:t>
            </w:r>
          </w:p>
        </w:tc>
        <w:tc>
          <w:tcPr>
            <w:tcW w:w="491" w:type="dxa"/>
            <w:tcBorders/>
            <w:shd w:fill="FFFFFF" w:val="clear"/>
            <w:vAlign w:val="center"/>
          </w:tcPr>
          <w:p>
            <w:pPr>
              <w:pStyle w:val="TableContents"/>
              <w:bidi w:val="0"/>
              <w:spacing w:before="0" w:after="283"/>
              <w:jc w:val="left"/>
              <w:rPr/>
            </w:pPr>
            <w:r>
              <w:rPr/>
              <w:t> </w:t>
            </w:r>
          </w:p>
        </w:tc>
      </w:tr>
      <w:tr>
        <w:trPr/>
        <w:tc>
          <w:tcPr>
            <w:tcW w:w="517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net change in unrealized gain (loss)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517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realized gain (loss) on non-control/non-affiliate investments, including U.S. Treasury Bills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4,172</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17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realized gain (loss) on control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realized gain (loss) on investments, including U.S. Treasury Bills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7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change in unrealized gain (loss) on non-control/non-affiliate investments, including U.S. Treasury Bills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(20,491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(18,870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(16,231</w:t>
            </w:r>
          </w:p>
        </w:tc>
        <w:tc>
          <w:tcPr>
            <w:tcW w:w="491"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17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change in unrealized gain (loss) on 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17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change in unrealized gain (loss) on control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7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unrealized gain (loss) on investments, including U.S. Treasury Bills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7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 (loss)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45,619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per common share (basic and diluted)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491" w:type="dxa"/>
            <w:tcBorders/>
            <w:shd w:fill="CFF0FC"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 per common share (basic and diluted)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491" w:type="dxa"/>
            <w:tcBorders/>
            <w:shd w:fill="FFFFFF" w:val="clear"/>
            <w:vAlign w:val="center"/>
          </w:tcPr>
          <w:p>
            <w:pPr>
              <w:pStyle w:val="TableContents"/>
              <w:bidi w:val="0"/>
              <w:spacing w:before="0" w:after="283"/>
              <w:jc w:val="left"/>
              <w:rPr/>
            </w:pPr>
            <w:r>
              <w:rPr/>
              <w:t> </w:t>
            </w:r>
          </w:p>
        </w:tc>
      </w:tr>
      <w:tr>
        <w:trPr/>
        <w:tc>
          <w:tcPr>
            <w:tcW w:w="517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shares outstanding (basic and diluted)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40,509,269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40,971,242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34,183,358</w:t>
            </w:r>
          </w:p>
        </w:tc>
        <w:tc>
          <w:tcPr>
            <w:tcW w:w="4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21" w:name="statementsofchangesinnetassets_610557"/>
      <w:bookmarkEnd w:id="21"/>
      <w:r>
        <w:rPr>
          <w:rFonts w:ascii="Times New Roman" w:hAnsi="Times New Roman"/>
          <w:b/>
          <w:color w:val="000000"/>
          <w:sz w:val="20"/>
        </w:rPr>
        <w:t>Consolidated Statements of Changes in Net Assets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46"/>
        <w:gridCol w:w="1152"/>
        <w:gridCol w:w="346"/>
        <w:gridCol w:w="146"/>
        <w:gridCol w:w="916"/>
        <w:gridCol w:w="166"/>
        <w:gridCol w:w="146"/>
        <w:gridCol w:w="203"/>
        <w:gridCol w:w="151"/>
        <w:gridCol w:w="390"/>
        <w:gridCol w:w="146"/>
        <w:gridCol w:w="146"/>
        <w:gridCol w:w="208"/>
        <w:gridCol w:w="155"/>
        <w:gridCol w:w="702"/>
        <w:gridCol w:w="166"/>
        <w:gridCol w:w="146"/>
        <w:gridCol w:w="206"/>
        <w:gridCol w:w="153"/>
        <w:gridCol w:w="727"/>
        <w:gridCol w:w="166"/>
        <w:gridCol w:w="146"/>
        <w:gridCol w:w="223"/>
        <w:gridCol w:w="165"/>
        <w:gridCol w:w="755"/>
        <w:gridCol w:w="166"/>
        <w:gridCol w:w="146"/>
        <w:gridCol w:w="209"/>
        <w:gridCol w:w="156"/>
        <w:gridCol w:w="739"/>
        <w:gridCol w:w="217"/>
      </w:tblGrid>
      <w:tr>
        <w:trPr/>
        <w:tc>
          <w:tcPr>
            <w:tcW w:w="74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86"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895" w:type="dxa"/>
            <w:gridSpan w:val="2"/>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r>
      <w:tr>
        <w:trPr/>
        <w:tc>
          <w:tcPr>
            <w:tcW w:w="7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Shares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 Assets</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8" w:type="dxa"/>
            <w:gridSpan w:val="2"/>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2020</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31,414,051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5"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3"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466,873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466,244</w:t>
            </w:r>
          </w:p>
        </w:tc>
        <w:tc>
          <w:tcPr>
            <w:tcW w:w="217" w:type="dxa"/>
            <w:tcBorders/>
            <w:shd w:fill="FFFFFF" w:val="clear"/>
            <w:vAlign w:val="center"/>
          </w:tcPr>
          <w:p>
            <w:pPr>
              <w:pStyle w:val="TableContents"/>
              <w:bidi w:val="0"/>
              <w:spacing w:before="0" w:after="283"/>
              <w:jc w:val="left"/>
              <w:rPr/>
            </w:pPr>
            <w:r>
              <w:rPr/>
              <w:t> </w:t>
            </w:r>
          </w:p>
        </w:tc>
      </w:tr>
      <w:tr>
        <w:trPr/>
        <w:tc>
          <w:tcPr>
            <w:tcW w:w="1898"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8" w:type="dxa"/>
            <w:tcBorders/>
            <w:shd w:fill="CFF0FC" w:val="clear"/>
            <w:vAlign w:val="center"/>
          </w:tcPr>
          <w:p>
            <w:pPr>
              <w:pStyle w:val="TableContents"/>
              <w:bidi w:val="0"/>
              <w:spacing w:before="0" w:after="283"/>
              <w:jc w:val="center"/>
              <w:rPr/>
            </w:pPr>
            <w:r>
              <w:rPr/>
              <w:t> </w:t>
            </w:r>
          </w:p>
        </w:tc>
        <w:tc>
          <w:tcPr>
            <w:tcW w:w="155"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6" w:type="dxa"/>
            <w:tcBorders/>
            <w:shd w:fill="CFF0FC" w:val="clear"/>
            <w:vAlign w:val="center"/>
          </w:tcPr>
          <w:p>
            <w:pPr>
              <w:pStyle w:val="TableContents"/>
              <w:bidi w:val="0"/>
              <w:spacing w:before="0" w:after="283"/>
              <w:jc w:val="center"/>
              <w:rPr/>
            </w:pPr>
            <w:r>
              <w:rPr/>
              <w:t> </w:t>
            </w:r>
          </w:p>
        </w:tc>
        <w:tc>
          <w:tcPr>
            <w:tcW w:w="153"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center"/>
              <w:rPr/>
            </w:pPr>
            <w:r>
              <w:rPr/>
              <w:t> </w:t>
            </w:r>
          </w:p>
        </w:tc>
        <w:tc>
          <w:tcPr>
            <w:tcW w:w="16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44,492</w:t>
            </w:r>
          </w:p>
        </w:tc>
        <w:tc>
          <w:tcPr>
            <w:tcW w:w="217" w:type="dxa"/>
            <w:tcBorders/>
            <w:shd w:fill="CFF0FC" w:val="clear"/>
            <w:vAlign w:val="center"/>
          </w:tcPr>
          <w:p>
            <w:pPr>
              <w:pStyle w:val="TableContents"/>
              <w:bidi w:val="0"/>
              <w:spacing w:before="0" w:after="283"/>
              <w:jc w:val="left"/>
              <w:rPr/>
            </w:pPr>
            <w:r>
              <w:rPr/>
              <w:t> </w:t>
            </w:r>
          </w:p>
        </w:tc>
      </w:tr>
      <w:tr>
        <w:trPr/>
        <w:tc>
          <w:tcPr>
            <w:tcW w:w="1898"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3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center"/>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 w:type="dxa"/>
            <w:tcBorders/>
            <w:shd w:fill="FFFFFF" w:val="clear"/>
            <w:vAlign w:val="center"/>
          </w:tcPr>
          <w:p>
            <w:pPr>
              <w:pStyle w:val="TableContents"/>
              <w:bidi w:val="0"/>
              <w:spacing w:before="0" w:after="283"/>
              <w:jc w:val="center"/>
              <w:rPr/>
            </w:pPr>
            <w:r>
              <w:rPr/>
              <w:t> </w:t>
            </w:r>
          </w:p>
        </w:tc>
        <w:tc>
          <w:tcPr>
            <w:tcW w:w="88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4,172</w:t>
            </w:r>
          </w:p>
        </w:tc>
        <w:tc>
          <w:tcPr>
            <w:tcW w:w="217" w:type="dxa"/>
            <w:tcBorders/>
            <w:shd w:fill="FFFFFF" w:val="clear"/>
            <w:vAlign w:val="center"/>
          </w:tcPr>
          <w:p>
            <w:pPr>
              <w:pStyle w:val="TableContents"/>
              <w:bidi w:val="0"/>
              <w:spacing w:before="0" w:after="283"/>
              <w:jc w:val="left"/>
              <w:rPr/>
            </w:pPr>
            <w:r>
              <w:rPr/>
              <w:t> </w:t>
            </w:r>
          </w:p>
        </w:tc>
      </w:tr>
      <w:tr>
        <w:trPr/>
        <w:tc>
          <w:tcPr>
            <w:tcW w:w="1898"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3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4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208" w:type="dxa"/>
            <w:tcBorders/>
            <w:shd w:fill="CFF0FC" w:val="clear"/>
            <w:vAlign w:val="center"/>
          </w:tcPr>
          <w:p>
            <w:pPr>
              <w:pStyle w:val="TableContents"/>
              <w:bidi w:val="0"/>
              <w:spacing w:before="0" w:after="283"/>
              <w:jc w:val="center"/>
              <w:rPr/>
            </w:pPr>
            <w:r>
              <w:rPr/>
              <w:t> </w:t>
            </w:r>
          </w:p>
        </w:tc>
        <w:tc>
          <w:tcPr>
            <w:tcW w:w="85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206" w:type="dxa"/>
            <w:tcBorders/>
            <w:shd w:fill="CFF0FC" w:val="clear"/>
            <w:vAlign w:val="center"/>
          </w:tcPr>
          <w:p>
            <w:pPr>
              <w:pStyle w:val="TableContents"/>
              <w:bidi w:val="0"/>
              <w:spacing w:before="0" w:after="283"/>
              <w:jc w:val="center"/>
              <w:rPr/>
            </w:pPr>
            <w:r>
              <w:rPr/>
              <w:t> </w:t>
            </w:r>
          </w:p>
        </w:tc>
        <w:tc>
          <w:tcPr>
            <w:tcW w:w="880"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center"/>
              <w:rPr/>
            </w:pPr>
            <w:r>
              <w:rPr/>
              <w:t> </w:t>
            </w:r>
          </w:p>
        </w:tc>
        <w:tc>
          <w:tcPr>
            <w:tcW w:w="16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(3,045</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8"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8,135,589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 w:type="dxa"/>
            <w:tcBorders/>
            <w:shd w:fill="FFFFFF" w:val="cle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119,294</w:t>
            </w:r>
          </w:p>
        </w:tc>
        <w:tc>
          <w:tcPr>
            <w:tcW w:w="217" w:type="dxa"/>
            <w:tcBorders/>
            <w:shd w:fill="FFFFFF" w:val="clear"/>
            <w:vAlign w:val="center"/>
          </w:tcPr>
          <w:p>
            <w:pPr>
              <w:pStyle w:val="TableContents"/>
              <w:bidi w:val="0"/>
              <w:spacing w:before="0" w:after="283"/>
              <w:jc w:val="left"/>
              <w:rPr/>
            </w:pPr>
            <w:r>
              <w:rPr/>
              <w:t> </w:t>
            </w:r>
          </w:p>
        </w:tc>
      </w:tr>
      <w:tr>
        <w:trPr/>
        <w:tc>
          <w:tcPr>
            <w:tcW w:w="1898"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Reinvestment of dividends</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1,830,974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8" w:type="dxa"/>
            <w:tcBorders/>
            <w:shd w:fill="CFF0FC" w:val="clear"/>
            <w:vAlign w:val="center"/>
          </w:tcPr>
          <w:p>
            <w:pPr>
              <w:pStyle w:val="TableContents"/>
              <w:bidi w:val="0"/>
              <w:spacing w:before="0" w:after="283"/>
              <w:jc w:val="center"/>
              <w:rPr/>
            </w:pPr>
            <w:r>
              <w:rPr/>
              <w:t> </w:t>
            </w:r>
          </w:p>
        </w:tc>
        <w:tc>
          <w:tcPr>
            <w:tcW w:w="155"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6" w:type="dxa"/>
            <w:tcBorders/>
            <w:shd w:fill="CFF0FC" w:val="clear"/>
            <w:vAlign w:val="center"/>
          </w:tcPr>
          <w:p>
            <w:pPr>
              <w:pStyle w:val="TableContents"/>
              <w:bidi w:val="0"/>
              <w:spacing w:before="0" w:after="283"/>
              <w:jc w:val="center"/>
              <w:rPr/>
            </w:pPr>
            <w:r>
              <w:rPr/>
              <w:t> </w:t>
            </w:r>
          </w:p>
        </w:tc>
        <w:tc>
          <w:tcPr>
            <w:tcW w:w="153"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center"/>
              <w:rPr/>
            </w:pPr>
            <w:r>
              <w:rPr/>
              <w:t> </w:t>
            </w:r>
          </w:p>
        </w:tc>
        <w:tc>
          <w:tcPr>
            <w:tcW w:w="16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26,995</w:t>
            </w:r>
          </w:p>
        </w:tc>
        <w:tc>
          <w:tcPr>
            <w:tcW w:w="217" w:type="dxa"/>
            <w:tcBorders/>
            <w:shd w:fill="CFF0FC" w:val="clear"/>
            <w:vAlign w:val="center"/>
          </w:tcPr>
          <w:p>
            <w:pPr>
              <w:pStyle w:val="TableContents"/>
              <w:bidi w:val="0"/>
              <w:spacing w:before="0" w:after="283"/>
              <w:jc w:val="left"/>
              <w:rPr/>
            </w:pPr>
            <w:r>
              <w:rPr/>
              <w:t> </w:t>
            </w:r>
          </w:p>
        </w:tc>
      </w:tr>
      <w:tr>
        <w:trPr/>
        <w:tc>
          <w:tcPr>
            <w:tcW w:w="1898"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Refunds (payments) of offering costs</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 w:type="dxa"/>
            <w:tcBorders/>
            <w:shd w:fill="FFFFFF" w:val="cle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(7,014</w:t>
            </w:r>
          </w:p>
        </w:tc>
        <w:tc>
          <w:tcPr>
            <w:tcW w:w="21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8"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paid to stockholders</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8" w:type="dxa"/>
            <w:tcBorders/>
            <w:shd w:fill="CFF0FC" w:val="clear"/>
            <w:vAlign w:val="center"/>
          </w:tcPr>
          <w:p>
            <w:pPr>
              <w:pStyle w:val="TableContents"/>
              <w:bidi w:val="0"/>
              <w:spacing w:before="0" w:after="283"/>
              <w:jc w:val="center"/>
              <w:rPr/>
            </w:pPr>
            <w:r>
              <w:rPr/>
              <w:t> </w:t>
            </w:r>
          </w:p>
        </w:tc>
        <w:tc>
          <w:tcPr>
            <w:tcW w:w="155"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6" w:type="dxa"/>
            <w:tcBorders/>
            <w:shd w:fill="CFF0FC" w:val="clear"/>
            <w:vAlign w:val="center"/>
          </w:tcPr>
          <w:p>
            <w:pPr>
              <w:pStyle w:val="TableContents"/>
              <w:bidi w:val="0"/>
              <w:spacing w:before="0" w:after="283"/>
              <w:jc w:val="center"/>
              <w:rPr/>
            </w:pPr>
            <w:r>
              <w:rPr/>
              <w:t> </w:t>
            </w:r>
          </w:p>
        </w:tc>
        <w:tc>
          <w:tcPr>
            <w:tcW w:w="153"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center"/>
              <w:rPr/>
            </w:pPr>
            <w:r>
              <w:rPr/>
              <w:t> </w:t>
            </w:r>
          </w:p>
        </w:tc>
        <w:tc>
          <w:tcPr>
            <w:tcW w:w="16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(44,943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(44,943</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8" w:type="dxa"/>
            <w:gridSpan w:val="2"/>
            <w:tcBorders/>
            <w:shd w:fill="FFFFFF" w:val="cle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Balances at December 31, 2021</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41,380,614</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0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5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2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606,048</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6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606,195</w:t>
            </w:r>
          </w:p>
        </w:tc>
        <w:tc>
          <w:tcPr>
            <w:tcW w:w="2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1898"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8" w:type="dxa"/>
            <w:tcBorders/>
            <w:shd w:fill="CFF0FC" w:val="clear"/>
            <w:vAlign w:val="center"/>
          </w:tcPr>
          <w:p>
            <w:pPr>
              <w:pStyle w:val="TableContents"/>
              <w:bidi w:val="0"/>
              <w:spacing w:before="0" w:after="283"/>
              <w:jc w:val="center"/>
              <w:rPr/>
            </w:pPr>
            <w:r>
              <w:rPr/>
              <w:t> </w:t>
            </w:r>
          </w:p>
        </w:tc>
        <w:tc>
          <w:tcPr>
            <w:tcW w:w="155"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6" w:type="dxa"/>
            <w:tcBorders/>
            <w:shd w:fill="CFF0FC" w:val="clear"/>
            <w:vAlign w:val="center"/>
          </w:tcPr>
          <w:p>
            <w:pPr>
              <w:pStyle w:val="TableContents"/>
              <w:bidi w:val="0"/>
              <w:spacing w:before="0" w:after="283"/>
              <w:jc w:val="center"/>
              <w:rPr/>
            </w:pPr>
            <w:r>
              <w:rPr/>
              <w:t> </w:t>
            </w:r>
          </w:p>
        </w:tc>
        <w:tc>
          <w:tcPr>
            <w:tcW w:w="153"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center"/>
              <w:rPr/>
            </w:pPr>
            <w:r>
              <w:rPr/>
              <w:t> </w:t>
            </w:r>
          </w:p>
        </w:tc>
        <w:tc>
          <w:tcPr>
            <w:tcW w:w="16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59,796</w:t>
            </w:r>
          </w:p>
        </w:tc>
        <w:tc>
          <w:tcPr>
            <w:tcW w:w="217" w:type="dxa"/>
            <w:tcBorders/>
            <w:shd w:fill="CFF0FC" w:val="clear"/>
            <w:vAlign w:val="center"/>
          </w:tcPr>
          <w:p>
            <w:pPr>
              <w:pStyle w:val="TableContents"/>
              <w:bidi w:val="0"/>
              <w:spacing w:before="0" w:after="283"/>
              <w:jc w:val="left"/>
              <w:rPr/>
            </w:pPr>
            <w:r>
              <w:rPr/>
              <w:t> </w:t>
            </w:r>
          </w:p>
        </w:tc>
      </w:tr>
      <w:tr>
        <w:trPr/>
        <w:tc>
          <w:tcPr>
            <w:tcW w:w="1898"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3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center"/>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 w:type="dxa"/>
            <w:tcBorders/>
            <w:shd w:fill="FFFFFF" w:val="clear"/>
            <w:vAlign w:val="center"/>
          </w:tcPr>
          <w:p>
            <w:pPr>
              <w:pStyle w:val="TableContents"/>
              <w:bidi w:val="0"/>
              <w:spacing w:before="0" w:after="283"/>
              <w:jc w:val="center"/>
              <w:rPr/>
            </w:pPr>
            <w:r>
              <w:rPr/>
              <w:t> </w:t>
            </w:r>
          </w:p>
        </w:tc>
        <w:tc>
          <w:tcPr>
            <w:tcW w:w="88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w:t>
            </w:r>
          </w:p>
        </w:tc>
        <w:tc>
          <w:tcPr>
            <w:tcW w:w="21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8"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3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4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208" w:type="dxa"/>
            <w:tcBorders/>
            <w:shd w:fill="CFF0FC" w:val="clear"/>
            <w:vAlign w:val="center"/>
          </w:tcPr>
          <w:p>
            <w:pPr>
              <w:pStyle w:val="TableContents"/>
              <w:bidi w:val="0"/>
              <w:spacing w:before="0" w:after="283"/>
              <w:jc w:val="center"/>
              <w:rPr/>
            </w:pPr>
            <w:r>
              <w:rPr/>
              <w:t> </w:t>
            </w:r>
          </w:p>
        </w:tc>
        <w:tc>
          <w:tcPr>
            <w:tcW w:w="85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206" w:type="dxa"/>
            <w:tcBorders/>
            <w:shd w:fill="CFF0FC" w:val="clear"/>
            <w:vAlign w:val="center"/>
          </w:tcPr>
          <w:p>
            <w:pPr>
              <w:pStyle w:val="TableContents"/>
              <w:bidi w:val="0"/>
              <w:spacing w:before="0" w:after="283"/>
              <w:jc w:val="center"/>
              <w:rPr/>
            </w:pPr>
            <w:r>
              <w:rPr/>
              <w:t> </w:t>
            </w:r>
          </w:p>
        </w:tc>
        <w:tc>
          <w:tcPr>
            <w:tcW w:w="880"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center"/>
              <w:rPr/>
            </w:pPr>
            <w:r>
              <w:rPr/>
              <w:t> </w:t>
            </w:r>
          </w:p>
        </w:tc>
        <w:tc>
          <w:tcPr>
            <w:tcW w:w="16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(26,485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(26,485</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8"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Acquisition of treasury stock</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(871,345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206" w:type="dxa"/>
            <w:tcBorders/>
            <w:shd w:fill="FFFFFF" w:val="cle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(10,816</w:t>
            </w:r>
          </w:p>
        </w:tc>
        <w:tc>
          <w:tcPr>
            <w:tcW w:w="21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8"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Refunds (payments) of offering costs</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8" w:type="dxa"/>
            <w:tcBorders/>
            <w:shd w:fill="CFF0FC" w:val="clear"/>
            <w:vAlign w:val="center"/>
          </w:tcPr>
          <w:p>
            <w:pPr>
              <w:pStyle w:val="TableContents"/>
              <w:bidi w:val="0"/>
              <w:spacing w:before="0" w:after="283"/>
              <w:jc w:val="center"/>
              <w:rPr/>
            </w:pPr>
            <w:r>
              <w:rPr/>
              <w:t> </w:t>
            </w:r>
          </w:p>
        </w:tc>
        <w:tc>
          <w:tcPr>
            <w:tcW w:w="155"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6" w:type="dxa"/>
            <w:tcBorders/>
            <w:shd w:fill="CFF0FC" w:val="clear"/>
            <w:vAlign w:val="center"/>
          </w:tcPr>
          <w:p>
            <w:pPr>
              <w:pStyle w:val="TableContents"/>
              <w:bidi w:val="0"/>
              <w:spacing w:before="0" w:after="283"/>
              <w:jc w:val="center"/>
              <w:rPr/>
            </w:pPr>
            <w:r>
              <w:rPr/>
              <w:t> </w:t>
            </w:r>
          </w:p>
        </w:tc>
        <w:tc>
          <w:tcPr>
            <w:tcW w:w="153"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center"/>
              <w:rPr/>
            </w:pPr>
            <w:r>
              <w:rPr/>
              <w:t> </w:t>
            </w:r>
          </w:p>
        </w:tc>
        <w:tc>
          <w:tcPr>
            <w:tcW w:w="16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17" w:type="dxa"/>
            <w:tcBorders/>
            <w:shd w:fill="CFF0FC" w:val="clear"/>
            <w:vAlign w:val="center"/>
          </w:tcPr>
          <w:p>
            <w:pPr>
              <w:pStyle w:val="TableContents"/>
              <w:bidi w:val="0"/>
              <w:spacing w:before="0" w:after="283"/>
              <w:jc w:val="left"/>
              <w:rPr/>
            </w:pPr>
            <w:r>
              <w:rPr/>
              <w:t> </w:t>
            </w:r>
          </w:p>
        </w:tc>
      </w:tr>
      <w:tr>
        <w:trPr/>
        <w:tc>
          <w:tcPr>
            <w:tcW w:w="1898"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paid to stockholders</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 w:type="dxa"/>
            <w:tcBorders/>
            <w:shd w:fill="FFFFFF" w:val="cle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(51,593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(51,593</w:t>
            </w:r>
          </w:p>
        </w:tc>
        <w:tc>
          <w:tcPr>
            <w:tcW w:w="21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8"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reclassification</w:t>
            </w:r>
          </w:p>
        </w:tc>
        <w:tc>
          <w:tcPr>
            <w:tcW w:w="3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8" w:type="dxa"/>
            <w:gridSpan w:val="2"/>
            <w:tcBorders/>
            <w:shd w:fill="FFFFFF" w:val="cle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Balances at December 31, 2022</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40,509,269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576,052</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8"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8" w:type="dxa"/>
            <w:tcBorders/>
            <w:shd w:fill="CFF0FC" w:val="clear"/>
            <w:vAlign w:val="center"/>
          </w:tcPr>
          <w:p>
            <w:pPr>
              <w:pStyle w:val="TableContents"/>
              <w:bidi w:val="0"/>
              <w:spacing w:before="0" w:after="283"/>
              <w:jc w:val="center"/>
              <w:rPr/>
            </w:pPr>
            <w:r>
              <w:rPr/>
              <w:t> </w:t>
            </w:r>
          </w:p>
        </w:tc>
        <w:tc>
          <w:tcPr>
            <w:tcW w:w="155"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6" w:type="dxa"/>
            <w:tcBorders/>
            <w:shd w:fill="CFF0FC" w:val="clear"/>
            <w:vAlign w:val="center"/>
          </w:tcPr>
          <w:p>
            <w:pPr>
              <w:pStyle w:val="TableContents"/>
              <w:bidi w:val="0"/>
              <w:spacing w:before="0" w:after="283"/>
              <w:jc w:val="center"/>
              <w:rPr/>
            </w:pPr>
            <w:r>
              <w:rPr/>
              <w:t> </w:t>
            </w:r>
          </w:p>
        </w:tc>
        <w:tc>
          <w:tcPr>
            <w:tcW w:w="153"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center"/>
              <w:rPr/>
            </w:pPr>
            <w:r>
              <w:rPr/>
              <w:t> </w:t>
            </w:r>
          </w:p>
        </w:tc>
        <w:tc>
          <w:tcPr>
            <w:tcW w:w="16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78,275</w:t>
            </w:r>
          </w:p>
        </w:tc>
        <w:tc>
          <w:tcPr>
            <w:tcW w:w="217" w:type="dxa"/>
            <w:tcBorders/>
            <w:shd w:fill="CFF0FC" w:val="clear"/>
            <w:vAlign w:val="center"/>
          </w:tcPr>
          <w:p>
            <w:pPr>
              <w:pStyle w:val="TableContents"/>
              <w:bidi w:val="0"/>
              <w:spacing w:before="0" w:after="283"/>
              <w:jc w:val="left"/>
              <w:rPr/>
            </w:pPr>
            <w:r>
              <w:rPr/>
              <w:t> </w:t>
            </w:r>
          </w:p>
        </w:tc>
      </w:tr>
      <w:tr>
        <w:trPr/>
        <w:tc>
          <w:tcPr>
            <w:tcW w:w="1898"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3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center"/>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 w:type="dxa"/>
            <w:tcBorders/>
            <w:shd w:fill="FFFFFF" w:val="clear"/>
            <w:vAlign w:val="center"/>
          </w:tcPr>
          <w:p>
            <w:pPr>
              <w:pStyle w:val="TableContents"/>
              <w:bidi w:val="0"/>
              <w:spacing w:before="0" w:after="283"/>
              <w:jc w:val="center"/>
              <w:rPr/>
            </w:pPr>
            <w:r>
              <w:rPr/>
              <w:t> </w:t>
            </w:r>
          </w:p>
        </w:tc>
        <w:tc>
          <w:tcPr>
            <w:tcW w:w="88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(18,387</w:t>
            </w:r>
          </w:p>
        </w:tc>
        <w:tc>
          <w:tcPr>
            <w:tcW w:w="21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8"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3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4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208" w:type="dxa"/>
            <w:tcBorders/>
            <w:shd w:fill="CFF0FC" w:val="clear"/>
            <w:vAlign w:val="center"/>
          </w:tcPr>
          <w:p>
            <w:pPr>
              <w:pStyle w:val="TableContents"/>
              <w:bidi w:val="0"/>
              <w:spacing w:before="0" w:after="283"/>
              <w:jc w:val="center"/>
              <w:rPr/>
            </w:pPr>
            <w:r>
              <w:rPr/>
              <w:t> </w:t>
            </w:r>
          </w:p>
        </w:tc>
        <w:tc>
          <w:tcPr>
            <w:tcW w:w="85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206" w:type="dxa"/>
            <w:tcBorders/>
            <w:shd w:fill="CFF0FC" w:val="clear"/>
            <w:vAlign w:val="center"/>
          </w:tcPr>
          <w:p>
            <w:pPr>
              <w:pStyle w:val="TableContents"/>
              <w:bidi w:val="0"/>
              <w:spacing w:before="0" w:after="283"/>
              <w:jc w:val="center"/>
              <w:rPr/>
            </w:pPr>
            <w:r>
              <w:rPr/>
              <w:t> </w:t>
            </w:r>
          </w:p>
        </w:tc>
        <w:tc>
          <w:tcPr>
            <w:tcW w:w="880"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223" w:type="dxa"/>
            <w:tcBorders/>
            <w:shd w:fill="CFF0FC" w:val="clear"/>
            <w:vAlign w:val="center"/>
          </w:tcPr>
          <w:p>
            <w:pPr>
              <w:pStyle w:val="TableContents"/>
              <w:bidi w:val="0"/>
              <w:spacing w:before="0" w:after="283"/>
              <w:jc w:val="center"/>
              <w:rPr/>
            </w:pPr>
            <w:r>
              <w:rPr/>
              <w:t> </w:t>
            </w:r>
          </w:p>
        </w:tc>
        <w:tc>
          <w:tcPr>
            <w:tcW w:w="16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(15,547</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8"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paid to stockholders</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 w:type="dxa"/>
            <w:tcBorders/>
            <w:shd w:fill="FFFFFF" w:val="cle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(73,322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(73,322</w:t>
            </w:r>
          </w:p>
        </w:tc>
        <w:tc>
          <w:tcPr>
            <w:tcW w:w="21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98"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reclassification</w:t>
            </w:r>
          </w:p>
        </w:tc>
        <w:tc>
          <w:tcPr>
            <w:tcW w:w="3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8" w:type="dxa"/>
            <w:gridSpan w:val="2"/>
            <w:tcBorders/>
            <w:shd w:fill="FFFFFF" w:val="cle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Balances at December 31, 2023</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40,509,269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547,071</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6" w:type="dxa"/>
            <w:tcBorders/>
            <w:shd w:fill="CFF0FC" w:val="clear"/>
            <w:vAlign w:val="center"/>
          </w:tcPr>
          <w:p>
            <w:pPr>
              <w:pStyle w:val="TableContents"/>
              <w:bidi w:val="0"/>
              <w:spacing w:before="0" w:after="283"/>
              <w:jc w:val="left"/>
              <w:rPr/>
            </w:pPr>
            <w:r>
              <w:rPr/>
              <w:t> </w:t>
            </w:r>
          </w:p>
        </w:tc>
        <w:tc>
          <w:tcPr>
            <w:tcW w:w="1152"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right"/>
              <w:rPr/>
            </w:pPr>
            <w:r>
              <w:rPr/>
              <w:t> </w:t>
            </w:r>
          </w:p>
        </w:tc>
        <w:tc>
          <w:tcPr>
            <w:tcW w:w="54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right"/>
              <w:rPr/>
            </w:pPr>
            <w:r>
              <w:rPr/>
              <w:t> </w:t>
            </w:r>
          </w:p>
        </w:tc>
        <w:tc>
          <w:tcPr>
            <w:tcW w:w="85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right"/>
              <w:rPr/>
            </w:pPr>
            <w:r>
              <w:rPr/>
              <w:t> </w:t>
            </w:r>
          </w:p>
        </w:tc>
        <w:tc>
          <w:tcPr>
            <w:tcW w:w="88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right"/>
              <w:rPr/>
            </w:pPr>
            <w:r>
              <w:rPr/>
              <w:t> </w:t>
            </w:r>
          </w:p>
        </w:tc>
        <w:tc>
          <w:tcPr>
            <w:tcW w:w="92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right"/>
              <w:rPr/>
            </w:pPr>
            <w:r>
              <w:rPr/>
              <w:t> </w:t>
            </w:r>
          </w:p>
        </w:tc>
        <w:tc>
          <w:tcPr>
            <w:tcW w:w="895" w:type="dxa"/>
            <w:gridSpan w:val="2"/>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Number of shares is shown net of cumulative treasury stock repurchases of 871,345</w:t>
      </w:r>
      <w:r>
        <w:rPr>
          <w:rFonts w:ascii="Times New Roman" w:hAnsi="Times New Roman"/>
          <w:color w:val="000000"/>
          <w:sz w:val="20"/>
        </w:rPr>
        <w:t xml:space="preserve"> </w:t>
      </w:r>
      <w:r>
        <w:rPr>
          <w:rFonts w:ascii="Times New Roman" w:hAnsi="Times New Roman"/>
          <w:color w:val="000000"/>
          <w:sz w:val="16"/>
        </w:rPr>
        <w:t>shares as of December 31, 2023 and December 31, 2022.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22" w:name="statementsofcashflows_699252"/>
      <w:bookmarkEnd w:id="22"/>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665"/>
        <w:gridCol w:w="146"/>
        <w:gridCol w:w="196"/>
        <w:gridCol w:w="146"/>
        <w:gridCol w:w="751"/>
        <w:gridCol w:w="166"/>
        <w:gridCol w:w="146"/>
        <w:gridCol w:w="196"/>
        <w:gridCol w:w="146"/>
        <w:gridCol w:w="751"/>
        <w:gridCol w:w="166"/>
        <w:gridCol w:w="146"/>
        <w:gridCol w:w="196"/>
        <w:gridCol w:w="146"/>
        <w:gridCol w:w="751"/>
        <w:gridCol w:w="491"/>
      </w:tblGrid>
      <w:tr>
        <w:trPr/>
        <w:tc>
          <w:tcPr>
            <w:tcW w:w="5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6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903" w:type="dxa"/>
            <w:gridSpan w:val="1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491" w:type="dxa"/>
            <w:tcBorders/>
            <w:shd w:fill="FFFFFF" w:val="clear"/>
            <w:vAlign w:val="center"/>
          </w:tcPr>
          <w:p>
            <w:pPr>
              <w:pStyle w:val="TableContents"/>
              <w:bidi w:val="0"/>
              <w:spacing w:before="0" w:after="283"/>
              <w:jc w:val="center"/>
              <w:rPr/>
            </w:pPr>
            <w:r>
              <w:rPr/>
              <w:t> </w:t>
            </w:r>
          </w:p>
        </w:tc>
      </w:tr>
      <w:tr>
        <w:trPr/>
        <w:tc>
          <w:tcPr>
            <w:tcW w:w="56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9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9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97"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566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45,619</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566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Adjustments to reconcile net increase in net assets resulting from operations to net cash provided by (used in) operating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9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9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97"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56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Purchases of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(200,464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(622,719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(424,441</w:t>
            </w:r>
          </w:p>
        </w:tc>
        <w:tc>
          <w:tcPr>
            <w:tcW w:w="49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Purchases of U.S. Treasury Bills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(76,973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(210,002</w:t>
            </w:r>
          </w:p>
        </w:tc>
        <w:tc>
          <w:tcPr>
            <w:tcW w:w="49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Payment-in-kind interest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(19,924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(8,655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(2,996</w:t>
            </w:r>
          </w:p>
        </w:tc>
        <w:tc>
          <w:tcPr>
            <w:tcW w:w="49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Sales or repayments of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296,409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168,898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303,602</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56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Sales or maturities of U.S. Treasury Bills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234,999</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566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(4,172</w:t>
            </w:r>
          </w:p>
        </w:tc>
        <w:tc>
          <w:tcPr>
            <w:tcW w:w="49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3,045</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566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Amortization of fixed income premiums or accretion of discounts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(7,742</w:t>
            </w:r>
          </w:p>
        </w:tc>
        <w:tc>
          <w:tcPr>
            <w:tcW w:w="49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Amortization of deferred debt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66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9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9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97"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56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(Increase) decrease in interest and fees receivable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w:t>
            </w:r>
          </w:p>
        </w:tc>
        <w:tc>
          <w:tcPr>
            <w:tcW w:w="49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(Increase) decrease in other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w:t>
            </w:r>
          </w:p>
        </w:tc>
        <w:tc>
          <w:tcPr>
            <w:tcW w:w="49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Increase (decrease) in incentive fees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566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Increase (decrease) in interest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49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Increase (decrease) in accrued expenses and other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665" w:type="dxa"/>
            <w:tcBorders/>
            <w:shd w:fill="CFF0FC" w:val="clear"/>
            <w:vAlign w:val="center"/>
          </w:tcPr>
          <w:p>
            <w:pPr>
              <w:pStyle w:val="TableContents"/>
              <w:bidi w:val="0"/>
              <w:spacing w:before="0" w:after="283"/>
              <w:ind w:left="300" w:right="0" w:firstLine="300"/>
              <w:jc w:val="left"/>
              <w:rPr>
                <w:rFonts w:ascii="Times New Roman" w:hAnsi="Times New Roman"/>
                <w:b/>
                <w:color w:val="000000"/>
                <w:sz w:val="16"/>
              </w:rPr>
            </w:pPr>
            <w:r>
              <w:rPr>
                <w:rFonts w:ascii="Times New Roman" w:hAnsi="Times New Roman"/>
                <w:b/>
                <w:color w:val="000000"/>
                <w:sz w:val="16"/>
              </w:rPr>
              <w:t>Net cash provided by (used in) operating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(61,246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665"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66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Payments of deferred debt costs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491"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66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Borrowings under credit facility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161,000</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66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Repayments under credit facility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(275,000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(208,000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(199,000</w:t>
            </w:r>
          </w:p>
        </w:tc>
        <w:tc>
          <w:tcPr>
            <w:tcW w:w="491"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66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Proceeds from 2026 Notes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66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Proceeds from 2027 Notes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566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Proceeds from reverse repurchase agreements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149,249</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66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Repayments of reverse repurchase agreements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(44,775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(174,124</w:t>
            </w:r>
          </w:p>
        </w:tc>
        <w:tc>
          <w:tcPr>
            <w:tcW w:w="491"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66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Acquisition of treasury shares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66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Dividends paid to stockholders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(73,322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(51,593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(17,948</w:t>
            </w:r>
          </w:p>
        </w:tc>
        <w:tc>
          <w:tcPr>
            <w:tcW w:w="491"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66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Refunds (payments) of offering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(7,014</w:t>
            </w:r>
          </w:p>
        </w:tc>
        <w:tc>
          <w:tcPr>
            <w:tcW w:w="49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66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Cash received from common stock issued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119,294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665" w:type="dxa"/>
            <w:tcBorders/>
            <w:shd w:fill="FFFFFF" w:val="clear"/>
            <w:vAlign w:val="center"/>
          </w:tcPr>
          <w:p>
            <w:pPr>
              <w:pStyle w:val="TableContents"/>
              <w:bidi w:val="0"/>
              <w:spacing w:before="0" w:after="283"/>
              <w:ind w:left="300" w:right="0" w:firstLine="300"/>
              <w:jc w:val="left"/>
              <w:rPr>
                <w:rFonts w:ascii="Times New Roman" w:hAnsi="Times New Roman"/>
                <w:b/>
                <w:color w:val="000000"/>
                <w:sz w:val="16"/>
              </w:rPr>
            </w:pPr>
            <w:r>
              <w:rPr>
                <w:rFonts w:ascii="Times New Roman" w:hAnsi="Times New Roman"/>
                <w:b/>
                <w:color w:val="000000"/>
                <w:sz w:val="16"/>
              </w:rPr>
              <w:t>Net cash (used in) provided by financing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51,057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(10,189</w:t>
            </w:r>
          </w:p>
        </w:tc>
        <w:tc>
          <w:tcPr>
            <w:tcW w:w="491"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66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Cash and cash equivalents at beginning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665"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Cash and cash equivalents at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65"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and non-cash financing cash flow information: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66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Taxes paid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566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Interest paid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2,773</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566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Non-cash dividend reinvestments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26,995</w:t>
            </w:r>
          </w:p>
        </w:tc>
        <w:tc>
          <w:tcPr>
            <w:tcW w:w="4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bookmarkStart w:id="23" w:name="schedulesofinvestmentsasofdecember312019"/>
      <w:bookmarkEnd w:id="23"/>
      <w:r>
        <w:rPr>
          <w:rFonts w:ascii="Times New Roman" w:hAnsi="Times New Roman"/>
          <w:b/>
          <w:color w:val="000000"/>
          <w:sz w:val="20"/>
        </w:rPr>
        <w:t>RUNWAY GROWTH FINANCE CORP.</w:t>
      </w:r>
    </w:p>
    <w:p>
      <w:pPr>
        <w:pStyle w:val="TextBody"/>
        <w:bidi w:val="0"/>
        <w:jc w:val="center"/>
        <w:rPr/>
      </w:pPr>
      <w:r>
        <w:rPr>
          <w:color w:val="000000"/>
        </w:rPr>
        <w:t> </w:t>
      </w:r>
      <w:r>
        <w:rPr>
          <w:rFonts w:ascii="Times New Roman" w:hAnsi="Times New Roman"/>
          <w:b/>
          <w:color w:val="000000"/>
          <w:sz w:val="20"/>
        </w:rPr>
        <w:t>Consolidated Schedule of Investments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December 31, 2023</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1202"/>
        <w:gridCol w:w="146"/>
        <w:gridCol w:w="817"/>
        <w:gridCol w:w="146"/>
        <w:gridCol w:w="1224"/>
        <w:gridCol w:w="146"/>
        <w:gridCol w:w="909"/>
        <w:gridCol w:w="146"/>
        <w:gridCol w:w="693"/>
        <w:gridCol w:w="146"/>
        <w:gridCol w:w="162"/>
        <w:gridCol w:w="162"/>
        <w:gridCol w:w="567"/>
        <w:gridCol w:w="146"/>
        <w:gridCol w:w="146"/>
        <w:gridCol w:w="146"/>
        <w:gridCol w:w="146"/>
        <w:gridCol w:w="586"/>
        <w:gridCol w:w="146"/>
        <w:gridCol w:w="146"/>
        <w:gridCol w:w="146"/>
        <w:gridCol w:w="146"/>
        <w:gridCol w:w="586"/>
        <w:gridCol w:w="146"/>
        <w:gridCol w:w="146"/>
        <w:gridCol w:w="800"/>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15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Investment Description</w:t>
            </w:r>
            <w:r>
              <w:rPr>
                <w:rFonts w:ascii="Times New Roman" w:hAnsi="Times New Roman"/>
                <w:b/>
                <w:color w:val="000000"/>
                <w:sz w:val="9"/>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842" w:type="dxa"/>
            <w:gridSpan w:val="7"/>
            <w:tcBorders/>
            <w:shd w:fill="CFF0FC"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729"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681" w:type="dxa"/>
            <w:gridSpan w:val="6"/>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Debt Investments</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2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5"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Application Software</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72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Blueshift Labs, Inc.</w:t>
            </w:r>
          </w:p>
        </w:tc>
        <w:tc>
          <w:tcPr>
            <w:tcW w:w="146"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SOFR+6.25%, 11.25% floor, 2.00% PIK, 1.50% ETP</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12/19/2023</w:t>
            </w:r>
          </w:p>
        </w:tc>
        <w:tc>
          <w:tcPr>
            <w:tcW w:w="146" w:type="dxa"/>
            <w:tcBorders/>
            <w:shd w:fill="FFFFFF" w:val="clear"/>
            <w:vAlign w:val="center"/>
          </w:tcPr>
          <w:p>
            <w:pPr>
              <w:pStyle w:val="TableContents"/>
              <w:bidi w:val="0"/>
              <w:spacing w:before="0" w:after="283"/>
              <w:jc w:val="center"/>
              <w:rPr/>
            </w:pPr>
            <w:r>
              <w:rPr/>
              <w:t> </w:t>
            </w:r>
          </w:p>
        </w:tc>
        <w:tc>
          <w:tcPr>
            <w:tcW w:w="69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12/15/2028</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 (10)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Circadence Corporation</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SOFR+9.50%, 12.26% floor, 10.00% cash cap, 7.50% ETP</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12/20/2018</w:t>
            </w:r>
          </w:p>
        </w:tc>
        <w:tc>
          <w:tcPr>
            <w:tcW w:w="146" w:type="dxa"/>
            <w:tcBorders/>
            <w:shd w:fill="CFF0FC" w:val="clear"/>
            <w:vAlign w:val="center"/>
          </w:tcPr>
          <w:p>
            <w:pPr>
              <w:pStyle w:val="TableContents"/>
              <w:bidi w:val="0"/>
              <w:spacing w:before="0" w:after="283"/>
              <w:jc w:val="center"/>
              <w:rPr/>
            </w:pPr>
            <w:r>
              <w:rPr/>
              <w:t> </w:t>
            </w:r>
          </w:p>
        </w:tc>
        <w:tc>
          <w:tcPr>
            <w:tcW w:w="69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3/15/2024</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 (10)</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FiscalNote, Inc.</w:t>
            </w:r>
          </w:p>
        </w:tc>
        <w:tc>
          <w:tcPr>
            <w:tcW w:w="146"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PRIME+5.00%, 9.00% floor, 1.00% PIK, 5.75% ETP</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10/19/2020</w:t>
            </w:r>
          </w:p>
        </w:tc>
        <w:tc>
          <w:tcPr>
            <w:tcW w:w="146" w:type="dxa"/>
            <w:tcBorders/>
            <w:shd w:fill="FFFFFF" w:val="clear"/>
            <w:vAlign w:val="center"/>
          </w:tcPr>
          <w:p>
            <w:pPr>
              <w:pStyle w:val="TableContents"/>
              <w:bidi w:val="0"/>
              <w:spacing w:before="0" w:after="283"/>
              <w:jc w:val="center"/>
              <w:rPr/>
            </w:pPr>
            <w:r>
              <w:rPr/>
              <w:t> </w:t>
            </w:r>
          </w:p>
        </w:tc>
        <w:tc>
          <w:tcPr>
            <w:tcW w:w="69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7/15/2027</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65,916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65,868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 (10) (11) (13)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VTX Intermediate Holdings, Inc. (dba VertexOne)</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SOFR+9.00%, 9.50% floor, 10.00% cash cap, 4.50% ETP</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12/28/2021</w:t>
            </w:r>
          </w:p>
        </w:tc>
        <w:tc>
          <w:tcPr>
            <w:tcW w:w="146" w:type="dxa"/>
            <w:tcBorders/>
            <w:shd w:fill="CFF0FC" w:val="clear"/>
            <w:vAlign w:val="center"/>
          </w:tcPr>
          <w:p>
            <w:pPr>
              <w:pStyle w:val="TableContents"/>
              <w:bidi w:val="0"/>
              <w:spacing w:before="0" w:after="283"/>
              <w:jc w:val="center"/>
              <w:rPr/>
            </w:pPr>
            <w:r>
              <w:rPr/>
              <w:t> </w:t>
            </w:r>
          </w:p>
        </w:tc>
        <w:tc>
          <w:tcPr>
            <w:tcW w:w="69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12/28/2026</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87,971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88,747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87,814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 (10)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5"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Application Software - 35.92%*</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2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203,979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72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5"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Asset Management &amp; Custody Banks</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2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Betterment Holdings, Inc.</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PRIME+4.50%, 8.50% floor</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10/6/2023</w:t>
            </w:r>
          </w:p>
        </w:tc>
        <w:tc>
          <w:tcPr>
            <w:tcW w:w="146" w:type="dxa"/>
            <w:tcBorders/>
            <w:shd w:fill="CFF0FC" w:val="clear"/>
            <w:vAlign w:val="center"/>
          </w:tcPr>
          <w:p>
            <w:pPr>
              <w:pStyle w:val="TableContents"/>
              <w:bidi w:val="0"/>
              <w:spacing w:before="0" w:after="283"/>
              <w:jc w:val="center"/>
              <w:rPr/>
            </w:pPr>
            <w:r>
              <w:rPr/>
              <w:t> </w:t>
            </w:r>
          </w:p>
        </w:tc>
        <w:tc>
          <w:tcPr>
            <w:tcW w:w="69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10/6/2027</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5"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Asset Management &amp; Custody Banks - 1.44%*</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2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72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5"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Data Processing &amp; Outsourced Services</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2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Elevate Services, Inc.</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SOFR+7.50%, 12.78% floor</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7/10/2023</w:t>
            </w:r>
          </w:p>
        </w:tc>
        <w:tc>
          <w:tcPr>
            <w:tcW w:w="146"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7/10/2027</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Interactions Corporation</w:t>
            </w:r>
          </w:p>
        </w:tc>
        <w:tc>
          <w:tcPr>
            <w:tcW w:w="146"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SOFR+9.26%, 9.76% floor, 3.4375% ETP</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6/24/2022</w:t>
            </w:r>
          </w:p>
        </w:tc>
        <w:tc>
          <w:tcPr>
            <w:tcW w:w="146" w:type="dxa"/>
            <w:tcBorders/>
            <w:shd w:fill="FFFFFF" w:val="clear"/>
            <w:vAlign w:val="center"/>
          </w:tcPr>
          <w:p>
            <w:pPr>
              <w:pStyle w:val="TableContents"/>
              <w:bidi w:val="0"/>
              <w:spacing w:before="0" w:after="283"/>
              <w:jc w:val="center"/>
              <w:rPr/>
            </w:pPr>
            <w:r>
              <w:rPr/>
              <w:t> </w:t>
            </w:r>
          </w:p>
        </w:tc>
        <w:tc>
          <w:tcPr>
            <w:tcW w:w="69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6/15/2027</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39,907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39,945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ShareThis, Inc.</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SOFR+9.25%, 11.86% floor, 3.00% ETP</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12/3/2018</w:t>
            </w:r>
          </w:p>
        </w:tc>
        <w:tc>
          <w:tcPr>
            <w:tcW w:w="146" w:type="dxa"/>
            <w:tcBorders/>
            <w:shd w:fill="CFF0FC" w:val="clear"/>
            <w:vAlign w:val="center"/>
          </w:tcPr>
          <w:p>
            <w:pPr>
              <w:pStyle w:val="TableContents"/>
              <w:bidi w:val="0"/>
              <w:spacing w:before="0" w:after="283"/>
              <w:jc w:val="center"/>
              <w:rPr/>
            </w:pPr>
            <w:r>
              <w:rPr/>
              <w:t> </w:t>
            </w:r>
          </w:p>
        </w:tc>
        <w:tc>
          <w:tcPr>
            <w:tcW w:w="69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9/30/2024</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SOFR+8.25%, 10.86% floor, 3.00% ETP</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8/18/2020</w:t>
            </w:r>
          </w:p>
        </w:tc>
        <w:tc>
          <w:tcPr>
            <w:tcW w:w="146" w:type="dxa"/>
            <w:tcBorders/>
            <w:shd w:fill="FFFFFF" w:val="clear"/>
            <w:vAlign w:val="center"/>
          </w:tcPr>
          <w:p>
            <w:pPr>
              <w:pStyle w:val="TableContents"/>
              <w:bidi w:val="0"/>
              <w:spacing w:before="0" w:after="283"/>
              <w:jc w:val="center"/>
              <w:rPr/>
            </w:pPr>
            <w:r>
              <w:rPr/>
              <w:t> </w:t>
            </w:r>
          </w:p>
        </w:tc>
        <w:tc>
          <w:tcPr>
            <w:tcW w:w="69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9/30/2024</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Vesta Payment Solutions, Inc.</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SOFR+7.00%, 9.00% floor, 3.00% ETP</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11/29/2022</w:t>
            </w:r>
          </w:p>
        </w:tc>
        <w:tc>
          <w:tcPr>
            <w:tcW w:w="146" w:type="dxa"/>
            <w:tcBorders/>
            <w:shd w:fill="CFF0FC" w:val="clear"/>
            <w:vAlign w:val="center"/>
          </w:tcPr>
          <w:p>
            <w:pPr>
              <w:pStyle w:val="TableContents"/>
              <w:bidi w:val="0"/>
              <w:spacing w:before="0" w:after="283"/>
              <w:jc w:val="center"/>
              <w:rPr/>
            </w:pPr>
            <w:r>
              <w:rPr/>
              <w:t> </w:t>
            </w:r>
          </w:p>
        </w:tc>
        <w:tc>
          <w:tcPr>
            <w:tcW w:w="69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11/15/2026</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5"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Data Processing &amp; Outsourced Services - 19.12%*</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2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72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5"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Education Services</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2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Turning Tech Intermediate, Inc. (dba Echo 360, Inc.)</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SOFR+8.50%, 9.00% floor, 13.00% cash cap, 3.00% ETP</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6/22/2021</w:t>
            </w:r>
          </w:p>
        </w:tc>
        <w:tc>
          <w:tcPr>
            <w:tcW w:w="146" w:type="dxa"/>
            <w:tcBorders/>
            <w:shd w:fill="CFF0FC" w:val="clear"/>
            <w:vAlign w:val="center"/>
          </w:tcPr>
          <w:p>
            <w:pPr>
              <w:pStyle w:val="TableContents"/>
              <w:bidi w:val="0"/>
              <w:spacing w:before="0" w:after="283"/>
              <w:jc w:val="center"/>
              <w:rPr/>
            </w:pPr>
            <w:r>
              <w:rPr/>
              <w:t> </w:t>
            </w:r>
          </w:p>
        </w:tc>
        <w:tc>
          <w:tcPr>
            <w:tcW w:w="69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12/14/2025</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 (10)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5"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Education Services - 4.72%*</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2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72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5"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Electronic Equipment &amp; Instruments</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2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Brivo, Inc.</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SOFR+6.85%, 10.89% floor, 3.00% ETP</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10/20/2022</w:t>
            </w:r>
          </w:p>
        </w:tc>
        <w:tc>
          <w:tcPr>
            <w:tcW w:w="146" w:type="dxa"/>
            <w:tcBorders/>
            <w:shd w:fill="CFF0FC" w:val="clear"/>
            <w:vAlign w:val="center"/>
          </w:tcPr>
          <w:p>
            <w:pPr>
              <w:pStyle w:val="TableContents"/>
              <w:bidi w:val="0"/>
              <w:spacing w:before="0" w:after="283"/>
              <w:jc w:val="center"/>
              <w:rPr/>
            </w:pPr>
            <w:r>
              <w:rPr/>
              <w:t> </w:t>
            </w:r>
          </w:p>
        </w:tc>
        <w:tc>
          <w:tcPr>
            <w:tcW w:w="69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10/20/2027</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5"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Electronic Equipment &amp; Instruments - 4.90%*</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2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72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5"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 Care Equipment</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2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Moximed, Inc.</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PRIME+5.25%, 8.75% floor, 3.50% ETP</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6/24/2022</w:t>
            </w:r>
          </w:p>
        </w:tc>
        <w:tc>
          <w:tcPr>
            <w:tcW w:w="146" w:type="dxa"/>
            <w:tcBorders/>
            <w:shd w:fill="CFF0FC" w:val="clear"/>
            <w:vAlign w:val="center"/>
          </w:tcPr>
          <w:p>
            <w:pPr>
              <w:pStyle w:val="TableContents"/>
              <w:bidi w:val="0"/>
              <w:spacing w:before="0" w:after="283"/>
              <w:jc w:val="center"/>
              <w:rPr/>
            </w:pPr>
            <w:r>
              <w:rPr/>
              <w:t> </w:t>
            </w:r>
          </w:p>
        </w:tc>
        <w:tc>
          <w:tcPr>
            <w:tcW w:w="69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7/1/2027</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5"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 Care Equipment - 2.79%*</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2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72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5"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 Care Technology</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2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EBR Systems, Inc.</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PRIME+4.90%, 8.90% floor, 4.50% ETP</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6/30/2022</w:t>
            </w:r>
          </w:p>
        </w:tc>
        <w:tc>
          <w:tcPr>
            <w:tcW w:w="146" w:type="dxa"/>
            <w:tcBorders/>
            <w:shd w:fill="CFF0FC" w:val="clear"/>
            <w:vAlign w:val="center"/>
          </w:tcPr>
          <w:p>
            <w:pPr>
              <w:pStyle w:val="TableContents"/>
              <w:bidi w:val="0"/>
              <w:spacing w:before="0" w:after="283"/>
              <w:jc w:val="center"/>
              <w:rPr/>
            </w:pPr>
            <w:r>
              <w:rPr/>
              <w:t> </w:t>
            </w:r>
          </w:p>
        </w:tc>
        <w:tc>
          <w:tcPr>
            <w:tcW w:w="69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6/15/2027</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39,496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 (15)</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Mingle Healthcare Solutions, Inc.</w:t>
            </w:r>
          </w:p>
        </w:tc>
        <w:tc>
          <w:tcPr>
            <w:tcW w:w="146"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SOFR+9.75%, 12.26% floor, 10.50% ETP</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8/15/2018</w:t>
            </w:r>
          </w:p>
        </w:tc>
        <w:tc>
          <w:tcPr>
            <w:tcW w:w="146" w:type="dxa"/>
            <w:tcBorders/>
            <w:shd w:fill="FFFFFF" w:val="clear"/>
            <w:vAlign w:val="center"/>
          </w:tcPr>
          <w:p>
            <w:pPr>
              <w:pStyle w:val="TableContents"/>
              <w:bidi w:val="0"/>
              <w:spacing w:before="0" w:after="283"/>
              <w:jc w:val="center"/>
              <w:rPr/>
            </w:pPr>
            <w:r>
              <w:rPr/>
              <w:t> </w:t>
            </w:r>
          </w:p>
        </w:tc>
        <w:tc>
          <w:tcPr>
            <w:tcW w:w="69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12/15/2026</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Nalu Medical, Inc.</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PRIME+2.70%, 6.70% floor, 2.00% PIK, 4.50% ETP</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10/12/2022</w:t>
            </w:r>
          </w:p>
        </w:tc>
        <w:tc>
          <w:tcPr>
            <w:tcW w:w="146" w:type="dxa"/>
            <w:tcBorders/>
            <w:shd w:fill="CFF0FC" w:val="clear"/>
            <w:vAlign w:val="center"/>
          </w:tcPr>
          <w:p>
            <w:pPr>
              <w:pStyle w:val="TableContents"/>
              <w:bidi w:val="0"/>
              <w:spacing w:before="0" w:after="283"/>
              <w:jc w:val="center"/>
              <w:rPr/>
            </w:pPr>
            <w:r>
              <w:rPr/>
              <w:t> </w:t>
            </w:r>
          </w:p>
        </w:tc>
        <w:tc>
          <w:tcPr>
            <w:tcW w:w="69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10/12/2027</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 (10)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Route 92 Medical, Inc.</w:t>
            </w:r>
          </w:p>
        </w:tc>
        <w:tc>
          <w:tcPr>
            <w:tcW w:w="146"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SOFR+8.48%, 8.98% floor, 3.95% ETP</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8/17/2021</w:t>
            </w:r>
          </w:p>
        </w:tc>
        <w:tc>
          <w:tcPr>
            <w:tcW w:w="146" w:type="dxa"/>
            <w:tcBorders/>
            <w:shd w:fill="FFFFFF" w:val="clear"/>
            <w:vAlign w:val="center"/>
          </w:tcPr>
          <w:p>
            <w:pPr>
              <w:pStyle w:val="TableContents"/>
              <w:bidi w:val="0"/>
              <w:spacing w:before="0" w:after="283"/>
              <w:jc w:val="center"/>
              <w:rPr/>
            </w:pPr>
            <w:r>
              <w:rPr/>
              <w:t> </w:t>
            </w:r>
          </w:p>
        </w:tc>
        <w:tc>
          <w:tcPr>
            <w:tcW w:w="69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7/1/2026</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34,239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SetPoint Medical Corporation</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SOFR+5.75%, 9.00% floor, 4.00% ETP</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12/29/2022</w:t>
            </w:r>
          </w:p>
        </w:tc>
        <w:tc>
          <w:tcPr>
            <w:tcW w:w="146" w:type="dxa"/>
            <w:tcBorders/>
            <w:shd w:fill="CFF0FC" w:val="clear"/>
            <w:vAlign w:val="center"/>
          </w:tcPr>
          <w:p>
            <w:pPr>
              <w:pStyle w:val="TableContents"/>
              <w:bidi w:val="0"/>
              <w:spacing w:before="0" w:after="283"/>
              <w:jc w:val="center"/>
              <w:rPr/>
            </w:pPr>
            <w:r>
              <w:rPr/>
              <w:t> </w:t>
            </w:r>
          </w:p>
        </w:tc>
        <w:tc>
          <w:tcPr>
            <w:tcW w:w="69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12/1/2027</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5"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 Care Technology - 23.06%*</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2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124,096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126,204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2023</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1111"/>
        <w:gridCol w:w="146"/>
        <w:gridCol w:w="821"/>
        <w:gridCol w:w="146"/>
        <w:gridCol w:w="1267"/>
        <w:gridCol w:w="146"/>
        <w:gridCol w:w="917"/>
        <w:gridCol w:w="146"/>
        <w:gridCol w:w="696"/>
        <w:gridCol w:w="146"/>
        <w:gridCol w:w="163"/>
        <w:gridCol w:w="163"/>
        <w:gridCol w:w="571"/>
        <w:gridCol w:w="146"/>
        <w:gridCol w:w="146"/>
        <w:gridCol w:w="146"/>
        <w:gridCol w:w="146"/>
        <w:gridCol w:w="586"/>
        <w:gridCol w:w="146"/>
        <w:gridCol w:w="146"/>
        <w:gridCol w:w="146"/>
        <w:gridCol w:w="146"/>
        <w:gridCol w:w="586"/>
        <w:gridCol w:w="146"/>
        <w:gridCol w:w="146"/>
        <w:gridCol w:w="827"/>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Investment Description</w:t>
            </w:r>
            <w:r>
              <w:rPr>
                <w:rFonts w:ascii="Times New Roman" w:hAnsi="Times New Roman"/>
                <w:b/>
                <w:color w:val="000000"/>
                <w:sz w:val="9"/>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798" w:type="dxa"/>
            <w:gridSpan w:val="7"/>
            <w:tcBorders/>
            <w:shd w:fill="CFF0FC"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34"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637" w:type="dxa"/>
            <w:gridSpan w:val="6"/>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Debt Investments</w:t>
            </w:r>
          </w:p>
        </w:tc>
        <w:tc>
          <w:tcPr>
            <w:tcW w:w="14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3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1"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&amp; Employment Services</w:t>
            </w:r>
          </w:p>
        </w:tc>
        <w:tc>
          <w:tcPr>
            <w:tcW w:w="146"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3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CloudPay, Inc.</w:t>
            </w:r>
          </w:p>
        </w:tc>
        <w:tc>
          <w:tcPr>
            <w:tcW w:w="14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PRIME+6.25%, 10.25% floor, 2.00% ETP</w:t>
            </w:r>
          </w:p>
        </w:tc>
        <w:tc>
          <w:tcPr>
            <w:tcW w:w="14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9/26/2022</w:t>
            </w:r>
          </w:p>
        </w:tc>
        <w:tc>
          <w:tcPr>
            <w:tcW w:w="146" w:type="dxa"/>
            <w:tcBorders/>
            <w:shd w:fill="FFFFFF" w:val="clear"/>
            <w:vAlign w:val="center"/>
          </w:tcPr>
          <w:p>
            <w:pPr>
              <w:pStyle w:val="TableContents"/>
              <w:bidi w:val="0"/>
              <w:spacing w:before="0" w:after="283"/>
              <w:jc w:val="center"/>
              <w:rPr/>
            </w:pPr>
            <w:r>
              <w:rPr/>
              <w:t> </w:t>
            </w:r>
          </w:p>
        </w:tc>
        <w:tc>
          <w:tcPr>
            <w:tcW w:w="696"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8/17/2027</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74,939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75,465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 (8) (10)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Snagajob.com, Inc.</w:t>
            </w:r>
          </w:p>
        </w:tc>
        <w:tc>
          <w:tcPr>
            <w:tcW w:w="146"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26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SOFR+8.50% PIK, 9.00% floor, 2.75% ETP</w:t>
            </w:r>
          </w:p>
        </w:tc>
        <w:tc>
          <w:tcPr>
            <w:tcW w:w="146"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9/29/2021</w:t>
            </w:r>
          </w:p>
        </w:tc>
        <w:tc>
          <w:tcPr>
            <w:tcW w:w="146" w:type="dxa"/>
            <w:tcBorders/>
            <w:shd w:fill="CFF0FC" w:val="clear"/>
            <w:vAlign w:val="center"/>
          </w:tcPr>
          <w:p>
            <w:pPr>
              <w:pStyle w:val="TableContents"/>
              <w:bidi w:val="0"/>
              <w:spacing w:before="0" w:after="283"/>
              <w:jc w:val="center"/>
              <w:rPr/>
            </w:pPr>
            <w:r>
              <w:rPr/>
              <w:t> </w:t>
            </w:r>
          </w:p>
        </w:tc>
        <w:tc>
          <w:tcPr>
            <w:tcW w:w="696"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9/1/2025</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40,825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41,170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 (10)</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1"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Human Resource &amp; Employment Services - 20.47%*</w:t>
            </w:r>
          </w:p>
        </w:tc>
        <w:tc>
          <w:tcPr>
            <w:tcW w:w="14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3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112,006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3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1"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&amp; Direct Marketing Retail</w:t>
            </w:r>
          </w:p>
        </w:tc>
        <w:tc>
          <w:tcPr>
            <w:tcW w:w="14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3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Madison Reed, Inc.</w:t>
            </w:r>
          </w:p>
        </w:tc>
        <w:tc>
          <w:tcPr>
            <w:tcW w:w="146"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26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PRIME+4.75%, 11.00% floor, 11.00% cash cap, 3.00% ETP</w:t>
            </w:r>
          </w:p>
        </w:tc>
        <w:tc>
          <w:tcPr>
            <w:tcW w:w="146"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12/16/2022</w:t>
            </w:r>
          </w:p>
        </w:tc>
        <w:tc>
          <w:tcPr>
            <w:tcW w:w="146" w:type="dxa"/>
            <w:tcBorders/>
            <w:shd w:fill="CFF0FC" w:val="clear"/>
            <w:vAlign w:val="center"/>
          </w:tcPr>
          <w:p>
            <w:pPr>
              <w:pStyle w:val="TableContents"/>
              <w:bidi w:val="0"/>
              <w:spacing w:before="0" w:after="283"/>
              <w:jc w:val="center"/>
              <w:rPr/>
            </w:pPr>
            <w:r>
              <w:rPr/>
              <w:t> </w:t>
            </w:r>
          </w:p>
        </w:tc>
        <w:tc>
          <w:tcPr>
            <w:tcW w:w="696"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12/16/2026</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 (10)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Marley Spoon SE</w:t>
            </w:r>
          </w:p>
        </w:tc>
        <w:tc>
          <w:tcPr>
            <w:tcW w:w="14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SOFR+7.50%, 8.26% floor, 1.25% PIK</w:t>
            </w:r>
          </w:p>
        </w:tc>
        <w:tc>
          <w:tcPr>
            <w:tcW w:w="14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6/30/2021</w:t>
            </w:r>
          </w:p>
        </w:tc>
        <w:tc>
          <w:tcPr>
            <w:tcW w:w="146" w:type="dxa"/>
            <w:tcBorders/>
            <w:shd w:fill="FFFFFF" w:val="clear"/>
            <w:vAlign w:val="center"/>
          </w:tcPr>
          <w:p>
            <w:pPr>
              <w:pStyle w:val="TableContents"/>
              <w:bidi w:val="0"/>
              <w:spacing w:before="0" w:after="283"/>
              <w:jc w:val="center"/>
              <w:rPr/>
            </w:pPr>
            <w:r>
              <w:rPr/>
              <w:t> </w:t>
            </w:r>
          </w:p>
        </w:tc>
        <w:tc>
          <w:tcPr>
            <w:tcW w:w="696"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6/15/2026</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44,836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44,462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 (8) (9)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1"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Internet &amp; Direct Marketing Retail - 10.11%*</w:t>
            </w:r>
          </w:p>
        </w:tc>
        <w:tc>
          <w:tcPr>
            <w:tcW w:w="146"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3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55,620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55,309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3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1"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Software and Services</w:t>
            </w:r>
          </w:p>
        </w:tc>
        <w:tc>
          <w:tcPr>
            <w:tcW w:w="146"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3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Bombora, Inc.</w:t>
            </w:r>
          </w:p>
        </w:tc>
        <w:tc>
          <w:tcPr>
            <w:tcW w:w="14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SOFR+4.75%, 6.75% floor, 3.25% PIK, 0.96% ETP</w:t>
            </w:r>
          </w:p>
        </w:tc>
        <w:tc>
          <w:tcPr>
            <w:tcW w:w="14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12/26/2023</w:t>
            </w:r>
          </w:p>
        </w:tc>
        <w:tc>
          <w:tcPr>
            <w:tcW w:w="146" w:type="dxa"/>
            <w:tcBorders/>
            <w:shd w:fill="FFFFFF" w:val="clear"/>
            <w:vAlign w:val="center"/>
          </w:tcPr>
          <w:p>
            <w:pPr>
              <w:pStyle w:val="TableContents"/>
              <w:bidi w:val="0"/>
              <w:spacing w:before="0" w:after="283"/>
              <w:jc w:val="center"/>
              <w:rPr/>
            </w:pPr>
            <w:r>
              <w:rPr/>
              <w:t> </w:t>
            </w:r>
          </w:p>
        </w:tc>
        <w:tc>
          <w:tcPr>
            <w:tcW w:w="696"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1/15/2028</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 (10)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Skillshare, Inc.</w:t>
            </w:r>
          </w:p>
        </w:tc>
        <w:tc>
          <w:tcPr>
            <w:tcW w:w="146"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26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SOFR+6.50%, 10.72% floor, 3.00% ETP</w:t>
            </w:r>
          </w:p>
        </w:tc>
        <w:tc>
          <w:tcPr>
            <w:tcW w:w="146"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11/8/2022</w:t>
            </w:r>
          </w:p>
        </w:tc>
        <w:tc>
          <w:tcPr>
            <w:tcW w:w="146" w:type="dxa"/>
            <w:tcBorders/>
            <w:shd w:fill="CFF0FC" w:val="clear"/>
            <w:vAlign w:val="center"/>
          </w:tcPr>
          <w:p>
            <w:pPr>
              <w:pStyle w:val="TableContents"/>
              <w:bidi w:val="0"/>
              <w:spacing w:before="0" w:after="283"/>
              <w:jc w:val="center"/>
              <w:rPr/>
            </w:pPr>
            <w:r>
              <w:rPr/>
              <w:t> </w:t>
            </w:r>
          </w:p>
        </w:tc>
        <w:tc>
          <w:tcPr>
            <w:tcW w:w="696"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11/8/2026</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Synack, Inc.</w:t>
            </w:r>
          </w:p>
        </w:tc>
        <w:tc>
          <w:tcPr>
            <w:tcW w:w="14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SOFR+7.00%, 11.07% floor, 1.00% ETP</w:t>
            </w:r>
          </w:p>
        </w:tc>
        <w:tc>
          <w:tcPr>
            <w:tcW w:w="14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12/29/2023</w:t>
            </w:r>
          </w:p>
        </w:tc>
        <w:tc>
          <w:tcPr>
            <w:tcW w:w="146" w:type="dxa"/>
            <w:tcBorders/>
            <w:shd w:fill="FFFFFF" w:val="clear"/>
            <w:vAlign w:val="center"/>
          </w:tcPr>
          <w:p>
            <w:pPr>
              <w:pStyle w:val="TableContents"/>
              <w:bidi w:val="0"/>
              <w:spacing w:before="0" w:after="283"/>
              <w:jc w:val="center"/>
              <w:rPr/>
            </w:pPr>
            <w:r>
              <w:rPr/>
              <w:t> </w:t>
            </w:r>
          </w:p>
        </w:tc>
        <w:tc>
          <w:tcPr>
            <w:tcW w:w="696"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12/29/2028</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1"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Internet Software and Services - 17.70%*</w:t>
            </w:r>
          </w:p>
        </w:tc>
        <w:tc>
          <w:tcPr>
            <w:tcW w:w="146"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3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97,402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96,820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3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1"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Property &amp; Casualty Insurance</w:t>
            </w:r>
          </w:p>
        </w:tc>
        <w:tc>
          <w:tcPr>
            <w:tcW w:w="146"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3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Kin Insurance, Inc.</w:t>
            </w:r>
          </w:p>
        </w:tc>
        <w:tc>
          <w:tcPr>
            <w:tcW w:w="14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PRIME+6.25%, 12.50% floor, 3.00% ETP</w:t>
            </w:r>
          </w:p>
        </w:tc>
        <w:tc>
          <w:tcPr>
            <w:tcW w:w="14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9/26/2022</w:t>
            </w:r>
          </w:p>
        </w:tc>
        <w:tc>
          <w:tcPr>
            <w:tcW w:w="146" w:type="dxa"/>
            <w:tcBorders/>
            <w:shd w:fill="FFFFFF" w:val="clear"/>
            <w:vAlign w:val="center"/>
          </w:tcPr>
          <w:p>
            <w:pPr>
              <w:pStyle w:val="TableContents"/>
              <w:bidi w:val="0"/>
              <w:spacing w:before="0" w:after="283"/>
              <w:jc w:val="center"/>
              <w:rPr/>
            </w:pPr>
            <w:r>
              <w:rPr/>
              <w:t> </w:t>
            </w:r>
          </w:p>
        </w:tc>
        <w:tc>
          <w:tcPr>
            <w:tcW w:w="696"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9/15/2026</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74,877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74,767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1"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Property &amp; Casualty Insurance - 13.67%*</w:t>
            </w:r>
          </w:p>
        </w:tc>
        <w:tc>
          <w:tcPr>
            <w:tcW w:w="146"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3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74,877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74,767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3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1"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System Software</w:t>
            </w:r>
          </w:p>
        </w:tc>
        <w:tc>
          <w:tcPr>
            <w:tcW w:w="146"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3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3PL Central LLC (dba Extensiv)</w:t>
            </w:r>
          </w:p>
        </w:tc>
        <w:tc>
          <w:tcPr>
            <w:tcW w:w="14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SOFR+4.50%, 6.50% floor, 2.50% PIK, 2.00% ETP</w:t>
            </w:r>
          </w:p>
        </w:tc>
        <w:tc>
          <w:tcPr>
            <w:tcW w:w="14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11/9/2022</w:t>
            </w:r>
          </w:p>
        </w:tc>
        <w:tc>
          <w:tcPr>
            <w:tcW w:w="146" w:type="dxa"/>
            <w:tcBorders/>
            <w:shd w:fill="FFFFFF" w:val="clear"/>
            <w:vAlign w:val="center"/>
          </w:tcPr>
          <w:p>
            <w:pPr>
              <w:pStyle w:val="TableContents"/>
              <w:bidi w:val="0"/>
              <w:spacing w:before="0" w:after="283"/>
              <w:jc w:val="center"/>
              <w:rPr/>
            </w:pPr>
            <w:r>
              <w:rPr/>
              <w:t> </w:t>
            </w:r>
          </w:p>
        </w:tc>
        <w:tc>
          <w:tcPr>
            <w:tcW w:w="696"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11/9/2027</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70,395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70,064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69,066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 (10)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Linxup, LLC</w:t>
            </w:r>
          </w:p>
        </w:tc>
        <w:tc>
          <w:tcPr>
            <w:tcW w:w="146"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26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PRIME+3.25%, 11.75% floor, 2.25% ETP</w:t>
            </w:r>
          </w:p>
        </w:tc>
        <w:tc>
          <w:tcPr>
            <w:tcW w:w="146"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11/03/2023</w:t>
            </w:r>
          </w:p>
        </w:tc>
        <w:tc>
          <w:tcPr>
            <w:tcW w:w="146" w:type="dxa"/>
            <w:tcBorders/>
            <w:shd w:fill="CFF0FC" w:val="clear"/>
            <w:vAlign w:val="center"/>
          </w:tcPr>
          <w:p>
            <w:pPr>
              <w:pStyle w:val="TableContents"/>
              <w:bidi w:val="0"/>
              <w:spacing w:before="0" w:after="283"/>
              <w:jc w:val="center"/>
              <w:rPr/>
            </w:pPr>
            <w:r>
              <w:rPr/>
              <w:t> </w:t>
            </w:r>
          </w:p>
        </w:tc>
        <w:tc>
          <w:tcPr>
            <w:tcW w:w="696"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11/15/2027</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Dejero Labs Inc.</w:t>
            </w:r>
          </w:p>
        </w:tc>
        <w:tc>
          <w:tcPr>
            <w:tcW w:w="14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Second Lien</w:t>
            </w:r>
          </w:p>
        </w:tc>
        <w:tc>
          <w:tcPr>
            <w:tcW w:w="146"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SOFR+8.00%, 8.50% floor, 2.00% PIK, 3.00% ETP</w:t>
            </w:r>
          </w:p>
        </w:tc>
        <w:tc>
          <w:tcPr>
            <w:tcW w:w="14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12/22/2021</w:t>
            </w:r>
          </w:p>
        </w:tc>
        <w:tc>
          <w:tcPr>
            <w:tcW w:w="146" w:type="dxa"/>
            <w:tcBorders/>
            <w:shd w:fill="FFFFFF" w:val="clear"/>
            <w:vAlign w:val="center"/>
          </w:tcPr>
          <w:p>
            <w:pPr>
              <w:pStyle w:val="TableContents"/>
              <w:bidi w:val="0"/>
              <w:spacing w:before="0" w:after="283"/>
              <w:jc w:val="center"/>
              <w:rPr/>
            </w:pPr>
            <w:r>
              <w:rPr/>
              <w:t> </w:t>
            </w:r>
          </w:p>
        </w:tc>
        <w:tc>
          <w:tcPr>
            <w:tcW w:w="696"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12/22/2025</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 (8) (9) (10)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1"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System Software - 20.64%*</w:t>
            </w:r>
          </w:p>
        </w:tc>
        <w:tc>
          <w:tcPr>
            <w:tcW w:w="146"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3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113,832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112,955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3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3637" w:type="dxa"/>
            <w:gridSpan w:val="6"/>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Debt Investments - 174.54%*</w:t>
            </w:r>
          </w:p>
        </w:tc>
        <w:tc>
          <w:tcPr>
            <w:tcW w:w="146"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3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966,328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954,912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2023</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1125"/>
        <w:gridCol w:w="146"/>
        <w:gridCol w:w="823"/>
        <w:gridCol w:w="146"/>
        <w:gridCol w:w="1332"/>
        <w:gridCol w:w="146"/>
        <w:gridCol w:w="920"/>
        <w:gridCol w:w="146"/>
        <w:gridCol w:w="697"/>
        <w:gridCol w:w="146"/>
        <w:gridCol w:w="155"/>
        <w:gridCol w:w="155"/>
        <w:gridCol w:w="737"/>
        <w:gridCol w:w="146"/>
        <w:gridCol w:w="146"/>
        <w:gridCol w:w="146"/>
        <w:gridCol w:w="146"/>
        <w:gridCol w:w="511"/>
        <w:gridCol w:w="146"/>
        <w:gridCol w:w="146"/>
        <w:gridCol w:w="147"/>
        <w:gridCol w:w="147"/>
        <w:gridCol w:w="441"/>
        <w:gridCol w:w="146"/>
        <w:gridCol w:w="146"/>
        <w:gridCol w:w="810"/>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143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Investment Description</w:t>
            </w:r>
            <w:r>
              <w:rPr>
                <w:rFonts w:ascii="Times New Roman" w:hAnsi="Times New Roman"/>
                <w:b/>
                <w:color w:val="000000"/>
                <w:sz w:val="9"/>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879" w:type="dxa"/>
            <w:gridSpan w:val="7"/>
            <w:tcBorders/>
            <w:shd w:fill="CFF0FC"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center"/>
              <w:rPr/>
            </w:pPr>
            <w:r>
              <w:rPr/>
              <w:t> </w:t>
            </w:r>
          </w:p>
        </w:tc>
        <w:tc>
          <w:tcPr>
            <w:tcW w:w="5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718" w:type="dxa"/>
            <w:gridSpan w:val="6"/>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Investments</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center"/>
              <w:rPr/>
            </w:pPr>
            <w:r>
              <w:rPr/>
              <w:t> </w:t>
            </w:r>
          </w:p>
        </w:tc>
        <w:tc>
          <w:tcPr>
            <w:tcW w:w="58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Advertising</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center"/>
              <w:rPr/>
            </w:pPr>
            <w:r>
              <w:rPr/>
              <w:t> </w:t>
            </w:r>
          </w:p>
        </w:tc>
        <w:tc>
          <w:tcPr>
            <w:tcW w:w="5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Minute Media Inc.</w:t>
            </w:r>
          </w:p>
        </w:tc>
        <w:tc>
          <w:tcPr>
            <w:tcW w:w="14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Preferred Stock</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12/13/2023</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vAlign w:val="center"/>
          </w:tcPr>
          <w:p>
            <w:pPr>
              <w:pStyle w:val="TableContents"/>
              <w:bidi w:val="0"/>
              <w:spacing w:before="0" w:after="283"/>
              <w:jc w:val="left"/>
              <w:rPr/>
            </w:pPr>
            <w:r>
              <w:rPr/>
              <w:t> </w:t>
            </w:r>
          </w:p>
        </w:tc>
        <w:tc>
          <w:tcPr>
            <w:tcW w:w="133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12/13/2023</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 (12)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2"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Advertising - 0.03%*</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3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center"/>
              <w:rPr/>
            </w:pPr>
            <w:r>
              <w:rPr/>
              <w:t> </w:t>
            </w:r>
          </w:p>
        </w:tc>
        <w:tc>
          <w:tcPr>
            <w:tcW w:w="5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2"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Application Software</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center"/>
              <w:rPr/>
            </w:pPr>
            <w:r>
              <w:rPr/>
              <w:t> </w:t>
            </w:r>
          </w:p>
        </w:tc>
        <w:tc>
          <w:tcPr>
            <w:tcW w:w="58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Aria Systems, Inc.</w:t>
            </w:r>
          </w:p>
        </w:tc>
        <w:tc>
          <w:tcPr>
            <w:tcW w:w="146"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vAlign w:val="center"/>
          </w:tcPr>
          <w:p>
            <w:pPr>
              <w:pStyle w:val="TableContents"/>
              <w:bidi w:val="0"/>
              <w:spacing w:before="0" w:after="283"/>
              <w:jc w:val="left"/>
              <w:rPr/>
            </w:pPr>
            <w:r>
              <w:rPr/>
              <w:t> </w:t>
            </w:r>
          </w:p>
        </w:tc>
        <w:tc>
          <w:tcPr>
            <w:tcW w:w="133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G Preferred Stock</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7/10/2018</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289,419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center"/>
              <w:rPr/>
            </w:pPr>
            <w:r>
              <w:rPr/>
              <w:t> </w:t>
            </w:r>
          </w:p>
        </w:tc>
        <w:tc>
          <w:tcPr>
            <w:tcW w:w="147" w:type="dxa"/>
            <w:tcBorders/>
            <w:shd w:fill="CFF0FC" w:val="clear"/>
            <w:vAlign w:val="center"/>
          </w:tcPr>
          <w:p>
            <w:pPr>
              <w:pStyle w:val="TableContents"/>
              <w:bidi w:val="0"/>
              <w:spacing w:before="0" w:after="283"/>
              <w:jc w:val="left"/>
              <w:rPr/>
            </w:pPr>
            <w:r>
              <w:rPr/>
              <w:t> </w:t>
            </w:r>
          </w:p>
        </w:tc>
        <w:tc>
          <w:tcPr>
            <w:tcW w:w="4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FiscalNote, Inc.</w:t>
            </w:r>
          </w:p>
        </w:tc>
        <w:tc>
          <w:tcPr>
            <w:tcW w:w="14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10/19/2020</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230,881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(13) (16)</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Application Software - 0.07%*</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center"/>
              <w:rPr/>
            </w:pPr>
            <w:r>
              <w:rPr/>
              <w:t> </w:t>
            </w:r>
          </w:p>
        </w:tc>
        <w:tc>
          <w:tcPr>
            <w:tcW w:w="58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 Care Technology</w:t>
            </w:r>
          </w:p>
        </w:tc>
        <w:tc>
          <w:tcPr>
            <w:tcW w:w="146"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3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center"/>
              <w:rPr/>
            </w:pPr>
            <w:r>
              <w:rPr/>
              <w:t> </w:t>
            </w:r>
          </w:p>
        </w:tc>
        <w:tc>
          <w:tcPr>
            <w:tcW w:w="5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CareCloud, Inc.</w:t>
            </w:r>
          </w:p>
        </w:tc>
        <w:tc>
          <w:tcPr>
            <w:tcW w:w="14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Series A Cumulative Redeemable Perpetual Preferred Stock</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1/8/2020</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462,064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(14) (16)</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 Care Technology - 0.65%*</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center"/>
              <w:rPr/>
            </w:pPr>
            <w:r>
              <w:rPr/>
              <w:t> </w:t>
            </w:r>
          </w:p>
        </w:tc>
        <w:tc>
          <w:tcPr>
            <w:tcW w:w="58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&amp; Employment Services</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center"/>
              <w:rPr/>
            </w:pPr>
            <w:r>
              <w:rPr/>
              <w:t> </w:t>
            </w:r>
          </w:p>
        </w:tc>
        <w:tc>
          <w:tcPr>
            <w:tcW w:w="58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Snagajob.com, Inc.</w:t>
            </w:r>
          </w:p>
        </w:tc>
        <w:tc>
          <w:tcPr>
            <w:tcW w:w="14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Convertible Note</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10/26/2023</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12/31/2026</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(20)</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Human Resource &amp; Employment Services - 0.25%*</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center"/>
              <w:rPr/>
            </w:pPr>
            <w:r>
              <w:rPr/>
              <w:t> </w:t>
            </w:r>
          </w:p>
        </w:tc>
        <w:tc>
          <w:tcPr>
            <w:tcW w:w="58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&amp; Direct Marketing Retail</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center"/>
              <w:rPr/>
            </w:pPr>
            <w:r>
              <w:rPr/>
              <w:t> </w:t>
            </w:r>
          </w:p>
        </w:tc>
        <w:tc>
          <w:tcPr>
            <w:tcW w:w="5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Marley Spoon SE</w:t>
            </w:r>
          </w:p>
        </w:tc>
        <w:tc>
          <w:tcPr>
            <w:tcW w:w="14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7/7/2023</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46,004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 (12) (19)</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Internet &amp; Direct Marketing Retail - 0.02%*</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center"/>
              <w:rPr/>
            </w:pPr>
            <w:r>
              <w:rPr/>
              <w:t> </w:t>
            </w:r>
          </w:p>
        </w:tc>
        <w:tc>
          <w:tcPr>
            <w:tcW w:w="58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Technology Hardware, Storage &amp; Peripherals</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center"/>
              <w:rPr/>
            </w:pPr>
            <w:r>
              <w:rPr/>
              <w:t> </w:t>
            </w:r>
          </w:p>
        </w:tc>
        <w:tc>
          <w:tcPr>
            <w:tcW w:w="5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Quantum Corporation</w:t>
            </w:r>
          </w:p>
        </w:tc>
        <w:tc>
          <w:tcPr>
            <w:tcW w:w="14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8/13/2021</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459,720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 (12) (14) (16)</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zSpace, Inc.</w:t>
            </w:r>
          </w:p>
        </w:tc>
        <w:tc>
          <w:tcPr>
            <w:tcW w:w="146"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vAlign w:val="center"/>
          </w:tcPr>
          <w:p>
            <w:pPr>
              <w:pStyle w:val="TableContents"/>
              <w:bidi w:val="0"/>
              <w:spacing w:before="0" w:after="283"/>
              <w:jc w:val="left"/>
              <w:rPr/>
            </w:pPr>
            <w:r>
              <w:rPr/>
              <w:t> </w:t>
            </w:r>
          </w:p>
        </w:tc>
        <w:tc>
          <w:tcPr>
            <w:tcW w:w="133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12/31/2020</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6,078,499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38" w:type="dxa"/>
            <w:gridSpan w:val="7"/>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Technology Hardware, Storage &amp; Peripherals - 0.03%*</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3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8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718" w:type="dxa"/>
            <w:gridSpan w:val="6"/>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Investments - 1.05%*</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3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center"/>
              <w:rPr/>
            </w:pPr>
            <w:r>
              <w:rPr/>
              <w:t> </w:t>
            </w:r>
          </w:p>
        </w:tc>
        <w:tc>
          <w:tcPr>
            <w:tcW w:w="5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718" w:type="dxa"/>
            <w:gridSpan w:val="6"/>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center"/>
              <w:rPr/>
            </w:pPr>
            <w:r>
              <w:rPr/>
              <w:t> </w:t>
            </w:r>
          </w:p>
        </w:tc>
        <w:tc>
          <w:tcPr>
            <w:tcW w:w="58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Application Software</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center"/>
              <w:rPr/>
            </w:pPr>
            <w:r>
              <w:rPr/>
              <w:t> </w:t>
            </w:r>
          </w:p>
        </w:tc>
        <w:tc>
          <w:tcPr>
            <w:tcW w:w="5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3DNA Corp. (dba NationBuilder)</w:t>
            </w:r>
          </w:p>
        </w:tc>
        <w:tc>
          <w:tcPr>
            <w:tcW w:w="14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C-1 Preferred Stock</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12/28/2018</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12/28/2028</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273,164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Aria Systems, Inc.</w:t>
            </w:r>
          </w:p>
        </w:tc>
        <w:tc>
          <w:tcPr>
            <w:tcW w:w="146"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33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G Preferred Stock</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6/29/2018</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6/29/2028</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2,387,705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center"/>
              <w:rPr/>
            </w:pPr>
            <w:r>
              <w:rPr/>
              <w:t> </w:t>
            </w:r>
          </w:p>
        </w:tc>
        <w:tc>
          <w:tcPr>
            <w:tcW w:w="147" w:type="dxa"/>
            <w:tcBorders/>
            <w:shd w:fill="CFF0FC" w:val="clear"/>
            <w:vAlign w:val="center"/>
          </w:tcPr>
          <w:p>
            <w:pPr>
              <w:pStyle w:val="TableContents"/>
              <w:bidi w:val="0"/>
              <w:spacing w:before="0" w:after="283"/>
              <w:jc w:val="left"/>
              <w:rPr/>
            </w:pPr>
            <w:r>
              <w:rPr/>
              <w:t> </w:t>
            </w:r>
          </w:p>
        </w:tc>
        <w:tc>
          <w:tcPr>
            <w:tcW w:w="4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Blueshift Labs, Inc.</w:t>
            </w:r>
          </w:p>
        </w:tc>
        <w:tc>
          <w:tcPr>
            <w:tcW w:w="14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12/19/2023</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2"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(18)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Circadence Corporation</w:t>
            </w:r>
          </w:p>
        </w:tc>
        <w:tc>
          <w:tcPr>
            <w:tcW w:w="146"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33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A-6 Preferred Stock</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12/20/2018</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12/20/2028</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1,538,462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center"/>
              <w:rPr/>
            </w:pPr>
            <w:r>
              <w:rPr/>
              <w:t> </w:t>
            </w:r>
          </w:p>
        </w:tc>
        <w:tc>
          <w:tcPr>
            <w:tcW w:w="147" w:type="dxa"/>
            <w:tcBorders/>
            <w:shd w:fill="CFF0FC" w:val="clear"/>
            <w:vAlign w:val="center"/>
          </w:tcPr>
          <w:p>
            <w:pPr>
              <w:pStyle w:val="TableContents"/>
              <w:bidi w:val="0"/>
              <w:spacing w:before="0" w:after="283"/>
              <w:jc w:val="left"/>
              <w:rPr/>
            </w:pPr>
            <w:r>
              <w:rPr/>
              <w:t> </w:t>
            </w:r>
          </w:p>
        </w:tc>
        <w:tc>
          <w:tcPr>
            <w:tcW w:w="4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A-6 Preferred Stock</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10/31/2019</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10/31/2029</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33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12/21/2023</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2"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center"/>
              <w:rPr/>
            </w:pPr>
            <w:r>
              <w:rPr/>
              <w:t> </w:t>
            </w:r>
          </w:p>
        </w:tc>
        <w:tc>
          <w:tcPr>
            <w:tcW w:w="147" w:type="dxa"/>
            <w:tcBorders/>
            <w:shd w:fill="CFF0FC" w:val="clear"/>
            <w:vAlign w:val="center"/>
          </w:tcPr>
          <w:p>
            <w:pPr>
              <w:pStyle w:val="TableContents"/>
              <w:bidi w:val="0"/>
              <w:spacing w:before="0" w:after="283"/>
              <w:jc w:val="left"/>
              <w:rPr/>
            </w:pPr>
            <w:r>
              <w:rPr/>
              <w:t> </w:t>
            </w:r>
          </w:p>
        </w:tc>
        <w:tc>
          <w:tcPr>
            <w:tcW w:w="4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(18)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Dtex Systems, Inc.</w:t>
            </w:r>
          </w:p>
        </w:tc>
        <w:tc>
          <w:tcPr>
            <w:tcW w:w="14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C-Prime Preferred Stock</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6/1/2018</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6/1/2025</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33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C-Prime Preferred Stock</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7/11/2019</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7/11/2026</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833,333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center"/>
              <w:rPr/>
            </w:pPr>
            <w:r>
              <w:rPr/>
              <w:t> </w:t>
            </w:r>
          </w:p>
        </w:tc>
        <w:tc>
          <w:tcPr>
            <w:tcW w:w="147" w:type="dxa"/>
            <w:tcBorders/>
            <w:shd w:fill="CFF0FC" w:val="clear"/>
            <w:vAlign w:val="center"/>
          </w:tcPr>
          <w:p>
            <w:pPr>
              <w:pStyle w:val="TableContents"/>
              <w:bidi w:val="0"/>
              <w:spacing w:before="0" w:after="283"/>
              <w:jc w:val="left"/>
              <w:rPr/>
            </w:pPr>
            <w:r>
              <w:rPr/>
              <w:t> </w:t>
            </w:r>
          </w:p>
        </w:tc>
        <w:tc>
          <w:tcPr>
            <w:tcW w:w="4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FiscalNote, Inc.</w:t>
            </w:r>
          </w:p>
        </w:tc>
        <w:tc>
          <w:tcPr>
            <w:tcW w:w="14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Earnout</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7/29/2022</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7/29/2027</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2"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(13) (18)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38" w:type="dxa"/>
            <w:gridSpan w:val="7"/>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Application Software - 0.40%*</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center"/>
              <w:rPr/>
            </w:pPr>
            <w:r>
              <w:rPr/>
              <w:t> </w:t>
            </w:r>
          </w:p>
        </w:tc>
        <w:tc>
          <w:tcPr>
            <w:tcW w:w="58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Asset Management &amp; Custody Banks</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center"/>
              <w:rPr/>
            </w:pPr>
            <w:r>
              <w:rPr/>
              <w:t> </w:t>
            </w:r>
          </w:p>
        </w:tc>
        <w:tc>
          <w:tcPr>
            <w:tcW w:w="5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Betterment Holdings, Inc.</w:t>
            </w:r>
          </w:p>
        </w:tc>
        <w:tc>
          <w:tcPr>
            <w:tcW w:w="14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33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10/6/2023</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10/6/2033</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33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10/6/2023</w:t>
            </w:r>
          </w:p>
        </w:tc>
        <w:tc>
          <w:tcPr>
            <w:tcW w:w="146"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10/6/2033</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2"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Asset Management &amp; Custody Banks - 0.03%*</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2023</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1289"/>
        <w:gridCol w:w="146"/>
        <w:gridCol w:w="842"/>
        <w:gridCol w:w="146"/>
        <w:gridCol w:w="1160"/>
        <w:gridCol w:w="146"/>
        <w:gridCol w:w="963"/>
        <w:gridCol w:w="146"/>
        <w:gridCol w:w="715"/>
        <w:gridCol w:w="146"/>
        <w:gridCol w:w="159"/>
        <w:gridCol w:w="159"/>
        <w:gridCol w:w="753"/>
        <w:gridCol w:w="146"/>
        <w:gridCol w:w="146"/>
        <w:gridCol w:w="146"/>
        <w:gridCol w:w="146"/>
        <w:gridCol w:w="436"/>
        <w:gridCol w:w="146"/>
        <w:gridCol w:w="146"/>
        <w:gridCol w:w="148"/>
        <w:gridCol w:w="148"/>
        <w:gridCol w:w="443"/>
        <w:gridCol w:w="146"/>
        <w:gridCol w:w="146"/>
        <w:gridCol w:w="785"/>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59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Investment Description</w:t>
            </w:r>
            <w:r>
              <w:rPr>
                <w:rFonts w:ascii="Times New Roman" w:hAnsi="Times New Roman"/>
                <w:b/>
                <w:color w:val="000000"/>
                <w:sz w:val="9"/>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890" w:type="dxa"/>
            <w:gridSpan w:val="7"/>
            <w:tcBorders/>
            <w:shd w:fill="CFF0FC"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center"/>
              <w:rPr/>
            </w:pPr>
            <w:r>
              <w:rPr/>
              <w:t> </w:t>
            </w:r>
          </w:p>
        </w:tc>
        <w:tc>
          <w:tcPr>
            <w:tcW w:w="5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729" w:type="dxa"/>
            <w:gridSpan w:val="6"/>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center"/>
              <w:rPr/>
            </w:pPr>
            <w:r>
              <w:rPr/>
              <w:t> </w:t>
            </w:r>
          </w:p>
        </w:tc>
        <w:tc>
          <w:tcPr>
            <w:tcW w:w="5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Biotechnology</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center"/>
              <w:rPr/>
            </w:pPr>
            <w:r>
              <w:rPr/>
              <w:t> </w:t>
            </w:r>
          </w:p>
        </w:tc>
        <w:tc>
          <w:tcPr>
            <w:tcW w:w="5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Mustang Bio, Inc.</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3/4/2022</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3/4/2032</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748,036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(14)</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TRACON Pharmaceuticals, Inc.</w:t>
            </w:r>
          </w:p>
        </w:tc>
        <w:tc>
          <w:tcPr>
            <w:tcW w:w="1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6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9/2/2022</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9/2/2032</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150,753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(14)</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3"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Biotechnology - 0.01%*</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center"/>
              <w:rPr/>
            </w:pPr>
            <w:r>
              <w:rPr/>
              <w:t> </w:t>
            </w:r>
          </w:p>
        </w:tc>
        <w:tc>
          <w:tcPr>
            <w:tcW w:w="5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3"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Computer &amp; Electronics Retail</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center"/>
              <w:rPr/>
            </w:pPr>
            <w:r>
              <w:rPr/>
              <w:t> </w:t>
            </w:r>
          </w:p>
        </w:tc>
        <w:tc>
          <w:tcPr>
            <w:tcW w:w="5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Massdrop, Inc.</w:t>
            </w:r>
          </w:p>
        </w:tc>
        <w:tc>
          <w:tcPr>
            <w:tcW w:w="1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6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B Preferred Stock</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7/22/2019</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7/22/2029</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848,093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3"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Computer &amp; Electronics Retail - 0.00%*</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center"/>
              <w:rPr/>
            </w:pPr>
            <w:r>
              <w:rPr/>
              <w:t> </w:t>
            </w:r>
          </w:p>
        </w:tc>
        <w:tc>
          <w:tcPr>
            <w:tcW w:w="5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3"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Data Processing &amp; Outsourced Services</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center"/>
              <w:rPr/>
            </w:pPr>
            <w:r>
              <w:rPr/>
              <w:t> </w:t>
            </w:r>
          </w:p>
        </w:tc>
        <w:tc>
          <w:tcPr>
            <w:tcW w:w="5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Elevate Services, Inc.</w:t>
            </w:r>
          </w:p>
        </w:tc>
        <w:tc>
          <w:tcPr>
            <w:tcW w:w="1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6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 Preferred Stock</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7/10/2023</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7/10/2033</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248,997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center"/>
              <w:rPr/>
            </w:pPr>
            <w:r>
              <w:rPr/>
              <w:t> </w:t>
            </w:r>
          </w:p>
        </w:tc>
        <w:tc>
          <w:tcPr>
            <w:tcW w:w="148"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Interactions Corporation</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6/24/2022</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6/24/2032</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189,408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ShareThis, Inc.</w:t>
            </w:r>
          </w:p>
        </w:tc>
        <w:tc>
          <w:tcPr>
            <w:tcW w:w="1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6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D-3 Preferred Stock</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12/3/2018</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12/3/2028</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647,615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3"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Data Processing &amp; Outsourced Services - 0.23%*</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center"/>
              <w:rPr/>
            </w:pPr>
            <w:r>
              <w:rPr/>
              <w:t> </w:t>
            </w:r>
          </w:p>
        </w:tc>
        <w:tc>
          <w:tcPr>
            <w:tcW w:w="5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3"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Electronic Equipment &amp; Instruments</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center"/>
              <w:rPr/>
            </w:pPr>
            <w:r>
              <w:rPr/>
              <w:t> </w:t>
            </w:r>
          </w:p>
        </w:tc>
        <w:tc>
          <w:tcPr>
            <w:tcW w:w="5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Brivo, Inc.</w:t>
            </w:r>
          </w:p>
        </w:tc>
        <w:tc>
          <w:tcPr>
            <w:tcW w:w="1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6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A-2 Preferred Stock</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10/20/2022</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10/20/2032</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center"/>
              <w:rPr/>
            </w:pPr>
            <w:r>
              <w:rPr/>
              <w:t> </w:t>
            </w:r>
          </w:p>
        </w:tc>
        <w:tc>
          <w:tcPr>
            <w:tcW w:w="148"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Epic IO Technologies, Inc.</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12/17/2021</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12/17/2028</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(18)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Electronic Equipment &amp; Instruments - 0.14%*</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center"/>
              <w:rPr/>
            </w:pPr>
            <w:r>
              <w:rPr/>
              <w:t> </w:t>
            </w:r>
          </w:p>
        </w:tc>
        <w:tc>
          <w:tcPr>
            <w:tcW w:w="5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 Care Equipment</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center"/>
              <w:rPr/>
            </w:pPr>
            <w:r>
              <w:rPr/>
              <w:t> </w:t>
            </w:r>
          </w:p>
        </w:tc>
        <w:tc>
          <w:tcPr>
            <w:tcW w:w="5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Moximed, Inc.</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 Preferred Stock</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6/24/2022</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6/24/2032</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214,285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Revelle Aesthetics, Inc.</w:t>
            </w:r>
          </w:p>
        </w:tc>
        <w:tc>
          <w:tcPr>
            <w:tcW w:w="1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6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A-2 Preferred Stock</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3/30/2022</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3/30/2032</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115,591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3"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 Care Equipment - 0.04%*</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center"/>
              <w:rPr/>
            </w:pPr>
            <w:r>
              <w:rPr/>
              <w:t> </w:t>
            </w:r>
          </w:p>
        </w:tc>
        <w:tc>
          <w:tcPr>
            <w:tcW w:w="5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3"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 Care Technology</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center"/>
              <w:rPr/>
            </w:pPr>
            <w:r>
              <w:rPr/>
              <w:t> </w:t>
            </w:r>
          </w:p>
        </w:tc>
        <w:tc>
          <w:tcPr>
            <w:tcW w:w="5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Allurion Technologies, Inc.</w:t>
            </w:r>
          </w:p>
        </w:tc>
        <w:tc>
          <w:tcPr>
            <w:tcW w:w="1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6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3/30/2021</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1/22/2025</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132,979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center"/>
              <w:rPr/>
            </w:pPr>
            <w:r>
              <w:rPr/>
              <w:t> </w:t>
            </w:r>
          </w:p>
        </w:tc>
        <w:tc>
          <w:tcPr>
            <w:tcW w:w="148"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6/14/2022</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1/22/2025</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6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9/15/2022</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1/22/2025</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center"/>
              <w:rPr/>
            </w:pPr>
            <w:r>
              <w:rPr/>
              <w:t> </w:t>
            </w:r>
          </w:p>
        </w:tc>
        <w:tc>
          <w:tcPr>
            <w:tcW w:w="148"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Earnout</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8/2/2023</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8/1/2028</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(13) (18)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EBR Systems, Inc.</w:t>
            </w:r>
          </w:p>
        </w:tc>
        <w:tc>
          <w:tcPr>
            <w:tcW w:w="1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6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6/30/2022</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6/30/2032</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center"/>
              <w:rPr/>
            </w:pPr>
            <w:r>
              <w:rPr/>
              <w:t> </w:t>
            </w:r>
          </w:p>
        </w:tc>
        <w:tc>
          <w:tcPr>
            <w:tcW w:w="148"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(15) (18)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Mingle Healthcare Solutions, Inc.</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CC Preferred Stock</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8/15/2018</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8/15/2028</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1,770,973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Nalu Medical, Inc.</w:t>
            </w:r>
          </w:p>
        </w:tc>
        <w:tc>
          <w:tcPr>
            <w:tcW w:w="1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6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D-2 Preferred Stock</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10/12/2022</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10/12/2032</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center"/>
              <w:rPr/>
            </w:pPr>
            <w:r>
              <w:rPr/>
              <w:t> </w:t>
            </w:r>
          </w:p>
        </w:tc>
        <w:tc>
          <w:tcPr>
            <w:tcW w:w="148"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Route 92 Medical, Inc.</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8/17/2021</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8/17/2031</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(18)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SetPoint Medical Corporation</w:t>
            </w:r>
          </w:p>
        </w:tc>
        <w:tc>
          <w:tcPr>
            <w:tcW w:w="1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6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B Preferred Stock</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6/29/2021</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6/29/2031</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center"/>
              <w:rPr/>
            </w:pPr>
            <w:r>
              <w:rPr/>
              <w:t> </w:t>
            </w:r>
          </w:p>
        </w:tc>
        <w:tc>
          <w:tcPr>
            <w:tcW w:w="148"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B Preferred Stock</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12/29/2022</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12/29/2032</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VERO Biotech LLC</w:t>
            </w:r>
          </w:p>
        </w:tc>
        <w:tc>
          <w:tcPr>
            <w:tcW w:w="1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6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12/29/2020</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12/29/2025</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(18)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3"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 Care Technology - 0.46%*</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center"/>
              <w:rPr/>
            </w:pPr>
            <w:r>
              <w:rPr/>
              <w:t> </w:t>
            </w:r>
          </w:p>
        </w:tc>
        <w:tc>
          <w:tcPr>
            <w:tcW w:w="5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3"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&amp; Employment Services</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center"/>
              <w:rPr/>
            </w:pPr>
            <w:r>
              <w:rPr/>
              <w:t> </w:t>
            </w:r>
          </w:p>
        </w:tc>
        <w:tc>
          <w:tcPr>
            <w:tcW w:w="5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CloudPay, Inc.</w:t>
            </w:r>
          </w:p>
        </w:tc>
        <w:tc>
          <w:tcPr>
            <w:tcW w:w="1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6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B Preferred Stock</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6/30/2020</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6/30/2030</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center"/>
              <w:rPr/>
            </w:pPr>
            <w:r>
              <w:rPr/>
              <w:t> </w:t>
            </w:r>
          </w:p>
        </w:tc>
        <w:tc>
          <w:tcPr>
            <w:tcW w:w="148"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 (8) (12)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 Preferred Stock</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8/17/2021</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8/17/2031</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 (8)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6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 Preferred Stock</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9/26/2022</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9/26/2032</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center"/>
              <w:rPr/>
            </w:pPr>
            <w:r>
              <w:rPr/>
              <w:t> </w:t>
            </w:r>
          </w:p>
        </w:tc>
        <w:tc>
          <w:tcPr>
            <w:tcW w:w="148"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 (8) (12)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Snagajob.com, Inc.</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 for Series B-1 Preferred Stock</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9/29/2021</w:t>
            </w:r>
          </w:p>
        </w:tc>
        <w:tc>
          <w:tcPr>
            <w:tcW w:w="146" w:type="dxa"/>
            <w:tcBorders/>
            <w:shd w:fill="FFFFFF" w:val="clear"/>
            <w:vAlign w:val="center"/>
          </w:tcPr>
          <w:p>
            <w:pPr>
              <w:pStyle w:val="TableContents"/>
              <w:bidi w:val="0"/>
              <w:spacing w:before="0" w:after="283"/>
              <w:jc w:val="center"/>
              <w:rPr/>
            </w:pPr>
            <w:r>
              <w:rPr/>
              <w:t> </w:t>
            </w:r>
          </w:p>
        </w:tc>
        <w:tc>
          <w:tcPr>
            <w:tcW w:w="71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9/29/2031</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763,269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Human Resource &amp; Employment Services - 0.23%*</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1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2023</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216"/>
        <w:gridCol w:w="146"/>
        <w:gridCol w:w="820"/>
        <w:gridCol w:w="146"/>
        <w:gridCol w:w="995"/>
        <w:gridCol w:w="146"/>
        <w:gridCol w:w="914"/>
        <w:gridCol w:w="146"/>
        <w:gridCol w:w="695"/>
        <w:gridCol w:w="146"/>
        <w:gridCol w:w="155"/>
        <w:gridCol w:w="155"/>
        <w:gridCol w:w="735"/>
        <w:gridCol w:w="146"/>
        <w:gridCol w:w="146"/>
        <w:gridCol w:w="146"/>
        <w:gridCol w:w="146"/>
        <w:gridCol w:w="691"/>
        <w:gridCol w:w="146"/>
        <w:gridCol w:w="146"/>
        <w:gridCol w:w="146"/>
        <w:gridCol w:w="146"/>
        <w:gridCol w:w="586"/>
        <w:gridCol w:w="146"/>
        <w:gridCol w:w="146"/>
        <w:gridCol w:w="74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Investment Description</w:t>
            </w:r>
            <w:r>
              <w:rPr>
                <w:rFonts w:ascii="Times New Roman" w:hAnsi="Times New Roman"/>
                <w:b/>
                <w:color w:val="000000"/>
                <w:sz w:val="9"/>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630" w:type="dxa"/>
            <w:gridSpan w:val="7"/>
            <w:tcBorders/>
            <w:shd w:fill="CFF0FC"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0"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469" w:type="dxa"/>
            <w:gridSpan w:val="6"/>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&amp; Direct Marketing Retail</w:t>
            </w:r>
          </w:p>
        </w:tc>
        <w:tc>
          <w:tcPr>
            <w:tcW w:w="14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Madison Reed, Inc.</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12/16/2022</w:t>
            </w:r>
          </w:p>
        </w:tc>
        <w:tc>
          <w:tcPr>
            <w:tcW w:w="146"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0"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(18)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Internet &amp; Direct Marketing Retail - 0.03%*</w:t>
            </w:r>
          </w:p>
        </w:tc>
        <w:tc>
          <w:tcPr>
            <w:tcW w:w="14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Software and Services</w:t>
            </w:r>
          </w:p>
        </w:tc>
        <w:tc>
          <w:tcPr>
            <w:tcW w:w="14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Bombora, Inc.</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3/31/2021</w:t>
            </w:r>
          </w:p>
        </w:tc>
        <w:tc>
          <w:tcPr>
            <w:tcW w:w="146"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3/31/2031</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121,581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12/26/2023</w:t>
            </w:r>
          </w:p>
        </w:tc>
        <w:tc>
          <w:tcPr>
            <w:tcW w:w="146" w:type="dxa"/>
            <w:tcBorders/>
            <w:shd w:fill="CFF0FC" w:val="clear"/>
            <w:vAlign w:val="center"/>
          </w:tcPr>
          <w:p>
            <w:pPr>
              <w:pStyle w:val="TableContents"/>
              <w:bidi w:val="0"/>
              <w:spacing w:before="0" w:after="283"/>
              <w:jc w:val="center"/>
              <w:rPr/>
            </w:pPr>
            <w:r>
              <w:rPr/>
              <w:t> </w:t>
            </w:r>
          </w:p>
        </w:tc>
        <w:tc>
          <w:tcPr>
            <w:tcW w:w="69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12/26/2033</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48,632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Fidelis Cybersecurity, Inc.</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3/25/2022</w:t>
            </w:r>
          </w:p>
        </w:tc>
        <w:tc>
          <w:tcPr>
            <w:tcW w:w="146"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3/25/2032</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0"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(17)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INRIX, Inc.</w:t>
            </w:r>
          </w:p>
        </w:tc>
        <w:tc>
          <w:tcPr>
            <w:tcW w:w="146"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7/26/2019</w:t>
            </w:r>
          </w:p>
        </w:tc>
        <w:tc>
          <w:tcPr>
            <w:tcW w:w="146" w:type="dxa"/>
            <w:tcBorders/>
            <w:shd w:fill="CFF0FC" w:val="clear"/>
            <w:vAlign w:val="center"/>
          </w:tcPr>
          <w:p>
            <w:pPr>
              <w:pStyle w:val="TableContents"/>
              <w:bidi w:val="0"/>
              <w:spacing w:before="0" w:after="283"/>
              <w:jc w:val="center"/>
              <w:rPr/>
            </w:pPr>
            <w:r>
              <w:rPr/>
              <w:t> </w:t>
            </w:r>
          </w:p>
        </w:tc>
        <w:tc>
          <w:tcPr>
            <w:tcW w:w="69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7/26/2029</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150,804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Longtail Ad Solutions, Inc. (dba JW Player)</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12/12/2019</w:t>
            </w:r>
          </w:p>
        </w:tc>
        <w:tc>
          <w:tcPr>
            <w:tcW w:w="146"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12/12/2029</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387,596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Skillshare, Inc.</w:t>
            </w:r>
          </w:p>
        </w:tc>
        <w:tc>
          <w:tcPr>
            <w:tcW w:w="146"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11/8/2022</w:t>
            </w:r>
          </w:p>
        </w:tc>
        <w:tc>
          <w:tcPr>
            <w:tcW w:w="146" w:type="dxa"/>
            <w:tcBorders/>
            <w:shd w:fill="CFF0FC" w:val="clear"/>
            <w:vAlign w:val="center"/>
          </w:tcPr>
          <w:p>
            <w:pPr>
              <w:pStyle w:val="TableContents"/>
              <w:bidi w:val="0"/>
              <w:spacing w:before="0" w:after="283"/>
              <w:jc w:val="center"/>
              <w:rPr/>
            </w:pPr>
            <w:r>
              <w:rPr/>
              <w:t> </w:t>
            </w:r>
          </w:p>
        </w:tc>
        <w:tc>
          <w:tcPr>
            <w:tcW w:w="69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11/8/2026</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0"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(18)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Synack, Inc.</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12/29/2023</w:t>
            </w:r>
          </w:p>
        </w:tc>
        <w:tc>
          <w:tcPr>
            <w:tcW w:w="146"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6/30/2032</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116,908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Internet Software and Services - 0.30%*</w:t>
            </w:r>
          </w:p>
        </w:tc>
        <w:tc>
          <w:tcPr>
            <w:tcW w:w="14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Property &amp; Casualty Insurance</w:t>
            </w:r>
          </w:p>
        </w:tc>
        <w:tc>
          <w:tcPr>
            <w:tcW w:w="14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Kin Insurance, Inc.</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D-3 Preferred Stock</w:t>
            </w:r>
          </w:p>
        </w:tc>
        <w:tc>
          <w:tcPr>
            <w:tcW w:w="14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9/26/2022</w:t>
            </w:r>
          </w:p>
        </w:tc>
        <w:tc>
          <w:tcPr>
            <w:tcW w:w="146"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9/26/2032</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D-3 Preferred Stock</w:t>
            </w:r>
          </w:p>
        </w:tc>
        <w:tc>
          <w:tcPr>
            <w:tcW w:w="14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5/5/2023</w:t>
            </w:r>
          </w:p>
        </w:tc>
        <w:tc>
          <w:tcPr>
            <w:tcW w:w="146" w:type="dxa"/>
            <w:tcBorders/>
            <w:shd w:fill="CFF0FC" w:val="clear"/>
            <w:vAlign w:val="center"/>
          </w:tcPr>
          <w:p>
            <w:pPr>
              <w:pStyle w:val="TableContents"/>
              <w:bidi w:val="0"/>
              <w:spacing w:before="0" w:after="283"/>
              <w:jc w:val="center"/>
              <w:rPr/>
            </w:pPr>
            <w:r>
              <w:rPr/>
              <w:t> </w:t>
            </w:r>
          </w:p>
        </w:tc>
        <w:tc>
          <w:tcPr>
            <w:tcW w:w="69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9/26/2032</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D-3 Preferred Stock</w:t>
            </w:r>
          </w:p>
        </w:tc>
        <w:tc>
          <w:tcPr>
            <w:tcW w:w="14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8/25/2023</w:t>
            </w:r>
          </w:p>
        </w:tc>
        <w:tc>
          <w:tcPr>
            <w:tcW w:w="146"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9/26/2032</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Property &amp; Casualty Insurance - 0.08%*</w:t>
            </w:r>
          </w:p>
        </w:tc>
        <w:tc>
          <w:tcPr>
            <w:tcW w:w="14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Specialized Consumer Services</w:t>
            </w:r>
          </w:p>
        </w:tc>
        <w:tc>
          <w:tcPr>
            <w:tcW w:w="14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AllClear ID, Inc.</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8/31/2017</w:t>
            </w:r>
          </w:p>
        </w:tc>
        <w:tc>
          <w:tcPr>
            <w:tcW w:w="146"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8/31/2027</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523,893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10/17/2018</w:t>
            </w:r>
          </w:p>
        </w:tc>
        <w:tc>
          <w:tcPr>
            <w:tcW w:w="146" w:type="dxa"/>
            <w:tcBorders/>
            <w:shd w:fill="CFF0FC" w:val="clear"/>
            <w:vAlign w:val="center"/>
          </w:tcPr>
          <w:p>
            <w:pPr>
              <w:pStyle w:val="TableContents"/>
              <w:bidi w:val="0"/>
              <w:spacing w:before="0" w:after="283"/>
              <w:jc w:val="center"/>
              <w:rPr/>
            </w:pPr>
            <w:r>
              <w:rPr/>
              <w:t> </w:t>
            </w:r>
          </w:p>
        </w:tc>
        <w:tc>
          <w:tcPr>
            <w:tcW w:w="69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8/31/2027</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346,621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Credit Sesame, Inc.</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1/7/2020</w:t>
            </w:r>
          </w:p>
        </w:tc>
        <w:tc>
          <w:tcPr>
            <w:tcW w:w="146"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1/7/2030</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191,601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Specialized Consumer Services - 0.07%*</w:t>
            </w:r>
          </w:p>
        </w:tc>
        <w:tc>
          <w:tcPr>
            <w:tcW w:w="14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System Software</w:t>
            </w:r>
          </w:p>
        </w:tc>
        <w:tc>
          <w:tcPr>
            <w:tcW w:w="14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Dejero Labs Inc.</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5/31/2019</w:t>
            </w:r>
          </w:p>
        </w:tc>
        <w:tc>
          <w:tcPr>
            <w:tcW w:w="146"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5/31/2029</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333,621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 (8)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Linxup, LLC</w:t>
            </w:r>
          </w:p>
        </w:tc>
        <w:tc>
          <w:tcPr>
            <w:tcW w:w="146"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11/3/2023</w:t>
            </w:r>
          </w:p>
        </w:tc>
        <w:tc>
          <w:tcPr>
            <w:tcW w:w="146" w:type="dxa"/>
            <w:tcBorders/>
            <w:shd w:fill="CFF0FC" w:val="clear"/>
            <w:vAlign w:val="center"/>
          </w:tcPr>
          <w:p>
            <w:pPr>
              <w:pStyle w:val="TableContents"/>
              <w:bidi w:val="0"/>
              <w:spacing w:before="0" w:after="283"/>
              <w:jc w:val="center"/>
              <w:rPr/>
            </w:pPr>
            <w:r>
              <w:rPr/>
              <w:t> </w:t>
            </w:r>
          </w:p>
        </w:tc>
        <w:tc>
          <w:tcPr>
            <w:tcW w:w="69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11/3/2033</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0"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(18)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Scale Computing, Inc.</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3/29/2019</w:t>
            </w:r>
          </w:p>
        </w:tc>
        <w:tc>
          <w:tcPr>
            <w:tcW w:w="146"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3/29/2029</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9,665,667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System Software - 0.10%*</w:t>
            </w:r>
          </w:p>
        </w:tc>
        <w:tc>
          <w:tcPr>
            <w:tcW w:w="14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Technology Hardware, Storage &amp; Peripherals</w:t>
            </w:r>
          </w:p>
        </w:tc>
        <w:tc>
          <w:tcPr>
            <w:tcW w:w="14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RealWear, Inc.</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 Preferred Stock</w:t>
            </w:r>
          </w:p>
        </w:tc>
        <w:tc>
          <w:tcPr>
            <w:tcW w:w="14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10/5/2018</w:t>
            </w:r>
          </w:p>
        </w:tc>
        <w:tc>
          <w:tcPr>
            <w:tcW w:w="146"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10/5/2028</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112,451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 Preferred Stock</w:t>
            </w:r>
          </w:p>
        </w:tc>
        <w:tc>
          <w:tcPr>
            <w:tcW w:w="14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12/28/2018</w:t>
            </w:r>
          </w:p>
        </w:tc>
        <w:tc>
          <w:tcPr>
            <w:tcW w:w="146" w:type="dxa"/>
            <w:tcBorders/>
            <w:shd w:fill="CFF0FC" w:val="clear"/>
            <w:vAlign w:val="center"/>
          </w:tcPr>
          <w:p>
            <w:pPr>
              <w:pStyle w:val="TableContents"/>
              <w:bidi w:val="0"/>
              <w:spacing w:before="0" w:after="283"/>
              <w:jc w:val="center"/>
              <w:rPr/>
            </w:pPr>
            <w:r>
              <w:rPr/>
              <w:t> </w:t>
            </w:r>
          </w:p>
        </w:tc>
        <w:tc>
          <w:tcPr>
            <w:tcW w:w="69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10/5/2028</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 Preferred Stock</w:t>
            </w:r>
          </w:p>
        </w:tc>
        <w:tc>
          <w:tcPr>
            <w:tcW w:w="14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6/27/2019</w:t>
            </w:r>
          </w:p>
        </w:tc>
        <w:tc>
          <w:tcPr>
            <w:tcW w:w="146"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6/27/2029</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123,894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83" w:type="dxa"/>
            <w:gridSpan w:val="7"/>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Technology Hardware, Storage &amp; Peripherals - 0.07%*</w:t>
            </w:r>
          </w:p>
        </w:tc>
        <w:tc>
          <w:tcPr>
            <w:tcW w:w="146" w:type="dxa"/>
            <w:tcBorders/>
            <w:shd w:fill="CFF0FC" w:val="clear"/>
            <w:vAlign w:val="center"/>
          </w:tcPr>
          <w:p>
            <w:pPr>
              <w:pStyle w:val="TableContents"/>
              <w:bidi w:val="0"/>
              <w:spacing w:before="0" w:after="283"/>
              <w:jc w:val="center"/>
              <w:rPr/>
            </w:pPr>
            <w:r>
              <w:rPr/>
              <w:t> </w:t>
            </w:r>
          </w:p>
        </w:tc>
        <w:tc>
          <w:tcPr>
            <w:tcW w:w="69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3469" w:type="dxa"/>
            <w:gridSpan w:val="6"/>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Warrants - 2.19%*</w:t>
            </w:r>
          </w:p>
        </w:tc>
        <w:tc>
          <w:tcPr>
            <w:tcW w:w="14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r>
      <w:tr>
        <w:trPr/>
        <w:tc>
          <w:tcPr>
            <w:tcW w:w="3630" w:type="dxa"/>
            <w:gridSpan w:val="7"/>
            <w:tcBorders/>
            <w:shd w:fill="CFF0FC"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Total Non-Control/Non-Affiliate Investments - 177.78%*</w:t>
            </w:r>
          </w:p>
        </w:tc>
        <w:tc>
          <w:tcPr>
            <w:tcW w:w="14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1,005,024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972,604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2023</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857"/>
        <w:gridCol w:w="146"/>
        <w:gridCol w:w="830"/>
        <w:gridCol w:w="146"/>
        <w:gridCol w:w="1133"/>
        <w:gridCol w:w="146"/>
        <w:gridCol w:w="936"/>
        <w:gridCol w:w="146"/>
        <w:gridCol w:w="704"/>
        <w:gridCol w:w="146"/>
        <w:gridCol w:w="156"/>
        <w:gridCol w:w="156"/>
        <w:gridCol w:w="743"/>
        <w:gridCol w:w="146"/>
        <w:gridCol w:w="146"/>
        <w:gridCol w:w="181"/>
        <w:gridCol w:w="146"/>
        <w:gridCol w:w="691"/>
        <w:gridCol w:w="146"/>
        <w:gridCol w:w="146"/>
        <w:gridCol w:w="181"/>
        <w:gridCol w:w="146"/>
        <w:gridCol w:w="691"/>
        <w:gridCol w:w="146"/>
        <w:gridCol w:w="146"/>
        <w:gridCol w:w="7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11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Investment Description</w:t>
            </w:r>
            <w:r>
              <w:rPr>
                <w:rFonts w:ascii="Times New Roman" w:hAnsi="Times New Roman"/>
                <w:b/>
                <w:color w:val="000000"/>
                <w:sz w:val="9"/>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419" w:type="dxa"/>
            <w:gridSpan w:val="7"/>
            <w:tcBorders/>
            <w:shd w:fill="CFF0FC"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Affiliate Investments</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(22)</w:t>
            </w:r>
          </w:p>
        </w:tc>
      </w:tr>
      <w:tr>
        <w:trPr/>
        <w:tc>
          <w:tcPr>
            <w:tcW w:w="161" w:type="dxa"/>
            <w:tcBorders/>
            <w:shd w:fill="FFFFFF" w:val="clear"/>
            <w:vAlign w:val="center"/>
          </w:tcPr>
          <w:p>
            <w:pPr>
              <w:pStyle w:val="TableContents"/>
              <w:bidi w:val="0"/>
              <w:spacing w:before="0" w:after="283"/>
              <w:jc w:val="left"/>
              <w:rPr/>
            </w:pPr>
            <w:r>
              <w:rPr/>
              <w:t> </w:t>
            </w:r>
          </w:p>
        </w:tc>
        <w:tc>
          <w:tcPr>
            <w:tcW w:w="3258" w:type="dxa"/>
            <w:gridSpan w:val="6"/>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Debt Investments</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 Care Technology</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0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Gynesonics, Inc.</w:t>
            </w:r>
          </w:p>
        </w:tc>
        <w:tc>
          <w:tcPr>
            <w:tcW w:w="14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SOFR+8.75%, 8.00% ceiling, 5.00% ETP</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3/1/2023</w:t>
            </w:r>
          </w:p>
        </w:tc>
        <w:tc>
          <w:tcPr>
            <w:tcW w:w="146"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11/30/2026</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 Care Technology - 4.31%*</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0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3258" w:type="dxa"/>
            <w:gridSpan w:val="6"/>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Debt Investments - 4.31%*</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0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3258" w:type="dxa"/>
            <w:gridSpan w:val="6"/>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Investments</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2"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Application Software</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Coginiti Corp</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vAlign w:val="center"/>
          </w:tcPr>
          <w:p>
            <w:pPr>
              <w:pStyle w:val="TableContents"/>
              <w:bidi w:val="0"/>
              <w:spacing w:before="0" w:after="283"/>
              <w:jc w:val="left"/>
              <w:rPr/>
            </w:pPr>
            <w:r>
              <w:rPr/>
              <w:t> </w:t>
            </w:r>
          </w:p>
        </w:tc>
        <w:tc>
          <w:tcPr>
            <w:tcW w:w="113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3/9/2020</w:t>
            </w:r>
          </w:p>
        </w:tc>
        <w:tc>
          <w:tcPr>
            <w:tcW w:w="146" w:type="dxa"/>
            <w:tcBorders/>
            <w:shd w:fill="CFF0FC" w:val="clear"/>
            <w:vAlign w:val="center"/>
          </w:tcPr>
          <w:p>
            <w:pPr>
              <w:pStyle w:val="TableContents"/>
              <w:bidi w:val="0"/>
              <w:spacing w:before="0" w:after="283"/>
              <w:jc w:val="center"/>
              <w:rPr/>
            </w:pPr>
            <w:r>
              <w:rPr/>
              <w:t> </w:t>
            </w:r>
          </w:p>
        </w:tc>
        <w:tc>
          <w:tcPr>
            <w:tcW w:w="70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1,040,160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2"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Application Software - 0.16%*</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0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2"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 Care Technology</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Gynesonics, Inc.</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vAlign w:val="center"/>
          </w:tcPr>
          <w:p>
            <w:pPr>
              <w:pStyle w:val="TableContents"/>
              <w:bidi w:val="0"/>
              <w:spacing w:before="0" w:after="283"/>
              <w:jc w:val="left"/>
              <w:rPr/>
            </w:pPr>
            <w:r>
              <w:rPr/>
              <w:t> </w:t>
            </w:r>
          </w:p>
        </w:tc>
        <w:tc>
          <w:tcPr>
            <w:tcW w:w="113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A-2 Preferred Stock</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3/1/2023</w:t>
            </w:r>
          </w:p>
        </w:tc>
        <w:tc>
          <w:tcPr>
            <w:tcW w:w="146" w:type="dxa"/>
            <w:tcBorders/>
            <w:shd w:fill="CFF0FC" w:val="clear"/>
            <w:vAlign w:val="center"/>
          </w:tcPr>
          <w:p>
            <w:pPr>
              <w:pStyle w:val="TableContents"/>
              <w:bidi w:val="0"/>
              <w:spacing w:before="0" w:after="283"/>
              <w:jc w:val="center"/>
              <w:rPr/>
            </w:pPr>
            <w:r>
              <w:rPr/>
              <w:t> </w:t>
            </w:r>
          </w:p>
        </w:tc>
        <w:tc>
          <w:tcPr>
            <w:tcW w:w="70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3,266,668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A-1 Preferred Stock</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10/24/2023</w:t>
            </w:r>
          </w:p>
        </w:tc>
        <w:tc>
          <w:tcPr>
            <w:tcW w:w="146"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 Care Technology - 4.76%*</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0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3258" w:type="dxa"/>
            <w:gridSpan w:val="6"/>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Investments - 4.92%*</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0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3258" w:type="dxa"/>
            <w:gridSpan w:val="6"/>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2"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Application Software</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Coginiti Corp</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3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3/9/2020</w:t>
            </w:r>
          </w:p>
        </w:tc>
        <w:tc>
          <w:tcPr>
            <w:tcW w:w="146" w:type="dxa"/>
            <w:tcBorders/>
            <w:shd w:fill="CFF0FC" w:val="clear"/>
            <w:vAlign w:val="center"/>
          </w:tcPr>
          <w:p>
            <w:pPr>
              <w:pStyle w:val="TableContents"/>
              <w:bidi w:val="0"/>
              <w:spacing w:before="0" w:after="283"/>
              <w:jc w:val="center"/>
              <w:rPr/>
            </w:pPr>
            <w:r>
              <w:rPr/>
              <w:t> </w:t>
            </w:r>
          </w:p>
        </w:tc>
        <w:tc>
          <w:tcPr>
            <w:tcW w:w="70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3/9/2030</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811,770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2"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Application Software - 0.12%*</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0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2"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 Care Technology</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Gynesonics, Inc.</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3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3/1/2023</w:t>
            </w:r>
          </w:p>
        </w:tc>
        <w:tc>
          <w:tcPr>
            <w:tcW w:w="146" w:type="dxa"/>
            <w:tcBorders/>
            <w:shd w:fill="CFF0FC" w:val="clear"/>
            <w:vAlign w:val="center"/>
          </w:tcPr>
          <w:p>
            <w:pPr>
              <w:pStyle w:val="TableContents"/>
              <w:bidi w:val="0"/>
              <w:spacing w:before="0" w:after="283"/>
              <w:jc w:val="center"/>
              <w:rPr/>
            </w:pPr>
            <w:r>
              <w:rPr/>
              <w:t> </w:t>
            </w:r>
          </w:p>
        </w:tc>
        <w:tc>
          <w:tcPr>
            <w:tcW w:w="70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3/1/2030</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9"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(18)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2"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 Care Technology - 0.06%*</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0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258" w:type="dxa"/>
            <w:gridSpan w:val="6"/>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Warrants - 0.18%*</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0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pPr>
            <w:r>
              <w:rPr/>
              <w:t> </w:t>
            </w:r>
          </w:p>
        </w:tc>
      </w:tr>
      <w:tr>
        <w:trPr/>
        <w:tc>
          <w:tcPr>
            <w:tcW w:w="3419" w:type="dxa"/>
            <w:gridSpan w:val="7"/>
            <w:tcBorders/>
            <w:shd w:fill="FFFFFF"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Total Affiliate Investments - 9.41%*</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58,861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0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pPr>
            <w:r>
              <w:rPr/>
              <w:t> </w:t>
            </w:r>
          </w:p>
        </w:tc>
      </w:tr>
      <w:tr>
        <w:trPr/>
        <w:tc>
          <w:tcPr>
            <w:tcW w:w="3419" w:type="dxa"/>
            <w:gridSpan w:val="7"/>
            <w:tcBorders/>
            <w:shd w:fill="FFFFFF"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Control Investments</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(23)</w:t>
            </w:r>
          </w:p>
        </w:tc>
      </w:tr>
      <w:tr>
        <w:trPr/>
        <w:tc>
          <w:tcPr>
            <w:tcW w:w="161" w:type="dxa"/>
            <w:tcBorders/>
            <w:shd w:fill="CFF0FC" w:val="clear"/>
            <w:vAlign w:val="center"/>
          </w:tcPr>
          <w:p>
            <w:pPr>
              <w:pStyle w:val="TableContents"/>
              <w:bidi w:val="0"/>
              <w:spacing w:before="0" w:after="283"/>
              <w:jc w:val="left"/>
              <w:rPr/>
            </w:pPr>
            <w:r>
              <w:rPr/>
              <w:t> </w:t>
            </w:r>
          </w:p>
        </w:tc>
        <w:tc>
          <w:tcPr>
            <w:tcW w:w="3258" w:type="dxa"/>
            <w:gridSpan w:val="6"/>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Investments</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0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2"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Data Processing &amp; Outsourced Services</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Pivot3, Inc.</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vAlign w:val="center"/>
          </w:tcPr>
          <w:p>
            <w:pPr>
              <w:pStyle w:val="TableContents"/>
              <w:bidi w:val="0"/>
              <w:spacing w:before="0" w:after="283"/>
              <w:jc w:val="left"/>
              <w:rPr/>
            </w:pPr>
            <w:r>
              <w:rPr/>
              <w:t> </w:t>
            </w:r>
          </w:p>
        </w:tc>
        <w:tc>
          <w:tcPr>
            <w:tcW w:w="113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 Interest</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12/31/2023</w:t>
            </w:r>
          </w:p>
        </w:tc>
        <w:tc>
          <w:tcPr>
            <w:tcW w:w="146" w:type="dxa"/>
            <w:tcBorders/>
            <w:shd w:fill="CFF0FC" w:val="clear"/>
            <w:vAlign w:val="center"/>
          </w:tcPr>
          <w:p>
            <w:pPr>
              <w:pStyle w:val="TableContents"/>
              <w:bidi w:val="0"/>
              <w:spacing w:before="0" w:after="283"/>
              <w:jc w:val="center"/>
              <w:rPr/>
            </w:pPr>
            <w:r>
              <w:rPr/>
              <w:t> </w:t>
            </w:r>
          </w:p>
        </w:tc>
        <w:tc>
          <w:tcPr>
            <w:tcW w:w="70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9"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(21)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2"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Data Processing &amp; Outsourced Services - 0.17%*</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0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258" w:type="dxa"/>
            <w:gridSpan w:val="6"/>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Investments - 0.17%*</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0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pPr>
            <w:r>
              <w:rPr/>
              <w:t> </w:t>
            </w:r>
          </w:p>
        </w:tc>
      </w:tr>
      <w:tr>
        <w:trPr/>
        <w:tc>
          <w:tcPr>
            <w:tcW w:w="3419" w:type="dxa"/>
            <w:gridSpan w:val="7"/>
            <w:tcBorders/>
            <w:shd w:fill="FFFFFF"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Total Control Investments - 0.17%*</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pPr>
            <w:r>
              <w:rPr/>
              <w:t> </w:t>
            </w:r>
          </w:p>
        </w:tc>
      </w:tr>
      <w:tr>
        <w:trPr/>
        <w:tc>
          <w:tcPr>
            <w:tcW w:w="3419" w:type="dxa"/>
            <w:gridSpan w:val="7"/>
            <w:tcBorders/>
            <w:shd w:fill="FFFFFF"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Total Investments, excluding U.S. Treasury Bills - 187.36%*</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1,064,835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1,025,010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pPr>
            <w:r>
              <w:rPr/>
              <w:t> </w:t>
            </w:r>
          </w:p>
        </w:tc>
      </w:tr>
      <w:tr>
        <w:trPr/>
        <w:tc>
          <w:tcPr>
            <w:tcW w:w="3419" w:type="dxa"/>
            <w:gridSpan w:val="7"/>
            <w:tcBorders/>
            <w:shd w:fill="FFFFFF"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U.S. Treasury</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U.S. Treasury Bill, 4.324%</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12/29/2023</w:t>
            </w:r>
          </w:p>
        </w:tc>
        <w:tc>
          <w:tcPr>
            <w:tcW w:w="146" w:type="dxa"/>
            <w:tcBorders/>
            <w:shd w:fill="CFF0FC" w:val="clear"/>
            <w:vAlign w:val="center"/>
          </w:tcPr>
          <w:p>
            <w:pPr>
              <w:pStyle w:val="TableContents"/>
              <w:bidi w:val="0"/>
              <w:spacing w:before="0" w:after="283"/>
              <w:jc w:val="center"/>
              <w:rPr/>
            </w:pPr>
            <w:r>
              <w:rPr/>
              <w:t> </w:t>
            </w:r>
          </w:p>
        </w:tc>
        <w:tc>
          <w:tcPr>
            <w:tcW w:w="70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1/4/2024</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41,999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pPr>
            <w:r>
              <w:rPr/>
              <w:t> </w:t>
            </w:r>
          </w:p>
        </w:tc>
      </w:tr>
      <w:tr>
        <w:trPr/>
        <w:tc>
          <w:tcPr>
            <w:tcW w:w="3419" w:type="dxa"/>
            <w:gridSpan w:val="7"/>
            <w:tcBorders/>
            <w:shd w:fill="FFFFFF"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Total U.S. Treasury - 7.68%*</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41,999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pPr>
            <w:r>
              <w:rPr/>
              <w:t> </w:t>
            </w:r>
          </w:p>
        </w:tc>
      </w:tr>
      <w:tr>
        <w:trPr/>
        <w:tc>
          <w:tcPr>
            <w:tcW w:w="3419" w:type="dxa"/>
            <w:gridSpan w:val="7"/>
            <w:tcBorders/>
            <w:shd w:fill="FFFFFF"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Total Investments - 195.04%*</w:t>
            </w:r>
          </w:p>
        </w:tc>
        <w:tc>
          <w:tcPr>
            <w:tcW w:w="146"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9"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1,106,849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1,067,009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December 31, 2023</w:t>
      </w:r>
    </w:p>
    <w:tbl>
      <w:tblPr>
        <w:tblW w:w="10205" w:type="dxa"/>
        <w:jc w:val="left"/>
        <w:tblInd w:w="0" w:type="dxa"/>
        <w:tblLayout w:type="fixed"/>
        <w:tblCellMar>
          <w:top w:w="28" w:type="dxa"/>
          <w:left w:w="28" w:type="dxa"/>
          <w:bottom w:w="28" w:type="dxa"/>
          <w:right w:w="28" w:type="dxa"/>
        </w:tblCellMar>
      </w:tblPr>
      <w:tblGrid>
        <w:gridCol w:w="276"/>
        <w:gridCol w:w="146"/>
        <w:gridCol w:w="9783"/>
      </w:tblGrid>
      <w:tr>
        <w:trPr/>
        <w:tc>
          <w:tcPr>
            <w:tcW w:w="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3" w:type="dxa"/>
            <w:tcBorders/>
            <w:vAlign w:val="center"/>
          </w:tcPr>
          <w:p>
            <w:pPr>
              <w:pStyle w:val="TableContents"/>
              <w:bidi w:val="0"/>
              <w:spacing w:before="0" w:after="283"/>
              <w:jc w:val="left"/>
              <w:rPr>
                <w:sz w:val="4"/>
                <w:szCs w:val="4"/>
              </w:rPr>
            </w:pPr>
            <w:r>
              <w:rPr>
                <w:sz w:val="4"/>
                <w:szCs w:val="4"/>
              </w:rPr>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interest rates on notes include cash interest rates and payment-in-kind ("PIK") interest rates, as applicable. Unless otherwise indicated, all of the Company's variable interest rate debt instruments bear interest at a rate that is determined by reference to the U.S. Prime Rate, the 1-month Secured Overnight Financing Rate ("SOFR"), or the 3-month Secured Overnight Financing Rate ("SOFR"). At December 31, 2023, the U.S. Prime Rate was 8.50% the 1-Month SOFR was 5.35%. and the 3-Month SOFR was 5.33%.</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Company’s Board of Directors.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held at Fair Value net of the Fair Value of Unfunded Commitments. Refer to "Note 8 – Commitments and Contingencies" for additional detail.</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portfolio companies are domiciled in the United States, unless otherwise noted.</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the United Kingdom. Fair value of United-Kingdom-domiciled investments represents 14.05% of net assets.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Germany. Fair value of Germany-domiciled investments represents 8.15% of net assets.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(7)</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Canada. Fair value of Canadian-domiciled investments represents 2.68% of net assets.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qualifying investment as defined under Section 55(a) of the Investment Company Act of 1940, as amended. The fair value of non-qualifying assets represent 12.63% of total assets as of December 31, 2023.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(9)</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Represents a PIK security. PIK interest will be accrued and paid at maturity.</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(10)</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end-of-term payments ("ETP") are one-time payments stated as a percentage of original principal amount.</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(11)</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investment is an eligible loan investment in the collateral under the Credit Facility (as defined in "Note 7 – Borrowings").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(12)</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non-income producing.</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(13)</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NYSE.</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(14)</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NASDAQ.</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(15)</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ASX.</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(16)</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"restricted security" under the Securities Act.</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(17)</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warrant count is based upon a percentage of ownership of Fidelis Cybersecurity, Inc.</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(18)</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either a cash success fee payable or earnout of shares based on the consummation of certain trigger events.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(19)</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denominated in a foreign currency and is publicly traded on ETR. At each balance sheet date, portfolio company investments denominated in foreign currencies are translated into U.S. dollars using the spot exchange rate on the last business day of the period. Transactions of foreign portfolio company investments, and income related from such investments, are translated into U.S. dollars using relevant rates of exchange on the respective dates of such transactions.</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(20)</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Convertible notes represent investments that are redeemable by the Company upon occurrence of contingent events. There are no principal or interest payments to be made against the note.</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(21)</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assets recovered on the senior secured term loan to Pivot 3, Inc. was contributed to P3 Holdco LLC by the Company, a wholly owned subsidiary of the BDC. For more information, refer to "Note 2 — Summary of Significant Accounting Policies, Principles of Consolidation"</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(22)</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Affiliate portfolio company as defined under the 1940 Act in which the Company owns between 5% and 25% (inclusive) of the investment's voting securities and does not have rights to maintain greater than 50% representation on the board.</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(23)</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Control portfolio company, as defined under the 1940 Act, in which the Company owns more than 25% of the investment’s voting securities or has greater than 50% representation on its board.</w:t>
            </w:r>
          </w:p>
        </w:tc>
      </w:tr>
      <w:tr>
        <w:trPr/>
        <w:tc>
          <w:tcPr>
            <w:tcW w:w="27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vAlign w:val="center"/>
          </w:tcPr>
          <w:p>
            <w:pPr>
              <w:pStyle w:val="TableContents"/>
              <w:bidi w:val="0"/>
              <w:spacing w:before="0" w:after="283"/>
              <w:jc w:val="left"/>
              <w:rPr/>
            </w:pPr>
            <w:r>
              <w:rPr/>
              <w:t> </w:t>
            </w:r>
          </w:p>
        </w:tc>
        <w:tc>
          <w:tcPr>
            <w:tcW w:w="97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as a percentage of net assets.</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w:t>
      </w:r>
    </w:p>
    <w:p>
      <w:pPr>
        <w:pStyle w:val="TextBody"/>
        <w:bidi w:val="0"/>
        <w:jc w:val="center"/>
        <w:rPr>
          <w:rFonts w:ascii="Times New Roman" w:hAnsi="Times New Roman"/>
          <w:b/>
          <w:color w:val="000000"/>
          <w:sz w:val="20"/>
        </w:rPr>
      </w:pPr>
      <w:r>
        <w:rPr>
          <w:rFonts w:ascii="Times New Roman" w:hAnsi="Times New Roman"/>
          <w:b/>
          <w:color w:val="000000"/>
          <w:sz w:val="20"/>
        </w:rPr>
        <w:t>December 31, 2022</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363"/>
        <w:gridCol w:w="146"/>
        <w:gridCol w:w="808"/>
        <w:gridCol w:w="146"/>
        <w:gridCol w:w="1174"/>
        <w:gridCol w:w="146"/>
        <w:gridCol w:w="888"/>
        <w:gridCol w:w="146"/>
        <w:gridCol w:w="684"/>
        <w:gridCol w:w="146"/>
        <w:gridCol w:w="159"/>
        <w:gridCol w:w="159"/>
        <w:gridCol w:w="557"/>
        <w:gridCol w:w="146"/>
        <w:gridCol w:w="146"/>
        <w:gridCol w:w="146"/>
        <w:gridCol w:w="146"/>
        <w:gridCol w:w="586"/>
        <w:gridCol w:w="146"/>
        <w:gridCol w:w="146"/>
        <w:gridCol w:w="146"/>
        <w:gridCol w:w="146"/>
        <w:gridCol w:w="589"/>
        <w:gridCol w:w="146"/>
        <w:gridCol w:w="146"/>
        <w:gridCol w:w="7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16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Investment </w:t>
              <w:br/>
              <w:t>Description</w:t>
            </w:r>
            <w:r>
              <w:rPr>
                <w:rFonts w:ascii="Times New Roman" w:hAnsi="Times New Roman"/>
                <w:b/>
                <w:color w:val="000000"/>
                <w:sz w:val="9"/>
              </w:rPr>
              <w:t>(1),(5),(9)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944" w:type="dxa"/>
            <w:gridSpan w:val="7"/>
            <w:tcBorders/>
            <w:shd w:fill="CFF0FC"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16"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783" w:type="dxa"/>
            <w:gridSpan w:val="6"/>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Debt Investments</w:t>
            </w:r>
          </w:p>
        </w:tc>
        <w:tc>
          <w:tcPr>
            <w:tcW w:w="146"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37"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Application Software</w:t>
            </w:r>
          </w:p>
        </w:tc>
        <w:tc>
          <w:tcPr>
            <w:tcW w:w="146"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1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Circadence Corporation</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SOFR+9.50% PIK, 12.26% floor, 7.50% ETP</w:t>
            </w:r>
          </w:p>
        </w:tc>
        <w:tc>
          <w:tcPr>
            <w:tcW w:w="146"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12/20/2018</w:t>
            </w:r>
          </w:p>
        </w:tc>
        <w:tc>
          <w:tcPr>
            <w:tcW w:w="146" w:type="dxa"/>
            <w:tcBorders/>
            <w:shd w:fill="FFFFFF" w:val="clear"/>
            <w:vAlign w:val="center"/>
          </w:tcPr>
          <w:p>
            <w:pPr>
              <w:pStyle w:val="TableContents"/>
              <w:bidi w:val="0"/>
              <w:spacing w:before="0" w:after="283"/>
              <w:jc w:val="center"/>
              <w:rPr/>
            </w:pPr>
            <w:r>
              <w:rPr/>
              <w:t> </w:t>
            </w:r>
          </w:p>
        </w:tc>
        <w:tc>
          <w:tcPr>
            <w:tcW w:w="68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12/15/2023</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Dtex Systems, Inc.</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SOFR+9.25%, 9.75% floor, 1.75% ETP</w:t>
            </w:r>
          </w:p>
        </w:tc>
        <w:tc>
          <w:tcPr>
            <w:tcW w:w="146"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6/1/2021</w:t>
            </w:r>
          </w:p>
        </w:tc>
        <w:tc>
          <w:tcPr>
            <w:tcW w:w="146" w:type="dxa"/>
            <w:tcBorders/>
            <w:shd w:fill="CFF0FC" w:val="clear"/>
            <w:vAlign w:val="center"/>
          </w:tcPr>
          <w:p>
            <w:pPr>
              <w:pStyle w:val="TableContents"/>
              <w:bidi w:val="0"/>
              <w:spacing w:before="0" w:after="283"/>
              <w:jc w:val="center"/>
              <w:rPr/>
            </w:pPr>
            <w:r>
              <w:rPr/>
              <w:t> </w:t>
            </w:r>
          </w:p>
        </w:tc>
        <w:tc>
          <w:tcPr>
            <w:tcW w:w="68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6/1/2025</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FiscalNote, Inc.</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PRIME+5.00%, 9.00% floor, 1.00% PIK, 4.25% ETP</w:t>
            </w:r>
          </w:p>
        </w:tc>
        <w:tc>
          <w:tcPr>
            <w:tcW w:w="146"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10/19/2020</w:t>
            </w:r>
          </w:p>
        </w:tc>
        <w:tc>
          <w:tcPr>
            <w:tcW w:w="146" w:type="dxa"/>
            <w:tcBorders/>
            <w:shd w:fill="FFFFFF" w:val="clear"/>
            <w:vAlign w:val="center"/>
          </w:tcPr>
          <w:p>
            <w:pPr>
              <w:pStyle w:val="TableContents"/>
              <w:bidi w:val="0"/>
              <w:spacing w:before="0" w:after="283"/>
              <w:jc w:val="center"/>
              <w:rPr/>
            </w:pPr>
            <w:r>
              <w:rPr/>
              <w:t> </w:t>
            </w:r>
          </w:p>
        </w:tc>
        <w:tc>
          <w:tcPr>
            <w:tcW w:w="68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7/15/2027</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65,251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64,466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64,466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VTX Intermediate Holdings, Inc. (dba VertexOne)</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SOFR+9.00%, 9.50% floor, 4.50% ETP</w:t>
            </w:r>
          </w:p>
        </w:tc>
        <w:tc>
          <w:tcPr>
            <w:tcW w:w="146"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12/28/2021</w:t>
            </w:r>
          </w:p>
        </w:tc>
        <w:tc>
          <w:tcPr>
            <w:tcW w:w="146" w:type="dxa"/>
            <w:tcBorders/>
            <w:shd w:fill="CFF0FC" w:val="clear"/>
            <w:vAlign w:val="center"/>
          </w:tcPr>
          <w:p>
            <w:pPr>
              <w:pStyle w:val="TableContents"/>
              <w:bidi w:val="0"/>
              <w:spacing w:before="0" w:after="283"/>
              <w:jc w:val="center"/>
              <w:rPr/>
            </w:pPr>
            <w:r>
              <w:rPr/>
              <w:t> </w:t>
            </w:r>
          </w:p>
        </w:tc>
        <w:tc>
          <w:tcPr>
            <w:tcW w:w="68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12/28/2026</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37"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Application Software - 30.66%*</w:t>
            </w:r>
          </w:p>
        </w:tc>
        <w:tc>
          <w:tcPr>
            <w:tcW w:w="146"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176,582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8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1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37"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Biotechnology</w:t>
            </w:r>
          </w:p>
        </w:tc>
        <w:tc>
          <w:tcPr>
            <w:tcW w:w="146"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Mustang Bio, Inc.</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SOFR+8.75%, 9.25% floor, 3.50% ETP</w:t>
            </w:r>
          </w:p>
        </w:tc>
        <w:tc>
          <w:tcPr>
            <w:tcW w:w="146"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3/4/2022</w:t>
            </w:r>
          </w:p>
        </w:tc>
        <w:tc>
          <w:tcPr>
            <w:tcW w:w="146" w:type="dxa"/>
            <w:tcBorders/>
            <w:shd w:fill="CFF0FC" w:val="clear"/>
            <w:vAlign w:val="center"/>
          </w:tcPr>
          <w:p>
            <w:pPr>
              <w:pStyle w:val="TableContents"/>
              <w:bidi w:val="0"/>
              <w:spacing w:before="0" w:after="283"/>
              <w:jc w:val="center"/>
              <w:rPr/>
            </w:pPr>
            <w:r>
              <w:rPr/>
              <w:t> </w:t>
            </w:r>
          </w:p>
        </w:tc>
        <w:tc>
          <w:tcPr>
            <w:tcW w:w="68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4/15/2027</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TRACON Pharmaceuticals, Inc.</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PRIME+5.00%, 8.50% floor, 4.25% ETP</w:t>
            </w:r>
          </w:p>
        </w:tc>
        <w:tc>
          <w:tcPr>
            <w:tcW w:w="146"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9/2/2022</w:t>
            </w:r>
          </w:p>
        </w:tc>
        <w:tc>
          <w:tcPr>
            <w:tcW w:w="146" w:type="dxa"/>
            <w:tcBorders/>
            <w:shd w:fill="FFFFFF" w:val="clear"/>
            <w:vAlign w:val="center"/>
          </w:tcPr>
          <w:p>
            <w:pPr>
              <w:pStyle w:val="TableContents"/>
              <w:bidi w:val="0"/>
              <w:spacing w:before="0" w:after="283"/>
              <w:jc w:val="center"/>
              <w:rPr/>
            </w:pPr>
            <w:r>
              <w:rPr/>
              <w:t> </w:t>
            </w:r>
          </w:p>
        </w:tc>
        <w:tc>
          <w:tcPr>
            <w:tcW w:w="68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9/1/2026</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37"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Biotechnology - 6.89%*</w:t>
            </w:r>
          </w:p>
        </w:tc>
        <w:tc>
          <w:tcPr>
            <w:tcW w:w="146"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1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37"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Data Processing &amp; Outsourced Services</w:t>
            </w:r>
          </w:p>
        </w:tc>
        <w:tc>
          <w:tcPr>
            <w:tcW w:w="146"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1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Interactions Corporation</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SOFR+9.26%, 9.76% floor, 3.4375% ETP</w:t>
            </w:r>
          </w:p>
        </w:tc>
        <w:tc>
          <w:tcPr>
            <w:tcW w:w="146"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6/24/2022</w:t>
            </w:r>
          </w:p>
        </w:tc>
        <w:tc>
          <w:tcPr>
            <w:tcW w:w="146" w:type="dxa"/>
            <w:tcBorders/>
            <w:shd w:fill="FFFFFF" w:val="clear"/>
            <w:vAlign w:val="center"/>
          </w:tcPr>
          <w:p>
            <w:pPr>
              <w:pStyle w:val="TableContents"/>
              <w:bidi w:val="0"/>
              <w:spacing w:before="0" w:after="283"/>
              <w:jc w:val="center"/>
              <w:rPr/>
            </w:pPr>
            <w:r>
              <w:rPr/>
              <w:t> </w:t>
            </w:r>
          </w:p>
        </w:tc>
        <w:tc>
          <w:tcPr>
            <w:tcW w:w="68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6/15/2027</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ShareThis, Inc.</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SOFR+9.25%, 11.86% floor, 3.00% ETP</w:t>
            </w:r>
          </w:p>
        </w:tc>
        <w:tc>
          <w:tcPr>
            <w:tcW w:w="146"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12/3/2018</w:t>
            </w:r>
          </w:p>
        </w:tc>
        <w:tc>
          <w:tcPr>
            <w:tcW w:w="146" w:type="dxa"/>
            <w:tcBorders/>
            <w:shd w:fill="CFF0FC" w:val="clear"/>
            <w:vAlign w:val="center"/>
          </w:tcPr>
          <w:p>
            <w:pPr>
              <w:pStyle w:val="TableContents"/>
              <w:bidi w:val="0"/>
              <w:spacing w:before="0" w:after="283"/>
              <w:jc w:val="center"/>
              <w:rPr/>
            </w:pPr>
            <w:r>
              <w:rPr/>
              <w:t> </w:t>
            </w:r>
          </w:p>
        </w:tc>
        <w:tc>
          <w:tcPr>
            <w:tcW w:w="68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7/15/2025</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SOFR+8.25%, 10.86% floor, 3.00% ETP</w:t>
            </w:r>
          </w:p>
        </w:tc>
        <w:tc>
          <w:tcPr>
            <w:tcW w:w="146"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8/18/2020</w:t>
            </w:r>
          </w:p>
        </w:tc>
        <w:tc>
          <w:tcPr>
            <w:tcW w:w="146" w:type="dxa"/>
            <w:tcBorders/>
            <w:shd w:fill="FFFFFF" w:val="clear"/>
            <w:vAlign w:val="center"/>
          </w:tcPr>
          <w:p>
            <w:pPr>
              <w:pStyle w:val="TableContents"/>
              <w:bidi w:val="0"/>
              <w:spacing w:before="0" w:after="283"/>
              <w:jc w:val="center"/>
              <w:rPr/>
            </w:pPr>
            <w:r>
              <w:rPr/>
              <w:t> </w:t>
            </w:r>
          </w:p>
        </w:tc>
        <w:tc>
          <w:tcPr>
            <w:tcW w:w="68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7/15/2025</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Vesta Payment Solutions, Inc.</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SOFR+7.00%, 9.00% floor, 3.00% ETP</w:t>
            </w:r>
          </w:p>
        </w:tc>
        <w:tc>
          <w:tcPr>
            <w:tcW w:w="146"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11/29/2022</w:t>
            </w:r>
          </w:p>
        </w:tc>
        <w:tc>
          <w:tcPr>
            <w:tcW w:w="146" w:type="dxa"/>
            <w:tcBorders/>
            <w:shd w:fill="CFF0FC" w:val="clear"/>
            <w:vAlign w:val="center"/>
          </w:tcPr>
          <w:p>
            <w:pPr>
              <w:pStyle w:val="TableContents"/>
              <w:bidi w:val="0"/>
              <w:spacing w:before="0" w:after="283"/>
              <w:jc w:val="center"/>
              <w:rPr/>
            </w:pPr>
            <w:r>
              <w:rPr/>
              <w:t> </w:t>
            </w:r>
          </w:p>
        </w:tc>
        <w:tc>
          <w:tcPr>
            <w:tcW w:w="68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11/15/2026</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37"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Data Processing &amp; Outsourced Services - 14.96%*</w:t>
            </w:r>
          </w:p>
        </w:tc>
        <w:tc>
          <w:tcPr>
            <w:tcW w:w="146"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8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1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37"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Education Services</w:t>
            </w:r>
          </w:p>
        </w:tc>
        <w:tc>
          <w:tcPr>
            <w:tcW w:w="146"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Turning Tech Intermediate, Inc. (dba Echo 360, Inc.)</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SOFR+8.50%, 9.00% floor, 13.00% cash cap, 3.00% ETP</w:t>
            </w:r>
          </w:p>
        </w:tc>
        <w:tc>
          <w:tcPr>
            <w:tcW w:w="146"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6/22/2021</w:t>
            </w:r>
          </w:p>
        </w:tc>
        <w:tc>
          <w:tcPr>
            <w:tcW w:w="146" w:type="dxa"/>
            <w:tcBorders/>
            <w:shd w:fill="CFF0FC" w:val="clear"/>
            <w:vAlign w:val="center"/>
          </w:tcPr>
          <w:p>
            <w:pPr>
              <w:pStyle w:val="TableContents"/>
              <w:bidi w:val="0"/>
              <w:spacing w:before="0" w:after="283"/>
              <w:jc w:val="center"/>
              <w:rPr/>
            </w:pPr>
            <w:r>
              <w:rPr/>
              <w:t> </w:t>
            </w:r>
          </w:p>
        </w:tc>
        <w:tc>
          <w:tcPr>
            <w:tcW w:w="68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12/14/2025</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37"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Education Services - 4.39%*</w:t>
            </w:r>
          </w:p>
        </w:tc>
        <w:tc>
          <w:tcPr>
            <w:tcW w:w="146"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8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1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37"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Electronic Equipment &amp; Instruments</w:t>
            </w:r>
          </w:p>
        </w:tc>
        <w:tc>
          <w:tcPr>
            <w:tcW w:w="146"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Brivo, Inc.</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SOFR+6.85%, 10.89% floor, 50% of interest PIK, 3.00% ETP</w:t>
            </w:r>
          </w:p>
        </w:tc>
        <w:tc>
          <w:tcPr>
            <w:tcW w:w="146"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10/20/2022</w:t>
            </w:r>
          </w:p>
        </w:tc>
        <w:tc>
          <w:tcPr>
            <w:tcW w:w="146" w:type="dxa"/>
            <w:tcBorders/>
            <w:shd w:fill="CFF0FC" w:val="clear"/>
            <w:vAlign w:val="center"/>
          </w:tcPr>
          <w:p>
            <w:pPr>
              <w:pStyle w:val="TableContents"/>
              <w:bidi w:val="0"/>
              <w:spacing w:before="0" w:after="283"/>
              <w:jc w:val="center"/>
              <w:rPr/>
            </w:pPr>
            <w:r>
              <w:rPr/>
              <w:t> </w:t>
            </w:r>
          </w:p>
        </w:tc>
        <w:tc>
          <w:tcPr>
            <w:tcW w:w="68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10/20/2027</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43,912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43,912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Intellisite Holdings, Inc. (dba Epic IO Technologies, Inc.)</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SOFR+9.75%, 10.25% floor, 2.00% ETP</w:t>
            </w:r>
          </w:p>
        </w:tc>
        <w:tc>
          <w:tcPr>
            <w:tcW w:w="146"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12/17/2021</w:t>
            </w:r>
          </w:p>
        </w:tc>
        <w:tc>
          <w:tcPr>
            <w:tcW w:w="146" w:type="dxa"/>
            <w:tcBorders/>
            <w:shd w:fill="FFFFFF" w:val="clear"/>
            <w:vAlign w:val="center"/>
          </w:tcPr>
          <w:p>
            <w:pPr>
              <w:pStyle w:val="TableContents"/>
              <w:bidi w:val="0"/>
              <w:spacing w:before="0" w:after="283"/>
              <w:jc w:val="center"/>
              <w:rPr/>
            </w:pPr>
            <w:r>
              <w:rPr/>
              <w:t> </w:t>
            </w:r>
          </w:p>
        </w:tc>
        <w:tc>
          <w:tcPr>
            <w:tcW w:w="68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12/17/2025</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33,639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33,639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37"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Electronic Equipment &amp; Instruments - 13.46%*</w:t>
            </w:r>
          </w:p>
        </w:tc>
        <w:tc>
          <w:tcPr>
            <w:tcW w:w="146"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1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37"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 Care Equipment</w:t>
            </w:r>
          </w:p>
        </w:tc>
        <w:tc>
          <w:tcPr>
            <w:tcW w:w="146"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71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Moximed, Inc.</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PRIME+5.25%, 8.75% floor, 3.50% ETP</w:t>
            </w:r>
          </w:p>
        </w:tc>
        <w:tc>
          <w:tcPr>
            <w:tcW w:w="146"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6/24/2022</w:t>
            </w:r>
          </w:p>
        </w:tc>
        <w:tc>
          <w:tcPr>
            <w:tcW w:w="146" w:type="dxa"/>
            <w:tcBorders/>
            <w:shd w:fill="FFFFFF" w:val="clear"/>
            <w:vAlign w:val="center"/>
          </w:tcPr>
          <w:p>
            <w:pPr>
              <w:pStyle w:val="TableContents"/>
              <w:bidi w:val="0"/>
              <w:spacing w:before="0" w:after="283"/>
              <w:jc w:val="center"/>
              <w:rPr/>
            </w:pPr>
            <w:r>
              <w:rPr/>
              <w:t> </w:t>
            </w:r>
          </w:p>
        </w:tc>
        <w:tc>
          <w:tcPr>
            <w:tcW w:w="68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7/1/2027</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Revelle Aesthetics, Inc.</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PRIME+5.50%, 8.75% floor, 4.00% ETP</w:t>
            </w:r>
          </w:p>
        </w:tc>
        <w:tc>
          <w:tcPr>
            <w:tcW w:w="146"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3/30/2022</w:t>
            </w:r>
          </w:p>
        </w:tc>
        <w:tc>
          <w:tcPr>
            <w:tcW w:w="146" w:type="dxa"/>
            <w:tcBorders/>
            <w:shd w:fill="CFF0FC" w:val="clear"/>
            <w:vAlign w:val="center"/>
          </w:tcPr>
          <w:p>
            <w:pPr>
              <w:pStyle w:val="TableContents"/>
              <w:bidi w:val="0"/>
              <w:spacing w:before="0" w:after="283"/>
              <w:jc w:val="center"/>
              <w:rPr/>
            </w:pPr>
            <w:r>
              <w:rPr/>
              <w:t> </w:t>
            </w:r>
          </w:p>
        </w:tc>
        <w:tc>
          <w:tcPr>
            <w:tcW w:w="68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4/1/2027</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37"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 Care Equipment - 4.71%*</w:t>
            </w:r>
          </w:p>
        </w:tc>
        <w:tc>
          <w:tcPr>
            <w:tcW w:w="146"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2022</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103"/>
        <w:gridCol w:w="146"/>
        <w:gridCol w:w="814"/>
        <w:gridCol w:w="146"/>
        <w:gridCol w:w="1174"/>
        <w:gridCol w:w="146"/>
        <w:gridCol w:w="901"/>
        <w:gridCol w:w="146"/>
        <w:gridCol w:w="689"/>
        <w:gridCol w:w="146"/>
        <w:gridCol w:w="160"/>
        <w:gridCol w:w="160"/>
        <w:gridCol w:w="563"/>
        <w:gridCol w:w="146"/>
        <w:gridCol w:w="146"/>
        <w:gridCol w:w="146"/>
        <w:gridCol w:w="146"/>
        <w:gridCol w:w="691"/>
        <w:gridCol w:w="146"/>
        <w:gridCol w:w="146"/>
        <w:gridCol w:w="146"/>
        <w:gridCol w:w="146"/>
        <w:gridCol w:w="691"/>
        <w:gridCol w:w="146"/>
        <w:gridCol w:w="146"/>
        <w:gridCol w:w="76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Investment </w:t>
              <w:br/>
              <w:t>Description</w:t>
            </w:r>
            <w:r>
              <w:rPr>
                <w:rFonts w:ascii="Times New Roman" w:hAnsi="Times New Roman"/>
                <w:b/>
                <w:color w:val="000000"/>
                <w:sz w:val="9"/>
              </w:rPr>
              <w:t>(1),(5),(9)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690" w:type="dxa"/>
            <w:gridSpan w:val="7"/>
            <w:tcBorders/>
            <w:shd w:fill="CFF0FC"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723"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249" w:type="dxa"/>
            <w:gridSpan w:val="2"/>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Debt Investments</w:t>
            </w:r>
          </w:p>
        </w:tc>
        <w:tc>
          <w:tcPr>
            <w:tcW w:w="14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2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 Care Technology</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72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Allurion Technologies, Inc.</w:t>
            </w:r>
          </w:p>
        </w:tc>
        <w:tc>
          <w:tcPr>
            <w:tcW w:w="14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PRIME+6.44%, 9.50% floor, 3.00% ETP</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12/30/2021</w:t>
            </w:r>
          </w:p>
        </w:tc>
        <w:tc>
          <w:tcPr>
            <w:tcW w:w="146" w:type="dxa"/>
            <w:tcBorders/>
            <w:shd w:fill="FFFFFF" w:val="clear"/>
            <w:vAlign w:val="center"/>
          </w:tcPr>
          <w:p>
            <w:pPr>
              <w:pStyle w:val="TableContents"/>
              <w:bidi w:val="0"/>
              <w:spacing w:before="0" w:after="283"/>
              <w:jc w:val="center"/>
              <w:rPr/>
            </w:pPr>
            <w:r>
              <w:rPr/>
              <w:t> </w:t>
            </w:r>
          </w:p>
        </w:tc>
        <w:tc>
          <w:tcPr>
            <w:tcW w:w="689"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12/30/2026</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EBR Systems, Inc.</w:t>
            </w:r>
          </w:p>
        </w:tc>
        <w:tc>
          <w:tcPr>
            <w:tcW w:w="14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PRIME+4.90%, 8.90% floor, 4.50% ETP</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6/30/2022</w:t>
            </w:r>
          </w:p>
        </w:tc>
        <w:tc>
          <w:tcPr>
            <w:tcW w:w="146" w:type="dxa"/>
            <w:tcBorders/>
            <w:shd w:fill="CFF0FC" w:val="clear"/>
            <w:vAlign w:val="center"/>
          </w:tcPr>
          <w:p>
            <w:pPr>
              <w:pStyle w:val="TableContents"/>
              <w:bidi w:val="0"/>
              <w:spacing w:before="0" w:after="283"/>
              <w:jc w:val="center"/>
              <w:rPr/>
            </w:pPr>
            <w:r>
              <w:rPr/>
              <w:t> </w:t>
            </w:r>
          </w:p>
        </w:tc>
        <w:tc>
          <w:tcPr>
            <w:tcW w:w="68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6/15/2027</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(8)(20)</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Gynesonics, Inc.</w:t>
            </w:r>
          </w:p>
        </w:tc>
        <w:tc>
          <w:tcPr>
            <w:tcW w:w="14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SOFR+8.75%, 9.25% floor, 3.50% ETP</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12/1/2020</w:t>
            </w:r>
          </w:p>
        </w:tc>
        <w:tc>
          <w:tcPr>
            <w:tcW w:w="146" w:type="dxa"/>
            <w:tcBorders/>
            <w:shd w:fill="FFFFFF" w:val="clear"/>
            <w:vAlign w:val="center"/>
          </w:tcPr>
          <w:p>
            <w:pPr>
              <w:pStyle w:val="TableContents"/>
              <w:bidi w:val="0"/>
              <w:spacing w:before="0" w:after="283"/>
              <w:jc w:val="center"/>
              <w:rPr/>
            </w:pPr>
            <w:r>
              <w:rPr/>
              <w:t> </w:t>
            </w:r>
          </w:p>
        </w:tc>
        <w:tc>
          <w:tcPr>
            <w:tcW w:w="689"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12/1/2025</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Mingle Healthcare Solutions, Inc.</w:t>
            </w:r>
          </w:p>
        </w:tc>
        <w:tc>
          <w:tcPr>
            <w:tcW w:w="14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SOFR+9.50%, 12.01% floor, .25% PIK, 10.50% ETP</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8/15/2018</w:t>
            </w:r>
          </w:p>
        </w:tc>
        <w:tc>
          <w:tcPr>
            <w:tcW w:w="146" w:type="dxa"/>
            <w:tcBorders/>
            <w:shd w:fill="CFF0FC" w:val="clear"/>
            <w:vAlign w:val="center"/>
          </w:tcPr>
          <w:p>
            <w:pPr>
              <w:pStyle w:val="TableContents"/>
              <w:bidi w:val="0"/>
              <w:spacing w:before="0" w:after="283"/>
              <w:jc w:val="center"/>
              <w:rPr/>
            </w:pPr>
            <w:r>
              <w:rPr/>
              <w:t> </w:t>
            </w:r>
          </w:p>
        </w:tc>
        <w:tc>
          <w:tcPr>
            <w:tcW w:w="68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12/15/2023</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Nalu Medical, Inc.</w:t>
            </w:r>
          </w:p>
        </w:tc>
        <w:tc>
          <w:tcPr>
            <w:tcW w:w="14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PRIME+2.70%, 6.70% floor, 2.00% PIK, 4.50% ETP</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10/12/2022</w:t>
            </w:r>
          </w:p>
        </w:tc>
        <w:tc>
          <w:tcPr>
            <w:tcW w:w="146" w:type="dxa"/>
            <w:tcBorders/>
            <w:shd w:fill="FFFFFF" w:val="clear"/>
            <w:vAlign w:val="center"/>
          </w:tcPr>
          <w:p>
            <w:pPr>
              <w:pStyle w:val="TableContents"/>
              <w:bidi w:val="0"/>
              <w:spacing w:before="0" w:after="283"/>
              <w:jc w:val="center"/>
              <w:rPr/>
            </w:pPr>
            <w:r>
              <w:rPr/>
              <w:t> </w:t>
            </w:r>
          </w:p>
        </w:tc>
        <w:tc>
          <w:tcPr>
            <w:tcW w:w="689"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10/12/2027</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Route 92 Medical, Inc.</w:t>
            </w:r>
          </w:p>
        </w:tc>
        <w:tc>
          <w:tcPr>
            <w:tcW w:w="14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SOFR+8.48%, 8.98% floor, 3.95% ETP</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8/17/2021</w:t>
            </w:r>
          </w:p>
        </w:tc>
        <w:tc>
          <w:tcPr>
            <w:tcW w:w="146" w:type="dxa"/>
            <w:tcBorders/>
            <w:shd w:fill="CFF0FC" w:val="clear"/>
            <w:vAlign w:val="center"/>
          </w:tcPr>
          <w:p>
            <w:pPr>
              <w:pStyle w:val="TableContents"/>
              <w:bidi w:val="0"/>
              <w:spacing w:before="0" w:after="283"/>
              <w:jc w:val="center"/>
              <w:rPr/>
            </w:pPr>
            <w:r>
              <w:rPr/>
              <w:t> </w:t>
            </w:r>
          </w:p>
        </w:tc>
        <w:tc>
          <w:tcPr>
            <w:tcW w:w="68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7/1/2026</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SetPoint Medical Corporation</w:t>
            </w:r>
          </w:p>
        </w:tc>
        <w:tc>
          <w:tcPr>
            <w:tcW w:w="14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SOFR+5.75%, 9.00% floor, 4.00% ETP</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12/29/2022</w:t>
            </w:r>
          </w:p>
        </w:tc>
        <w:tc>
          <w:tcPr>
            <w:tcW w:w="146" w:type="dxa"/>
            <w:tcBorders/>
            <w:shd w:fill="FFFFFF" w:val="clear"/>
            <w:vAlign w:val="center"/>
          </w:tcPr>
          <w:p>
            <w:pPr>
              <w:pStyle w:val="TableContents"/>
              <w:bidi w:val="0"/>
              <w:spacing w:before="0" w:after="283"/>
              <w:jc w:val="center"/>
              <w:rPr/>
            </w:pPr>
            <w:r>
              <w:rPr/>
              <w:t> </w:t>
            </w:r>
          </w:p>
        </w:tc>
        <w:tc>
          <w:tcPr>
            <w:tcW w:w="689"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12/1/2027</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VERO Biotech LLC</w:t>
            </w:r>
          </w:p>
        </w:tc>
        <w:tc>
          <w:tcPr>
            <w:tcW w:w="14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SOFR+9.05%, 9.55% floor, 3.00% ETP</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12/29/2020</w:t>
            </w:r>
          </w:p>
        </w:tc>
        <w:tc>
          <w:tcPr>
            <w:tcW w:w="146" w:type="dxa"/>
            <w:tcBorders/>
            <w:shd w:fill="CFF0FC" w:val="clear"/>
            <w:vAlign w:val="center"/>
          </w:tcPr>
          <w:p>
            <w:pPr>
              <w:pStyle w:val="TableContents"/>
              <w:bidi w:val="0"/>
              <w:spacing w:before="0" w:after="283"/>
              <w:jc w:val="center"/>
              <w:rPr/>
            </w:pPr>
            <w:r>
              <w:rPr/>
              <w:t> </w:t>
            </w:r>
          </w:p>
        </w:tc>
        <w:tc>
          <w:tcPr>
            <w:tcW w:w="68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12/1/2024</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3"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 Care Technology - 39.22%*</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2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226,709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225,915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72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3"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&amp; Employment Services</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2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CloudPay, Inc.</w:t>
            </w:r>
          </w:p>
        </w:tc>
        <w:tc>
          <w:tcPr>
            <w:tcW w:w="14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PRIME+6.25%, 10.25% floor, 2.00% ETP</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9/26/2022</w:t>
            </w:r>
          </w:p>
        </w:tc>
        <w:tc>
          <w:tcPr>
            <w:tcW w:w="146" w:type="dxa"/>
            <w:tcBorders/>
            <w:shd w:fill="CFF0FC" w:val="clear"/>
            <w:vAlign w:val="center"/>
          </w:tcPr>
          <w:p>
            <w:pPr>
              <w:pStyle w:val="TableContents"/>
              <w:bidi w:val="0"/>
              <w:spacing w:before="0" w:after="283"/>
              <w:jc w:val="center"/>
              <w:rPr/>
            </w:pPr>
            <w:r>
              <w:rPr/>
              <w:t> </w:t>
            </w:r>
          </w:p>
        </w:tc>
        <w:tc>
          <w:tcPr>
            <w:tcW w:w="68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8/17/2027</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59,693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59,693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(3)(8)(12)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Snagajob.com, Inc.</w:t>
            </w:r>
          </w:p>
        </w:tc>
        <w:tc>
          <w:tcPr>
            <w:tcW w:w="14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SOFR+8.50%, 9.00% floor, 9.00% cash cap, 2.75% ETP</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9/29/2021</w:t>
            </w:r>
          </w:p>
        </w:tc>
        <w:tc>
          <w:tcPr>
            <w:tcW w:w="146" w:type="dxa"/>
            <w:tcBorders/>
            <w:shd w:fill="FFFFFF" w:val="clear"/>
            <w:vAlign w:val="center"/>
          </w:tcPr>
          <w:p>
            <w:pPr>
              <w:pStyle w:val="TableContents"/>
              <w:bidi w:val="0"/>
              <w:spacing w:before="0" w:after="283"/>
              <w:jc w:val="center"/>
              <w:rPr/>
            </w:pPr>
            <w:r>
              <w:rPr/>
              <w:t> </w:t>
            </w:r>
          </w:p>
        </w:tc>
        <w:tc>
          <w:tcPr>
            <w:tcW w:w="689"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9/1/2025</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36,785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Human Resource &amp; Employment Services - 16.75%*</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72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96,478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2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&amp; Direct Marketing Retail</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72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Madison Reed, Inc.</w:t>
            </w:r>
          </w:p>
        </w:tc>
        <w:tc>
          <w:tcPr>
            <w:tcW w:w="14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PRIME+4.75%, 11.00% floor, 3.00% ETP</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12/16/2022</w:t>
            </w:r>
          </w:p>
        </w:tc>
        <w:tc>
          <w:tcPr>
            <w:tcW w:w="146" w:type="dxa"/>
            <w:tcBorders/>
            <w:shd w:fill="FFFFFF" w:val="clear"/>
            <w:vAlign w:val="center"/>
          </w:tcPr>
          <w:p>
            <w:pPr>
              <w:pStyle w:val="TableContents"/>
              <w:bidi w:val="0"/>
              <w:spacing w:before="0" w:after="283"/>
              <w:jc w:val="center"/>
              <w:rPr/>
            </w:pPr>
            <w:r>
              <w:rPr/>
              <w:t> </w:t>
            </w:r>
          </w:p>
        </w:tc>
        <w:tc>
          <w:tcPr>
            <w:tcW w:w="689"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12/16/2026</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Marley Spoon AG</w:t>
            </w:r>
          </w:p>
        </w:tc>
        <w:tc>
          <w:tcPr>
            <w:tcW w:w="14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SOFR+8.50%, 1.25% PIK, 9.26% floor</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6/30/2021</w:t>
            </w:r>
          </w:p>
        </w:tc>
        <w:tc>
          <w:tcPr>
            <w:tcW w:w="146" w:type="dxa"/>
            <w:tcBorders/>
            <w:shd w:fill="CFF0FC" w:val="clear"/>
            <w:vAlign w:val="center"/>
          </w:tcPr>
          <w:p>
            <w:pPr>
              <w:pStyle w:val="TableContents"/>
              <w:bidi w:val="0"/>
              <w:spacing w:before="0" w:after="283"/>
              <w:jc w:val="center"/>
              <w:rPr/>
            </w:pPr>
            <w:r>
              <w:rPr/>
              <w:t> </w:t>
            </w:r>
          </w:p>
        </w:tc>
        <w:tc>
          <w:tcPr>
            <w:tcW w:w="68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6/15/2025</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46,754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(3)(4)(8)(11)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3"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Internet &amp; Direct Marketing Retail - 9.70%*</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2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72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3"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Software and Services</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2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Bombora, Inc.</w:t>
            </w:r>
          </w:p>
        </w:tc>
        <w:tc>
          <w:tcPr>
            <w:tcW w:w="14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SOFR+5.00%, 5.76% floor, 3.75% PIK, 2.00% ETP</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3/31/2021</w:t>
            </w:r>
          </w:p>
        </w:tc>
        <w:tc>
          <w:tcPr>
            <w:tcW w:w="146" w:type="dxa"/>
            <w:tcBorders/>
            <w:shd w:fill="CFF0FC" w:val="clear"/>
            <w:vAlign w:val="center"/>
          </w:tcPr>
          <w:p>
            <w:pPr>
              <w:pStyle w:val="TableContents"/>
              <w:bidi w:val="0"/>
              <w:spacing w:before="0" w:after="283"/>
              <w:jc w:val="center"/>
              <w:rPr/>
            </w:pPr>
            <w:r>
              <w:rPr/>
              <w:t> </w:t>
            </w:r>
          </w:p>
        </w:tc>
        <w:tc>
          <w:tcPr>
            <w:tcW w:w="68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3/31/2025</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Fidelis Cybersecurity, Inc.</w:t>
            </w:r>
          </w:p>
        </w:tc>
        <w:tc>
          <w:tcPr>
            <w:tcW w:w="14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SOFR+11.00%, 12.00% floor, 2.39% ETP</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5/13/2021</w:t>
            </w:r>
          </w:p>
        </w:tc>
        <w:tc>
          <w:tcPr>
            <w:tcW w:w="146" w:type="dxa"/>
            <w:tcBorders/>
            <w:shd w:fill="FFFFFF" w:val="clear"/>
            <w:vAlign w:val="center"/>
          </w:tcPr>
          <w:p>
            <w:pPr>
              <w:pStyle w:val="TableContents"/>
              <w:bidi w:val="0"/>
              <w:spacing w:before="0" w:after="283"/>
              <w:jc w:val="center"/>
              <w:rPr/>
            </w:pPr>
            <w:r>
              <w:rPr/>
              <w:t> </w:t>
            </w:r>
          </w:p>
        </w:tc>
        <w:tc>
          <w:tcPr>
            <w:tcW w:w="689"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5/13/2024</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SOFR+11.00%, 12.00% floor, 2.00% ETP</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3/25/2022</w:t>
            </w:r>
          </w:p>
        </w:tc>
        <w:tc>
          <w:tcPr>
            <w:tcW w:w="146" w:type="dxa"/>
            <w:tcBorders/>
            <w:shd w:fill="CFF0FC" w:val="clear"/>
            <w:vAlign w:val="center"/>
          </w:tcPr>
          <w:p>
            <w:pPr>
              <w:pStyle w:val="TableContents"/>
              <w:bidi w:val="0"/>
              <w:spacing w:before="0" w:after="283"/>
              <w:jc w:val="center"/>
              <w:rPr/>
            </w:pPr>
            <w:r>
              <w:rPr/>
              <w:t> </w:t>
            </w:r>
          </w:p>
        </w:tc>
        <w:tc>
          <w:tcPr>
            <w:tcW w:w="68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5/13/2024</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INRIX, Inc.</w:t>
            </w:r>
          </w:p>
        </w:tc>
        <w:tc>
          <w:tcPr>
            <w:tcW w:w="14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SOFR+9.00%, 9.76% floor, 2.50% ETP</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11/15/2021</w:t>
            </w:r>
          </w:p>
        </w:tc>
        <w:tc>
          <w:tcPr>
            <w:tcW w:w="146" w:type="dxa"/>
            <w:tcBorders/>
            <w:shd w:fill="FFFFFF" w:val="clear"/>
            <w:vAlign w:val="center"/>
          </w:tcPr>
          <w:p>
            <w:pPr>
              <w:pStyle w:val="TableContents"/>
              <w:bidi w:val="0"/>
              <w:spacing w:before="0" w:after="283"/>
              <w:jc w:val="center"/>
              <w:rPr/>
            </w:pPr>
            <w:r>
              <w:rPr/>
              <w:t> </w:t>
            </w:r>
          </w:p>
        </w:tc>
        <w:tc>
          <w:tcPr>
            <w:tcW w:w="689"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11/15/2025</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45,329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45,329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Skillshare, Inc.</w:t>
            </w:r>
          </w:p>
        </w:tc>
        <w:tc>
          <w:tcPr>
            <w:tcW w:w="14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SOFR+6.50%, 10.72% floor, 3.00% ETP</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11/8/2022</w:t>
            </w:r>
          </w:p>
        </w:tc>
        <w:tc>
          <w:tcPr>
            <w:tcW w:w="146" w:type="dxa"/>
            <w:tcBorders/>
            <w:shd w:fill="CFF0FC" w:val="clear"/>
            <w:vAlign w:val="center"/>
          </w:tcPr>
          <w:p>
            <w:pPr>
              <w:pStyle w:val="TableContents"/>
              <w:bidi w:val="0"/>
              <w:spacing w:before="0" w:after="283"/>
              <w:jc w:val="center"/>
              <w:rPr/>
            </w:pPr>
            <w:r>
              <w:rPr/>
              <w:t> </w:t>
            </w:r>
          </w:p>
        </w:tc>
        <w:tc>
          <w:tcPr>
            <w:tcW w:w="68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11/8/2026</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Synack, Inc.</w:t>
            </w:r>
          </w:p>
        </w:tc>
        <w:tc>
          <w:tcPr>
            <w:tcW w:w="14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PRIME+4.25%, 8.25% floor</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6/30/2022</w:t>
            </w:r>
          </w:p>
        </w:tc>
        <w:tc>
          <w:tcPr>
            <w:tcW w:w="146" w:type="dxa"/>
            <w:tcBorders/>
            <w:shd w:fill="FFFFFF" w:val="clear"/>
            <w:vAlign w:val="center"/>
          </w:tcPr>
          <w:p>
            <w:pPr>
              <w:pStyle w:val="TableContents"/>
              <w:bidi w:val="0"/>
              <w:spacing w:before="0" w:after="283"/>
              <w:jc w:val="center"/>
              <w:rPr/>
            </w:pPr>
            <w:r>
              <w:rPr/>
              <w:t> </w:t>
            </w:r>
          </w:p>
        </w:tc>
        <w:tc>
          <w:tcPr>
            <w:tcW w:w="689"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6/30/2027</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Internet Software and Services - 25.44%*</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72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147,332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146,535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2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Property &amp; Casualty Insurance</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72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Kin Insurance, Inc.</w:t>
            </w:r>
          </w:p>
        </w:tc>
        <w:tc>
          <w:tcPr>
            <w:tcW w:w="14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PRIME+6.25%, 12.50% floor, 3.00% ETP</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9/26/2022</w:t>
            </w:r>
          </w:p>
        </w:tc>
        <w:tc>
          <w:tcPr>
            <w:tcW w:w="146" w:type="dxa"/>
            <w:tcBorders/>
            <w:shd w:fill="FFFFFF" w:val="clear"/>
            <w:vAlign w:val="center"/>
          </w:tcPr>
          <w:p>
            <w:pPr>
              <w:pStyle w:val="TableContents"/>
              <w:bidi w:val="0"/>
              <w:spacing w:before="0" w:after="283"/>
              <w:jc w:val="center"/>
              <w:rPr/>
            </w:pPr>
            <w:r>
              <w:rPr/>
              <w:t> </w:t>
            </w:r>
          </w:p>
        </w:tc>
        <w:tc>
          <w:tcPr>
            <w:tcW w:w="689"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9/15/2026</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Property &amp; Casualty Insurance - 8.53%*</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72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2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3"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System Software</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72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3PL Central LLC</w:t>
            </w:r>
          </w:p>
        </w:tc>
        <w:tc>
          <w:tcPr>
            <w:tcW w:w="14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SOFR+4.50%, 6.50</w:t>
            </w:r>
            <w:r>
              <w:rPr>
                <w:rFonts w:ascii="Times New Roman" w:hAnsi="Times New Roman"/>
                <w:color w:val="000000"/>
                <w:sz w:val="20"/>
              </w:rPr>
              <w:t> </w:t>
            </w:r>
            <w:r>
              <w:rPr>
                <w:rFonts w:ascii="Times New Roman" w:hAnsi="Times New Roman"/>
                <w:color w:val="000000"/>
                <w:sz w:val="14"/>
              </w:rPr>
              <w:t>floor, 2.50% PIK, 2.00% ETP</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11/9/2022</w:t>
            </w:r>
          </w:p>
        </w:tc>
        <w:tc>
          <w:tcPr>
            <w:tcW w:w="146" w:type="dxa"/>
            <w:tcBorders/>
            <w:shd w:fill="FFFFFF" w:val="clear"/>
            <w:vAlign w:val="center"/>
          </w:tcPr>
          <w:p>
            <w:pPr>
              <w:pStyle w:val="TableContents"/>
              <w:bidi w:val="0"/>
              <w:spacing w:before="0" w:after="283"/>
              <w:jc w:val="center"/>
              <w:rPr/>
            </w:pPr>
            <w:r>
              <w:rPr/>
              <w:t> </w:t>
            </w:r>
          </w:p>
        </w:tc>
        <w:tc>
          <w:tcPr>
            <w:tcW w:w="689"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11/9/2027</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65,163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Dejero Labs Inc.</w:t>
            </w:r>
          </w:p>
        </w:tc>
        <w:tc>
          <w:tcPr>
            <w:tcW w:w="14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Second Lien</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SOFR+5.00%, 5.50</w:t>
            </w:r>
            <w:r>
              <w:rPr>
                <w:rFonts w:ascii="Times New Roman" w:hAnsi="Times New Roman"/>
                <w:color w:val="000000"/>
                <w:sz w:val="20"/>
              </w:rPr>
              <w:t> </w:t>
            </w:r>
            <w:r>
              <w:rPr>
                <w:rFonts w:ascii="Times New Roman" w:hAnsi="Times New Roman"/>
                <w:color w:val="000000"/>
                <w:sz w:val="14"/>
              </w:rPr>
              <w:t>floor, 5.00% PIK, 3.00% ETP</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12/22/2021</w:t>
            </w:r>
          </w:p>
        </w:tc>
        <w:tc>
          <w:tcPr>
            <w:tcW w:w="146" w:type="dxa"/>
            <w:tcBorders/>
            <w:shd w:fill="CFF0FC" w:val="clear"/>
            <w:vAlign w:val="center"/>
          </w:tcPr>
          <w:p>
            <w:pPr>
              <w:pStyle w:val="TableContents"/>
              <w:bidi w:val="0"/>
              <w:spacing w:before="0" w:after="283"/>
              <w:jc w:val="center"/>
              <w:rPr/>
            </w:pPr>
            <w:r>
              <w:rPr/>
              <w:t> </w:t>
            </w:r>
          </w:p>
        </w:tc>
        <w:tc>
          <w:tcPr>
            <w:tcW w:w="689"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12/22/2025</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(3)(4)(8)(10)</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3"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System Software - 13.55%*</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2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8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72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529" w:type="dxa"/>
            <w:gridSpan w:val="6"/>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Debt Investments - 188.26%*</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2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1,091,206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1,084,485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2022</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266"/>
        <w:gridCol w:w="146"/>
        <w:gridCol w:w="819"/>
        <w:gridCol w:w="146"/>
        <w:gridCol w:w="1155"/>
        <w:gridCol w:w="146"/>
        <w:gridCol w:w="913"/>
        <w:gridCol w:w="146"/>
        <w:gridCol w:w="694"/>
        <w:gridCol w:w="146"/>
        <w:gridCol w:w="155"/>
        <w:gridCol w:w="155"/>
        <w:gridCol w:w="734"/>
        <w:gridCol w:w="146"/>
        <w:gridCol w:w="146"/>
        <w:gridCol w:w="146"/>
        <w:gridCol w:w="146"/>
        <w:gridCol w:w="511"/>
        <w:gridCol w:w="146"/>
        <w:gridCol w:w="146"/>
        <w:gridCol w:w="149"/>
        <w:gridCol w:w="149"/>
        <w:gridCol w:w="522"/>
        <w:gridCol w:w="146"/>
        <w:gridCol w:w="146"/>
        <w:gridCol w:w="77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Investment </w:t>
              <w:br/>
              <w:t>Description</w:t>
            </w:r>
            <w:r>
              <w:rPr>
                <w:rFonts w:ascii="Times New Roman" w:hAnsi="Times New Roman"/>
                <w:b/>
                <w:color w:val="000000"/>
                <w:sz w:val="9"/>
              </w:rPr>
              <w:t>(1),(5),(9)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839" w:type="dxa"/>
            <w:gridSpan w:val="7"/>
            <w:tcBorders/>
            <w:shd w:fill="CFF0FC"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9"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678" w:type="dxa"/>
            <w:gridSpan w:val="6"/>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Investments</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Application Software</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Aria Systems, Inc.</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G Preferred Stock</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7/10/2018</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289,419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FiscalNote, Inc.</w:t>
            </w:r>
          </w:p>
        </w:tc>
        <w:tc>
          <w:tcPr>
            <w:tcW w:w="146"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10/19/2020</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230,881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(7)(19)</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Application Software - 0.31%*</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2"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 Care Technology</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CareCloud, Inc.</w:t>
            </w:r>
          </w:p>
        </w:tc>
        <w:tc>
          <w:tcPr>
            <w:tcW w:w="146"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Series A Cumulative Redeemable Perpetual</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1/8/2020</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462,064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(15)(17)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2"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 Care Technology - 2.14%*</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678" w:type="dxa"/>
            <w:gridSpan w:val="6"/>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Investments</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Technology Hardware, Storage &amp; Peripherals</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Quantum Corporation</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8/13/2021</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459,720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(3)(7)(15)(17)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zSpace, Inc.</w:t>
            </w:r>
          </w:p>
        </w:tc>
        <w:tc>
          <w:tcPr>
            <w:tcW w:w="146"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12/31/2020</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6,078,499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2"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Technology Hardware, Storage &amp; Peripherals - 0.09%*</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678" w:type="dxa"/>
            <w:gridSpan w:val="6"/>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Investments - 2.54%*</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678" w:type="dxa"/>
            <w:gridSpan w:val="6"/>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Advertising</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STN Video Inc.</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Class B Non-Voting Stock</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6/30/2017</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6/30/2027</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Advertising - 0.00%*</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Application Software</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3DNA Corp. (dba NationBuilder)</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C-1 Preferred Stock</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12/28/2018</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12/28/2028</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273,164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Aria Systems, Inc.</w:t>
            </w:r>
          </w:p>
        </w:tc>
        <w:tc>
          <w:tcPr>
            <w:tcW w:w="146"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G Preferred Stock</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6/29/2018</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6/29/2028</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2,387,705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5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Circadence Corporation</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A-6 Preferred Stock</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12/20/2018</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12/20/2028</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1,538,462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A-6 Preferred Stock</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10/31/2019</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10/31/2029</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384,615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5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Dtex Systems, Inc.</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C-Prime Preferred Stock</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6/1/2018</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6/1/2025</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C-Prime Preferred Stock</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7/11/2019</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7/11/2026</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833,333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5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FiscalNote, Inc.</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Earnout</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7/29/2022</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7/29/2027</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(7)(13)(19)</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Porch Group, Inc.</w:t>
            </w:r>
          </w:p>
        </w:tc>
        <w:tc>
          <w:tcPr>
            <w:tcW w:w="146"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Earnout</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12/23/2020</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12/23/2023</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9"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(7)(13)(15)</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2"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Application Software - 0.63%*</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2"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Biotechnology</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Mustang Bio, Inc.</w:t>
            </w:r>
          </w:p>
        </w:tc>
        <w:tc>
          <w:tcPr>
            <w:tcW w:w="146"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3/4/2022</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3/4/2032</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748,036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5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TRACON Pharmaceuticals, Inc.</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9/2/2022</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9/2/2032</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150,753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(7)(15)</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Biotechnology - 0.04%*</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Computer &amp; Electronics Retail</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Massdrop, Inc.</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B Preferred Stock</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7/22/2019</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7/22/2029</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848,093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Computer &amp; Electronics Retail - 0.01%*</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Data Processing &amp; Outsourced Services</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Interactions Corporation</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6/24/2022</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6/24/2032</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189,408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ShareThis, Inc.</w:t>
            </w:r>
          </w:p>
        </w:tc>
        <w:tc>
          <w:tcPr>
            <w:tcW w:w="146"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D-3 Preferred Stock</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12/3/2018</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12/3/2028</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647,615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2"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Data Processing &amp; Outsourced Services - 0.34%*</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2"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Electronic Equipment &amp; Instruments</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Brivo, Inc.</w:t>
            </w:r>
          </w:p>
        </w:tc>
        <w:tc>
          <w:tcPr>
            <w:tcW w:w="146"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A-2 Preferred Stock</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10/20/2022</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10/20/2032</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5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Epic IO Technologies, Inc.</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12/17/2021</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12/17/2024</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Electronic Equipment &amp; Instruments - 0.10%*</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2"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 Care Equipment</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Moximed, Inc.</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 Preferred Stock</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6/24/2022</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6/24/2032</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214,285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Revelle Aesthetics, Inc.</w:t>
            </w:r>
          </w:p>
        </w:tc>
        <w:tc>
          <w:tcPr>
            <w:tcW w:w="146"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115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A-2 Preferred Stock</w:t>
            </w:r>
          </w:p>
        </w:tc>
        <w:tc>
          <w:tcPr>
            <w:tcW w:w="1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3/30/2022</w:t>
            </w:r>
          </w:p>
        </w:tc>
        <w:tc>
          <w:tcPr>
            <w:tcW w:w="146" w:type="dxa"/>
            <w:tcBorders/>
            <w:shd w:fill="CFF0FC" w:val="clear"/>
            <w:vAlign w:val="center"/>
          </w:tcPr>
          <w:p>
            <w:pPr>
              <w:pStyle w:val="TableContents"/>
              <w:bidi w:val="0"/>
              <w:spacing w:before="0" w:after="283"/>
              <w:jc w:val="center"/>
              <w:rPr/>
            </w:pPr>
            <w:r>
              <w:rPr/>
              <w:t> </w:t>
            </w:r>
          </w:p>
        </w:tc>
        <w:tc>
          <w:tcPr>
            <w:tcW w:w="694"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3/30/2032</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115,591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2"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 Care Equipment - 0.05%*</w:t>
            </w:r>
          </w:p>
        </w:tc>
        <w:tc>
          <w:tcPr>
            <w:tcW w:w="1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2022</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138"/>
        <w:gridCol w:w="146"/>
        <w:gridCol w:w="804"/>
        <w:gridCol w:w="146"/>
        <w:gridCol w:w="985"/>
        <w:gridCol w:w="146"/>
        <w:gridCol w:w="880"/>
        <w:gridCol w:w="146"/>
        <w:gridCol w:w="681"/>
        <w:gridCol w:w="146"/>
        <w:gridCol w:w="150"/>
        <w:gridCol w:w="150"/>
        <w:gridCol w:w="791"/>
        <w:gridCol w:w="146"/>
        <w:gridCol w:w="146"/>
        <w:gridCol w:w="146"/>
        <w:gridCol w:w="146"/>
        <w:gridCol w:w="691"/>
        <w:gridCol w:w="146"/>
        <w:gridCol w:w="146"/>
        <w:gridCol w:w="146"/>
        <w:gridCol w:w="146"/>
        <w:gridCol w:w="691"/>
        <w:gridCol w:w="146"/>
        <w:gridCol w:w="146"/>
        <w:gridCol w:w="747"/>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14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Investment </w:t>
              <w:br/>
              <w:t>Description</w:t>
            </w:r>
            <w:r>
              <w:rPr>
                <w:rFonts w:ascii="Times New Roman" w:hAnsi="Times New Roman"/>
                <w:b/>
                <w:color w:val="000000"/>
                <w:sz w:val="9"/>
              </w:rPr>
              <w:t>(1),(5),(9)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526" w:type="dxa"/>
            <w:gridSpan w:val="7"/>
            <w:tcBorders/>
            <w:shd w:fill="CFF0FC"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41"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365" w:type="dxa"/>
            <w:gridSpan w:val="6"/>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9"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 Care Technology</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4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Allurion Technologies, Inc.</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 Preferred Stock</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3/30/2021</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3/30/2031</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132,979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D-1 Preferred Stock</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6/14/2022</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3/30/2031</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CareCloud, Inc.</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1/8/2020</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1/8/2023</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EBR Systems, Inc.</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6/30/2022</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6/30/2032</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41"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(7)(13)(20)</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Gynesonics, Inc.</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G Convertible Preferred Stock</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11/19/2021</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11/19/2031</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27,978,115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Mingle Healthcare Solutions, Inc.</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CC Preferred Stock</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8/15/2018</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8/15/2028</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1,770,973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Nalu Medical, Inc.</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D-2 Preferred Stock</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10/12/2022</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10/12/2032</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Route 92 Medical, Inc.</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8/17/2021</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8/17/2031</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41"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SetPoint Medical Corporation</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B Preferred Stock</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6/29/2021</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6/29/2031</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B Preferred Stock</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12/29/2022</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12/29/2032</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VERO Biotech LLC</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12/29/2020</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12/29/2025</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1"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9"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 Care Technology - 0.45%*</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4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9"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&amp; Employment Services</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4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CloudPay, Inc.</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B Preferred Stock</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6/30/2020</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6/30/2030</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(3)(7)(12)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 Preferred Stock</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8/17/2021</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8/17/2031</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(3)(7)(12)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Snagajob.com, Inc.</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B-1 Preferred Stock</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9/29/2021</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9/29/2031</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763,269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9"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Human Resource &amp; Employment Services - 0.23%*</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4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9"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&amp; Direct Marketing Retail</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4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Madison Reed, Inc.</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12/16/2022</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1"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9"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Internet &amp; Direct Marketing Retail - 0.02%*</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4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9"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Software and Services</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4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Bombora, Inc.</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3/31/2021</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3/31/2031</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121,581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Fidelis Cybersecurity, Inc.</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3/25/2022</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3/25/2032</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41"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(7)(16)</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INRIX, Inc.</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7/26/2019</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7/26/2029</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150,804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Longtail Ad Solutions, Inc. (dba JW Player)</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12/12/2019</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12/12/2029</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387,596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Skillshare, Inc.</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11/8/2022</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11/8/2026</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1"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Synack, Inc.</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6/30/2022</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6/30/2032</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100,645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9"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Internet Software and Services - 0.56%*</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4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9"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Property &amp; Casualty Insurance</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Kin Insurance, Inc.</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D-3 Preferred Stock</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9/26/2022</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9/26/2032</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41,576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9"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Property &amp; Casualty Insurance - 0.05%*</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4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9"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Specialized Consumer Services</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AllClear ID, Inc.</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9/1/2017</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9/1/2027</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870,514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Credit Sesame, Inc.</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1/7/2020</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1/7/2030</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191,601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9"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Specialized Consumer Services - 0.14%*</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4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9"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System Software</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4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Dejero Labs Inc.</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5/31/2019</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5/31/2029</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333,621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(3)(7)(10)</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Scale Computing, Inc.</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3/29/2019</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3/29/2029</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9,665,667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9"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System Software - 0.03%*</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4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9"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Technology Hardware, Storage &amp; Peripherals</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RealWear, Inc.</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 Preferred Stock</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10/5/2018</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10/5/2028</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112,451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 Preferred Stock</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12/28/2018</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12/28/2028</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 Preferred Stock</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6/27/2019</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6/27/2029</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123,894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9"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Technology Hardware, Storage &amp; Peripherals - 0.10%*</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4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3365" w:type="dxa"/>
            <w:gridSpan w:val="6"/>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Warrants - 2.75%*</w:t>
            </w:r>
          </w:p>
        </w:tc>
        <w:tc>
          <w:tcPr>
            <w:tcW w:w="14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r>
      <w:tr>
        <w:trPr/>
        <w:tc>
          <w:tcPr>
            <w:tcW w:w="3526" w:type="dxa"/>
            <w:gridSpan w:val="7"/>
            <w:tcBorders/>
            <w:shd w:fill="CFF0FC"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Total Non-Control/Non-Affiliate Investments - 193.55%*</w:t>
            </w:r>
          </w:p>
        </w:tc>
        <w:tc>
          <w:tcPr>
            <w:tcW w:w="146"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4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1,126,879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1,114,935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2022</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3"/>
        <w:gridCol w:w="183"/>
        <w:gridCol w:w="687"/>
        <w:gridCol w:w="152"/>
        <w:gridCol w:w="825"/>
        <w:gridCol w:w="152"/>
        <w:gridCol w:w="999"/>
        <w:gridCol w:w="152"/>
        <w:gridCol w:w="885"/>
        <w:gridCol w:w="152"/>
        <w:gridCol w:w="697"/>
        <w:gridCol w:w="152"/>
        <w:gridCol w:w="156"/>
        <w:gridCol w:w="156"/>
        <w:gridCol w:w="742"/>
        <w:gridCol w:w="152"/>
        <w:gridCol w:w="152"/>
        <w:gridCol w:w="252"/>
        <w:gridCol w:w="152"/>
        <w:gridCol w:w="722"/>
        <w:gridCol w:w="152"/>
        <w:gridCol w:w="152"/>
        <w:gridCol w:w="252"/>
        <w:gridCol w:w="152"/>
        <w:gridCol w:w="722"/>
        <w:gridCol w:w="152"/>
        <w:gridCol w:w="152"/>
        <w:gridCol w:w="788"/>
      </w:tblGrid>
      <w:tr>
        <w:trPr/>
        <w:tc>
          <w:tcPr>
            <w:tcW w:w="16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r>
      <w:tr>
        <w:trPr/>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Investment </w:t>
              <w:br/>
              <w:t>Description</w:t>
            </w:r>
            <w:r>
              <w:rPr>
                <w:rFonts w:ascii="Times New Roman" w:hAnsi="Times New Roman"/>
                <w:b/>
                <w:color w:val="000000"/>
                <w:sz w:val="9"/>
              </w:rPr>
              <w:t>(1),(5),(9)</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 Shares</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112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112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161" w:type="dxa"/>
            <w:gridSpan w:val="7"/>
            <w:tcBorders/>
            <w:shd w:fill="CFF0FC"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Affiliate Investments</w:t>
            </w:r>
          </w:p>
        </w:tc>
        <w:tc>
          <w:tcPr>
            <w:tcW w:w="152"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8"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74"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74"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(18)</w:t>
            </w:r>
          </w:p>
        </w:tc>
      </w:tr>
      <w:tr>
        <w:trPr/>
        <w:tc>
          <w:tcPr>
            <w:tcW w:w="163" w:type="dxa"/>
            <w:tcBorders/>
            <w:shd w:fill="FFFFFF" w:val="clear"/>
            <w:vAlign w:val="center"/>
          </w:tcPr>
          <w:p>
            <w:pPr>
              <w:pStyle w:val="TableContents"/>
              <w:bidi w:val="0"/>
              <w:spacing w:before="0" w:after="283"/>
              <w:jc w:val="left"/>
              <w:rPr/>
            </w:pPr>
            <w:r>
              <w:rPr/>
              <w:t> </w:t>
            </w:r>
          </w:p>
        </w:tc>
        <w:tc>
          <w:tcPr>
            <w:tcW w:w="2998" w:type="dxa"/>
            <w:gridSpan w:val="6"/>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Investments</w:t>
            </w:r>
          </w:p>
        </w:tc>
        <w:tc>
          <w:tcPr>
            <w:tcW w:w="152"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74"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74"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r>
      <w:tr>
        <w:trPr/>
        <w:tc>
          <w:tcPr>
            <w:tcW w:w="16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815"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Application Software</w:t>
            </w:r>
          </w:p>
        </w:tc>
        <w:tc>
          <w:tcPr>
            <w:tcW w:w="152"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8"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74"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74"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pPr>
            <w:r>
              <w:rPr/>
              <w:t> </w:t>
            </w:r>
          </w:p>
        </w:tc>
      </w:tr>
      <w:tr>
        <w:trPr/>
        <w:tc>
          <w:tcPr>
            <w:tcW w:w="16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Coginiti Corp</w:t>
            </w:r>
          </w:p>
        </w:tc>
        <w:tc>
          <w:tcPr>
            <w:tcW w:w="15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52"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52"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3/9/2020</w:t>
            </w:r>
          </w:p>
        </w:tc>
        <w:tc>
          <w:tcPr>
            <w:tcW w:w="152"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5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1,040,160</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4,551</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1,174</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815" w:type="dxa"/>
            <w:gridSpan w:val="5"/>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Application Software - 0.20%*</w:t>
            </w:r>
          </w:p>
        </w:tc>
        <w:tc>
          <w:tcPr>
            <w:tcW w:w="152"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8"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4,551</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1,174</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left"/>
              <w:rPr/>
            </w:pPr>
            <w:r>
              <w:rPr/>
              <w:t> </w:t>
            </w:r>
          </w:p>
        </w:tc>
      </w:tr>
      <w:tr>
        <w:trPr/>
        <w:tc>
          <w:tcPr>
            <w:tcW w:w="16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74"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74"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r>
      <w:tr>
        <w:trPr/>
        <w:tc>
          <w:tcPr>
            <w:tcW w:w="163" w:type="dxa"/>
            <w:tcBorders/>
            <w:shd w:fill="CFF0FC" w:val="clear"/>
            <w:vAlign w:val="center"/>
          </w:tcPr>
          <w:p>
            <w:pPr>
              <w:pStyle w:val="TableContents"/>
              <w:bidi w:val="0"/>
              <w:spacing w:before="0" w:after="283"/>
              <w:jc w:val="left"/>
              <w:rPr/>
            </w:pPr>
            <w:r>
              <w:rPr/>
              <w:t> </w:t>
            </w:r>
          </w:p>
        </w:tc>
        <w:tc>
          <w:tcPr>
            <w:tcW w:w="2998" w:type="dxa"/>
            <w:gridSpan w:val="6"/>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Investments - 0.20%*</w:t>
            </w:r>
          </w:p>
        </w:tc>
        <w:tc>
          <w:tcPr>
            <w:tcW w:w="152"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8"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4,551</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1,174</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pPr>
            <w:r>
              <w:rPr/>
              <w:t> </w:t>
            </w:r>
          </w:p>
        </w:tc>
      </w:tr>
      <w:tr>
        <w:trPr/>
        <w:tc>
          <w:tcPr>
            <w:tcW w:w="16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74"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74"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r>
      <w:tr>
        <w:trPr/>
        <w:tc>
          <w:tcPr>
            <w:tcW w:w="163" w:type="dxa"/>
            <w:tcBorders/>
            <w:shd w:fill="CFF0FC" w:val="clear"/>
            <w:vAlign w:val="center"/>
          </w:tcPr>
          <w:p>
            <w:pPr>
              <w:pStyle w:val="TableContents"/>
              <w:bidi w:val="0"/>
              <w:spacing w:before="0" w:after="283"/>
              <w:jc w:val="left"/>
              <w:rPr/>
            </w:pPr>
            <w:r>
              <w:rPr/>
              <w:t> </w:t>
            </w:r>
          </w:p>
        </w:tc>
        <w:tc>
          <w:tcPr>
            <w:tcW w:w="2998" w:type="dxa"/>
            <w:gridSpan w:val="6"/>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Warrants</w:t>
            </w:r>
          </w:p>
        </w:tc>
        <w:tc>
          <w:tcPr>
            <w:tcW w:w="152"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8"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74"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74"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left"/>
              <w:rPr/>
            </w:pPr>
            <w:r>
              <w:rPr/>
              <w:t> </w:t>
            </w:r>
          </w:p>
        </w:tc>
      </w:tr>
      <w:tr>
        <w:trPr/>
        <w:tc>
          <w:tcPr>
            <w:tcW w:w="16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815"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Application Software</w:t>
            </w:r>
          </w:p>
        </w:tc>
        <w:tc>
          <w:tcPr>
            <w:tcW w:w="152"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74"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74"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r>
      <w:tr>
        <w:trPr/>
        <w:tc>
          <w:tcPr>
            <w:tcW w:w="16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Coginiti Corp</w:t>
            </w:r>
          </w:p>
        </w:tc>
        <w:tc>
          <w:tcPr>
            <w:tcW w:w="152"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52"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52"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3/9/2020</w:t>
            </w:r>
          </w:p>
        </w:tc>
        <w:tc>
          <w:tcPr>
            <w:tcW w:w="152"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3/9/2030</w:t>
            </w:r>
          </w:p>
        </w:tc>
        <w:tc>
          <w:tcPr>
            <w:tcW w:w="152"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811,770</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910</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w:t>
            </w:r>
          </w:p>
        </w:tc>
      </w:tr>
      <w:tr>
        <w:trPr/>
        <w:tc>
          <w:tcPr>
            <w:tcW w:w="16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815"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Application Software - 0.16%*</w:t>
            </w:r>
          </w:p>
        </w:tc>
        <w:tc>
          <w:tcPr>
            <w:tcW w:w="152"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910</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r>
      <w:tr>
        <w:trPr/>
        <w:tc>
          <w:tcPr>
            <w:tcW w:w="16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8"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74"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74"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left"/>
              <w:rPr/>
            </w:pPr>
            <w:r>
              <w:rPr/>
              <w:t> </w:t>
            </w:r>
          </w:p>
        </w:tc>
      </w:tr>
      <w:tr>
        <w:trPr/>
        <w:tc>
          <w:tcPr>
            <w:tcW w:w="163" w:type="dxa"/>
            <w:tcBorders/>
            <w:shd w:fill="FFFFFF" w:val="clear"/>
            <w:vAlign w:val="center"/>
          </w:tcPr>
          <w:p>
            <w:pPr>
              <w:pStyle w:val="TableContents"/>
              <w:bidi w:val="0"/>
              <w:spacing w:before="0" w:after="283"/>
              <w:jc w:val="left"/>
              <w:rPr/>
            </w:pPr>
            <w:r>
              <w:rPr/>
              <w:t> </w:t>
            </w:r>
          </w:p>
        </w:tc>
        <w:tc>
          <w:tcPr>
            <w:tcW w:w="2998" w:type="dxa"/>
            <w:gridSpan w:val="6"/>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Warrants - 0.16%*</w:t>
            </w:r>
          </w:p>
        </w:tc>
        <w:tc>
          <w:tcPr>
            <w:tcW w:w="152"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910</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r>
      <w:tr>
        <w:trPr/>
        <w:tc>
          <w:tcPr>
            <w:tcW w:w="3161" w:type="dxa"/>
            <w:gridSpan w:val="7"/>
            <w:tcBorders/>
            <w:shd w:fill="CFF0FC"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Total Affiliate Investments - 0.36%*</w:t>
            </w:r>
          </w:p>
        </w:tc>
        <w:tc>
          <w:tcPr>
            <w:tcW w:w="152"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8"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4,551</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2,084</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left"/>
              <w:rPr/>
            </w:pPr>
            <w:r>
              <w:rPr/>
              <w:t> </w:t>
            </w:r>
          </w:p>
        </w:tc>
      </w:tr>
      <w:tr>
        <w:trPr/>
        <w:tc>
          <w:tcPr>
            <w:tcW w:w="163" w:type="dxa"/>
            <w:tcBorders/>
            <w:shd w:fill="FFFFFF" w:val="clear"/>
            <w:vAlign w:val="center"/>
          </w:tcPr>
          <w:p>
            <w:pPr>
              <w:pStyle w:val="TableContents"/>
              <w:bidi w:val="0"/>
              <w:spacing w:before="0" w:after="283"/>
              <w:jc w:val="left"/>
              <w:rPr/>
            </w:pPr>
            <w:r>
              <w:rPr/>
              <w:t> </w:t>
            </w:r>
          </w:p>
        </w:tc>
        <w:tc>
          <w:tcPr>
            <w:tcW w:w="2998" w:type="dxa"/>
            <w:gridSpan w:val="6"/>
            <w:tcBorders/>
            <w:shd w:fill="FFFFFF"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Control Investments</w:t>
            </w:r>
          </w:p>
        </w:tc>
        <w:tc>
          <w:tcPr>
            <w:tcW w:w="152"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74"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74"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(14)</w:t>
            </w:r>
          </w:p>
        </w:tc>
      </w:tr>
      <w:tr>
        <w:trPr/>
        <w:tc>
          <w:tcPr>
            <w:tcW w:w="163" w:type="dxa"/>
            <w:tcBorders/>
            <w:shd w:fill="CFF0FC" w:val="clear"/>
            <w:vAlign w:val="center"/>
          </w:tcPr>
          <w:p>
            <w:pPr>
              <w:pStyle w:val="TableContents"/>
              <w:bidi w:val="0"/>
              <w:spacing w:before="0" w:after="283"/>
              <w:jc w:val="left"/>
              <w:rPr/>
            </w:pPr>
            <w:r>
              <w:rPr/>
              <w:t> </w:t>
            </w:r>
          </w:p>
        </w:tc>
        <w:tc>
          <w:tcPr>
            <w:tcW w:w="2998" w:type="dxa"/>
            <w:gridSpan w:val="6"/>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Debt Investments</w:t>
            </w:r>
          </w:p>
        </w:tc>
        <w:tc>
          <w:tcPr>
            <w:tcW w:w="152"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8"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74"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74"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left"/>
              <w:rPr/>
            </w:pPr>
            <w:r>
              <w:rPr/>
              <w:t> </w:t>
            </w:r>
          </w:p>
        </w:tc>
      </w:tr>
      <w:tr>
        <w:trPr/>
        <w:tc>
          <w:tcPr>
            <w:tcW w:w="16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815"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Data Processing &amp; Outsourced Services</w:t>
            </w:r>
          </w:p>
        </w:tc>
        <w:tc>
          <w:tcPr>
            <w:tcW w:w="152"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74"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74"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r>
      <w:tr>
        <w:trPr/>
        <w:tc>
          <w:tcPr>
            <w:tcW w:w="16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Pivot3, Inc.</w:t>
            </w:r>
          </w:p>
        </w:tc>
        <w:tc>
          <w:tcPr>
            <w:tcW w:w="152"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52"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LIBOR+8.50% PIK, 11.00% floor, 4.00% ETP</w:t>
            </w:r>
          </w:p>
        </w:tc>
        <w:tc>
          <w:tcPr>
            <w:tcW w:w="152"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5/13/2019</w:t>
            </w:r>
          </w:p>
        </w:tc>
        <w:tc>
          <w:tcPr>
            <w:tcW w:w="152"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1/15/2023</w:t>
            </w:r>
          </w:p>
        </w:tc>
        <w:tc>
          <w:tcPr>
            <w:tcW w:w="152"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18,598</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19,172</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9,290</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(4)(7)</w:t>
            </w:r>
          </w:p>
        </w:tc>
      </w:tr>
      <w:tr>
        <w:trPr/>
        <w:tc>
          <w:tcPr>
            <w:tcW w:w="16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815" w:type="dxa"/>
            <w:gridSpan w:val="5"/>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Data Processing &amp; Outsourced Services - 1.61%*</w:t>
            </w:r>
          </w:p>
        </w:tc>
        <w:tc>
          <w:tcPr>
            <w:tcW w:w="152"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19,172</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9,290</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r>
      <w:tr>
        <w:trPr/>
        <w:tc>
          <w:tcPr>
            <w:tcW w:w="16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8"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74"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74"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left"/>
              <w:rPr/>
            </w:pPr>
            <w:r>
              <w:rPr/>
              <w:t> </w:t>
            </w:r>
          </w:p>
        </w:tc>
      </w:tr>
      <w:tr>
        <w:trPr/>
        <w:tc>
          <w:tcPr>
            <w:tcW w:w="163" w:type="dxa"/>
            <w:tcBorders/>
            <w:shd w:fill="FFFFFF" w:val="clear"/>
            <w:vAlign w:val="center"/>
          </w:tcPr>
          <w:p>
            <w:pPr>
              <w:pStyle w:val="TableContents"/>
              <w:bidi w:val="0"/>
              <w:spacing w:before="0" w:after="283"/>
              <w:jc w:val="left"/>
              <w:rPr/>
            </w:pPr>
            <w:r>
              <w:rPr/>
              <w:t> </w:t>
            </w:r>
          </w:p>
        </w:tc>
        <w:tc>
          <w:tcPr>
            <w:tcW w:w="2998" w:type="dxa"/>
            <w:gridSpan w:val="6"/>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Debt Investments - 1.61%*</w:t>
            </w:r>
          </w:p>
        </w:tc>
        <w:tc>
          <w:tcPr>
            <w:tcW w:w="152"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697"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gridSpan w:val="2"/>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19,172</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9,290</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r>
      <w:tr>
        <w:trPr/>
        <w:tc>
          <w:tcPr>
            <w:tcW w:w="3161" w:type="dxa"/>
            <w:gridSpan w:val="7"/>
            <w:tcBorders/>
            <w:shd w:fill="CFF0FC"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Total Control Investments - 1.61%*</w:t>
            </w:r>
          </w:p>
        </w:tc>
        <w:tc>
          <w:tcPr>
            <w:tcW w:w="152"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center"/>
              <w:rPr/>
            </w:pPr>
            <w:r>
              <w:rPr/>
              <w:t> </w:t>
            </w:r>
          </w:p>
        </w:tc>
        <w:tc>
          <w:tcPr>
            <w:tcW w:w="697"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98" w:type="dxa"/>
            <w:gridSpan w:val="2"/>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19,172</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9,290</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left"/>
              <w:rPr/>
            </w:pPr>
            <w:r>
              <w:rPr/>
              <w:t> </w:t>
            </w:r>
          </w:p>
        </w:tc>
      </w:tr>
      <w:tr>
        <w:trPr/>
        <w:tc>
          <w:tcPr>
            <w:tcW w:w="1033" w:type="dxa"/>
            <w:gridSpan w:val="3"/>
            <w:tcBorders/>
            <w:shd w:fill="FFFFFF" w:val="cle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Total Investments - 195.52%*</w:t>
            </w:r>
          </w:p>
        </w:tc>
        <w:tc>
          <w:tcPr>
            <w:tcW w:w="15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gridSpan w:val="2"/>
            <w:tcBorders/>
            <w:shd w:fill="FFFFFF" w:val="clear"/>
            <w:vAlign w:val="center"/>
          </w:tcPr>
          <w:p>
            <w:pPr>
              <w:pStyle w:val="TableContents"/>
              <w:bidi w:val="0"/>
              <w:spacing w:before="0" w:after="283"/>
              <w:jc w:val="left"/>
              <w:rPr>
                <w:sz w:val="4"/>
                <w:szCs w:val="4"/>
              </w:rPr>
            </w:pPr>
            <w:r>
              <w:rPr>
                <w:sz w:val="4"/>
                <w:szCs w:val="4"/>
              </w:rPr>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1,150,602</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1,126,309</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r>
      <w:tr>
        <w:trPr/>
        <w:tc>
          <w:tcPr>
            <w:tcW w:w="16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8" w:type="dxa"/>
            <w:gridSpan w:val="2"/>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74" w:type="dxa"/>
            <w:gridSpan w:val="2"/>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74" w:type="dxa"/>
            <w:gridSpan w:val="2"/>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r>
      <w:tr>
        <w:trPr/>
        <w:tc>
          <w:tcPr>
            <w:tcW w:w="346" w:type="dxa"/>
            <w:gridSpan w:val="2"/>
            <w:tcBorders/>
            <w:shd w:fill="FFFFFF" w:val="cle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(1)</w:t>
            </w:r>
          </w:p>
        </w:tc>
        <w:tc>
          <w:tcPr>
            <w:tcW w:w="9859" w:type="dxa"/>
            <w:gridSpan w:val="26"/>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Disclosures of interest rates on notes include cash interest rates and payment-in-kind (“PIK”) interest rates, as applicable. Unless otherwise indicated, all of the Company’s variable interest rate debt instruments bear interest at a rate that is determined by reference to the 3</w:t>
              <w:noBreakHyphen/>
              <w:t>Month London Interbank Offered Rate (“LIBOR”), the U.S. Prime Rate, or the 3-Month Secured Overnight Financing Rate ("SOFR"). At December 31, 2022, the 3</w:t>
              <w:noBreakHyphen/>
              <w:t>Month LIBOR was 4.77%, the U.S. Prime Rate was 7.50%, and the 3-Month SOFR was 4.79%.</w:t>
            </w:r>
          </w:p>
        </w:tc>
      </w:tr>
      <w:tr>
        <w:trPr/>
        <w:tc>
          <w:tcPr>
            <w:tcW w:w="346" w:type="dxa"/>
            <w:gridSpan w:val="2"/>
            <w:tcBorders/>
            <w:shd w:fill="FFFFFF" w:val="cle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(2)</w:t>
            </w:r>
          </w:p>
        </w:tc>
        <w:tc>
          <w:tcPr>
            <w:tcW w:w="9859" w:type="dxa"/>
            <w:gridSpan w:val="26"/>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Company’s Board of Directors.</w:t>
            </w:r>
          </w:p>
        </w:tc>
      </w:tr>
      <w:tr>
        <w:trPr/>
        <w:tc>
          <w:tcPr>
            <w:tcW w:w="346" w:type="dxa"/>
            <w:gridSpan w:val="2"/>
            <w:tcBorders/>
            <w:shd w:fill="FFFFFF" w:val="cle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(3)</w:t>
            </w:r>
          </w:p>
        </w:tc>
        <w:tc>
          <w:tcPr>
            <w:tcW w:w="9859" w:type="dxa"/>
            <w:gridSpan w:val="26"/>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Investment is not a qualifying asset as defined under Section 55(a) of the Investment Company Act of 1940, as amended (the “1940 Act”). Non-qualifying assets at fair value represent 10.65% of total assets as of December 31, 2022.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tc>
      </w:tr>
      <w:tr>
        <w:trPr/>
        <w:tc>
          <w:tcPr>
            <w:tcW w:w="346" w:type="dxa"/>
            <w:gridSpan w:val="2"/>
            <w:tcBorders/>
            <w:shd w:fill="FFFFFF" w:val="cle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(4)</w:t>
            </w:r>
          </w:p>
        </w:tc>
        <w:tc>
          <w:tcPr>
            <w:tcW w:w="9859" w:type="dxa"/>
            <w:gridSpan w:val="26"/>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Represents a PIK security. PIK interest is accrued and will be paid at maturity.</w:t>
            </w:r>
          </w:p>
        </w:tc>
      </w:tr>
      <w:tr>
        <w:trPr/>
        <w:tc>
          <w:tcPr>
            <w:tcW w:w="346" w:type="dxa"/>
            <w:gridSpan w:val="2"/>
            <w:tcBorders/>
            <w:shd w:fill="FFFFFF" w:val="cle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(5)</w:t>
            </w:r>
          </w:p>
        </w:tc>
        <w:tc>
          <w:tcPr>
            <w:tcW w:w="9859" w:type="dxa"/>
            <w:gridSpan w:val="26"/>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Disclosures of end-of-term-payments (“ETP”) are one-time payments stated as a percentage of original principal amount.</w:t>
            </w:r>
          </w:p>
        </w:tc>
      </w:tr>
      <w:tr>
        <w:trPr/>
        <w:tc>
          <w:tcPr>
            <w:tcW w:w="346" w:type="dxa"/>
            <w:gridSpan w:val="2"/>
            <w:tcBorders/>
            <w:shd w:fill="FFFFFF" w:val="cle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(6)</w:t>
            </w:r>
          </w:p>
        </w:tc>
        <w:tc>
          <w:tcPr>
            <w:tcW w:w="9859" w:type="dxa"/>
            <w:gridSpan w:val="26"/>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Investments are held at Fair Value net of the Fair Value of Unfunded Commitments. Refer to "Note 8 – Commitments and Contingencies" for additional detail.</w:t>
            </w:r>
          </w:p>
        </w:tc>
      </w:tr>
      <w:tr>
        <w:trPr/>
        <w:tc>
          <w:tcPr>
            <w:tcW w:w="346" w:type="dxa"/>
            <w:gridSpan w:val="2"/>
            <w:tcBorders/>
            <w:shd w:fill="FFFFFF" w:val="cle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(7)</w:t>
            </w:r>
          </w:p>
        </w:tc>
        <w:tc>
          <w:tcPr>
            <w:tcW w:w="9859" w:type="dxa"/>
            <w:gridSpan w:val="26"/>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Investments are non-income producing.</w:t>
            </w:r>
          </w:p>
        </w:tc>
      </w:tr>
      <w:tr>
        <w:trPr/>
        <w:tc>
          <w:tcPr>
            <w:tcW w:w="346" w:type="dxa"/>
            <w:gridSpan w:val="2"/>
            <w:tcBorders/>
            <w:shd w:fill="FFFFFF" w:val="cle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(8)</w:t>
            </w:r>
          </w:p>
        </w:tc>
        <w:tc>
          <w:tcPr>
            <w:tcW w:w="9859" w:type="dxa"/>
            <w:gridSpan w:val="26"/>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The investment is an eligible loan investment in the collateral under the Credit Facility (as defined in "Note 7 – Borrowings").</w:t>
            </w:r>
          </w:p>
        </w:tc>
      </w:tr>
      <w:tr>
        <w:trPr/>
        <w:tc>
          <w:tcPr>
            <w:tcW w:w="346" w:type="dxa"/>
            <w:gridSpan w:val="2"/>
            <w:tcBorders/>
            <w:shd w:fill="FFFFFF" w:val="cle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(9)</w:t>
            </w:r>
          </w:p>
        </w:tc>
        <w:tc>
          <w:tcPr>
            <w:tcW w:w="9859" w:type="dxa"/>
            <w:gridSpan w:val="26"/>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All portfolio companies are domiciled in the United States, unless otherwise noted.</w:t>
            </w:r>
          </w:p>
        </w:tc>
      </w:tr>
      <w:tr>
        <w:trPr/>
        <w:tc>
          <w:tcPr>
            <w:tcW w:w="346" w:type="dxa"/>
            <w:gridSpan w:val="2"/>
            <w:tcBorders/>
            <w:shd w:fill="FFFFFF" w:val="cle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(10)</w:t>
            </w:r>
          </w:p>
        </w:tc>
        <w:tc>
          <w:tcPr>
            <w:tcW w:w="9859" w:type="dxa"/>
            <w:gridSpan w:val="26"/>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Portfolio company is domiciled in Canada. Fair value of Canadian-domiciled investments represents 2.40% of net assets.</w:t>
            </w:r>
          </w:p>
        </w:tc>
      </w:tr>
      <w:tr>
        <w:trPr/>
        <w:tc>
          <w:tcPr>
            <w:tcW w:w="346" w:type="dxa"/>
            <w:gridSpan w:val="2"/>
            <w:tcBorders/>
            <w:shd w:fill="FFFFFF" w:val="cle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(11)</w:t>
            </w:r>
          </w:p>
        </w:tc>
        <w:tc>
          <w:tcPr>
            <w:tcW w:w="9859" w:type="dxa"/>
            <w:gridSpan w:val="26"/>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Portfolio company is domiciled in Germany. Fair value of Germany-domiciled investments represents 8.07% of net assets.</w:t>
            </w:r>
          </w:p>
        </w:tc>
      </w:tr>
      <w:tr>
        <w:trPr/>
        <w:tc>
          <w:tcPr>
            <w:tcW w:w="346" w:type="dxa"/>
            <w:gridSpan w:val="2"/>
            <w:tcBorders/>
            <w:shd w:fill="FFFFFF" w:val="cle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(12)</w:t>
            </w:r>
          </w:p>
        </w:tc>
        <w:tc>
          <w:tcPr>
            <w:tcW w:w="9859" w:type="dxa"/>
            <w:gridSpan w:val="26"/>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Portfolio company is domiciled in the United Kingdom. Fair value of United-Kingdom-domiciled investments represents 10.55% of net assets.</w:t>
            </w:r>
          </w:p>
        </w:tc>
      </w:tr>
      <w:tr>
        <w:trPr/>
        <w:tc>
          <w:tcPr>
            <w:tcW w:w="346" w:type="dxa"/>
            <w:gridSpan w:val="2"/>
            <w:tcBorders/>
            <w:shd w:fill="FFFFFF" w:val="cle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(13)</w:t>
            </w:r>
          </w:p>
        </w:tc>
        <w:tc>
          <w:tcPr>
            <w:tcW w:w="9859" w:type="dxa"/>
            <w:gridSpan w:val="26"/>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Investment is either a cash success fee payable or earnout of shares based on the consummation of certain trigger events.</w:t>
            </w:r>
          </w:p>
        </w:tc>
      </w:tr>
      <w:tr>
        <w:trPr/>
        <w:tc>
          <w:tcPr>
            <w:tcW w:w="346" w:type="dxa"/>
            <w:gridSpan w:val="2"/>
            <w:tcBorders/>
            <w:shd w:fill="FFFFFF" w:val="cle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(14)</w:t>
            </w:r>
          </w:p>
        </w:tc>
        <w:tc>
          <w:tcPr>
            <w:tcW w:w="9859" w:type="dxa"/>
            <w:gridSpan w:val="26"/>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Control portfolio company, as defined under the 1940 Act, in which the Company owns more than 25% of the investment’s voting securities or has greater than 50% representation on its board.</w:t>
            </w:r>
          </w:p>
        </w:tc>
      </w:tr>
      <w:tr>
        <w:trPr/>
        <w:tc>
          <w:tcPr>
            <w:tcW w:w="346" w:type="dxa"/>
            <w:gridSpan w:val="2"/>
            <w:tcBorders/>
            <w:shd w:fill="FFFFFF" w:val="cle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(15)</w:t>
            </w:r>
          </w:p>
        </w:tc>
        <w:tc>
          <w:tcPr>
            <w:tcW w:w="9859" w:type="dxa"/>
            <w:gridSpan w:val="26"/>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Portfolio company is publicly traded and listed on NASDAQ.</w:t>
            </w:r>
          </w:p>
        </w:tc>
      </w:tr>
      <w:tr>
        <w:trPr/>
        <w:tc>
          <w:tcPr>
            <w:tcW w:w="346" w:type="dxa"/>
            <w:gridSpan w:val="2"/>
            <w:tcBorders/>
            <w:shd w:fill="FFFFFF" w:val="cle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(16)</w:t>
            </w:r>
          </w:p>
        </w:tc>
        <w:tc>
          <w:tcPr>
            <w:tcW w:w="9859" w:type="dxa"/>
            <w:gridSpan w:val="26"/>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The warrant count is based upon a percentage of ownership of Fidelis Cybersecurity, Inc.</w:t>
            </w:r>
          </w:p>
        </w:tc>
      </w:tr>
      <w:tr>
        <w:trPr/>
        <w:tc>
          <w:tcPr>
            <w:tcW w:w="346" w:type="dxa"/>
            <w:gridSpan w:val="2"/>
            <w:tcBorders/>
            <w:shd w:fill="FFFFFF" w:val="cle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(17)</w:t>
            </w:r>
          </w:p>
        </w:tc>
        <w:tc>
          <w:tcPr>
            <w:tcW w:w="9859" w:type="dxa"/>
            <w:gridSpan w:val="26"/>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Investment is not a "restricted security" under the Securities Act.</w:t>
            </w:r>
          </w:p>
        </w:tc>
      </w:tr>
      <w:tr>
        <w:trPr/>
        <w:tc>
          <w:tcPr>
            <w:tcW w:w="346" w:type="dxa"/>
            <w:gridSpan w:val="2"/>
            <w:tcBorders/>
            <w:shd w:fill="FFFFFF" w:val="cle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(18)</w:t>
            </w:r>
          </w:p>
        </w:tc>
        <w:tc>
          <w:tcPr>
            <w:tcW w:w="9859" w:type="dxa"/>
            <w:gridSpan w:val="26"/>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Affiliate portfolio company as defined under the 1940 Act in which the Company owns between 5% and 25% (inclusive) of the investment's voting securities and does not have rights to maintain greater than 50% representation on the board.</w:t>
            </w:r>
          </w:p>
        </w:tc>
      </w:tr>
      <w:tr>
        <w:trPr/>
        <w:tc>
          <w:tcPr>
            <w:tcW w:w="346" w:type="dxa"/>
            <w:gridSpan w:val="2"/>
            <w:tcBorders/>
            <w:shd w:fill="FFFFFF" w:val="cle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(19)</w:t>
            </w:r>
          </w:p>
        </w:tc>
        <w:tc>
          <w:tcPr>
            <w:tcW w:w="9859" w:type="dxa"/>
            <w:gridSpan w:val="26"/>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Portfolio company is publicly traded and listed on NYSE.</w:t>
            </w:r>
          </w:p>
        </w:tc>
      </w:tr>
      <w:tr>
        <w:trPr/>
        <w:tc>
          <w:tcPr>
            <w:tcW w:w="346" w:type="dxa"/>
            <w:gridSpan w:val="2"/>
            <w:tcBorders/>
            <w:shd w:fill="FFFFFF" w:val="cle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(20)</w:t>
            </w:r>
          </w:p>
        </w:tc>
        <w:tc>
          <w:tcPr>
            <w:tcW w:w="9859" w:type="dxa"/>
            <w:gridSpan w:val="26"/>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Portfolio company is publicly traded and listed on ASX.</w:t>
            </w:r>
          </w:p>
        </w:tc>
      </w:tr>
      <w:tr>
        <w:trPr/>
        <w:tc>
          <w:tcPr>
            <w:tcW w:w="16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9859" w:type="dxa"/>
            <w:gridSpan w:val="26"/>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Fair value as a percentage of net assets.</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spacing w:before="0" w:after="200"/>
        <w:jc w:val="center"/>
        <w:rPr>
          <w:rFonts w:ascii="Times New Roman" w:hAnsi="Times New Roman"/>
          <w:b/>
          <w:color w:val="000000"/>
          <w:sz w:val="20"/>
        </w:rPr>
      </w:pPr>
      <w:bookmarkStart w:id="24" w:name="notestofinancialstatementsasofdecember31"/>
      <w:bookmarkEnd w:id="24"/>
      <w:r>
        <w:rPr>
          <w:rFonts w:ascii="Times New Roman" w:hAnsi="Times New Roman"/>
          <w:b/>
          <w:color w:val="000000"/>
          <w:sz w:val="20"/>
        </w:rPr>
        <w:t>Notes to Consolidated Financial Statements as of December 31, 2023</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1 — Organization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Runway Growth Finance Corp. (formerly known as Runway Growth Credit Fund Inc.) (the "Company"), is a Maryland corporation that was formed on August 31, 2015. On August 18, 2021, the Company changed its name to "Runway Growth Finance Corp." from "Runway Growth Credit Fund Inc." The Company is an externally managed, non-diversified, closed-end investment company that has elected to be regulated as a business development company ("BDC") under the Investment Company Act of 1940, as amended (the "1940 Act"). In addition, the Company has elected to be treated, currently qualifies, and intends to continue to qualify annually, as a regulated investment company ("RIC") under Subchapter M of the Internal Revenue Code of 1986, as amended (the "Code").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was formed primarily to lend to, and selectively invest in, high growth-potential companies in technology, life sciences, healthcare information and services, business services, financial services, select consumer services and products in other high-growth industries in the United States. The Company’s investment objective is to maximize its total return to its stockholders primarily through current income on its loan portfolio, and secondarily through capital gain (loss)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w:t>
      </w:r>
    </w:p>
    <w:p>
      <w:pPr>
        <w:pStyle w:val="TextBody"/>
        <w:bidi w:val="0"/>
        <w:jc w:val="both"/>
        <w:rPr>
          <w:rFonts w:ascii="Times New Roman" w:hAnsi="Times New Roman"/>
          <w:color w:val="000000"/>
          <w:sz w:val="20"/>
        </w:rPr>
      </w:pPr>
      <w:r>
        <w:rPr>
          <w:rFonts w:ascii="Times New Roman" w:hAnsi="Times New Roman"/>
          <w:color w:val="000000"/>
          <w:sz w:val="20"/>
        </w:rPr>
        <w:t>On October 25, 2021, the Company closed its initial public offering ("IPO"), issuing 6,850,000 shares of its common stock at a public offering price of $14.60 per share. Net of underwriting fees and offering costs, the Company received net proceeds of $93.0 million. The Company's common stock began trading on the Nasdaq Global Select Market LLC on October 21, 2021 under the symbol “RWAY”.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 Summary of Significant Accounting Policies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consolidated financial statements of the Company are prepared on the accrual basis of accounting in conformity with U.S. Generally Accepted Accounting Principles ("U.S. GAAP") and pursuant to the requirements for reporting on Form 10</w:t>
        <w:noBreakHyphen/>
        <w:t xml:space="preserve">K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items in the December 31, 2022 and December 31, 2021 consolidated financial statements have been reclassified to conform to the December 31, 2023 presentation with no effect on the Total net assets on the Consolidated Statements of Assets and Liabilities, no effect on the Net increase (decrease) in net assets resulting from operations on the Consolidated Statements of Operations, and no effect to the Net increase (decrease) in cash and cash equivalents on the Consolidated Statements of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ASC 946, the Company is precluded from consolidating portfolio company investments, including those in which it has a controlling interest, unless the portfolio company is another investment company. An exception to this general principle occurs if the Company holds a controlling interest in an operating company that provides all or substantially all of its services directly to the Company or to its portfolio companies. None of the portfolio investments made by the Company qualify for this exception. Therefore, the Company’s investment portfolio is carried on the Consolidated Statements of Assets and Liabilities at fair value, as discussed further in “Note 4 — Investments,” with any adjustments to fair value recognized as “Net unrealized gain (loss) on investments” on the Consolidated Statements of Operations.</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Effective December 31, 2023, the Company completed a credit bid resulting in the acquisition of Pivot3, Inc.’s assets in consideration for the Company’s outstanding senior secured term loan to Pivot3, Inc. As of December 31, 2023, the cost basis of the senior secured term loan to Pivot3, Inc. was $18.0 million and the fair value of Pivot3, Inc.’s asset was $0.95 million, resulting in a realized loss of approximately $17.0 million. The public sale of the collateral included (1) all issued and outstanding equity interest of Pivot3, Inc. and (2) intangible assets. Pursuant to the credit bid purchase agreement, the Company directed that the Pivot3, Inc. pledged equity be transferred to P3 Holdco LLC (“P3 Holdco”), a wholly owned subsidiary of the Company, and the assets be contributed to Pivot3, Inc. (resulting in Pivot3, Inc. becoming a wholly-owned subsidiary of P3 Holdco).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consolidated operations include the activities of its wholly owned subsidiary, P3 Holdco and P3 Holdco’s wholly owned subsidiary Pivot3, Inc. The subsidiaries are consolidated and included in the Company’s consolidated financial statements and the assets of Pivot3, Inc. are recorded at fair value. All intercompany balances and transactions have been eliminated. Refer to the Schedule of Investments for the Company’s equity interest in Pivot3, Inc. as of December 31,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income and expense during the reporting period. Changes in the economic and regulatory environment, financial markets, the credit worthiness of our portfolio companies, and any other parameters used in determining these estimates and assumptions could cause actual results to differ from these estimates and assumptions.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consists solely of funds deposited with financial institutions, while cash equivalents consists of short-term liquid investments in money market funds. Cash and cash equivalents are carried at cost, which approximates fair value. As of December 31, 2023, the Company did not have any cash equivalents invested in money market funds. As of December 31, 2022, $5.6 million was invested in money market funds. Interest earned in money market funds are recorded in Other income on the Consolidated Statements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Debt and Deferred Debt Costs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debt of the Company is carried at amortized cost, which is comprised of the principal amount borrowed, net of unamortized debt issuance costs on the Consolidated Statements of Assets and Liabilities. Debt issuance costs are fees and other direct incremental costs incurred by the Company in relation to debt financing and are recognized as Unamortized deferred debt costs as a reduction to total debt on the Consolidated Statements of Assets and Liabilities and amortized over the life of the related debt instrument, or the life of the cost respective service if shorter, using the straight-line method, which closely approximates the effective yield method. To the extent there are no outstanding borrowings, the deferred debt costs are presented as an asset on the Consolidated Statements of Assets and Liabilities.</w:t>
      </w:r>
    </w:p>
    <w:p>
      <w:pPr>
        <w:pStyle w:val="TextBody"/>
        <w:bidi w:val="0"/>
        <w:jc w:val="both"/>
        <w:rPr>
          <w:rFonts w:ascii="Times New Roman" w:hAnsi="Times New Roman"/>
          <w:color w:val="000000"/>
          <w:sz w:val="20"/>
        </w:rPr>
      </w:pPr>
      <w:r>
        <w:rPr>
          <w:rFonts w:ascii="Times New Roman" w:hAnsi="Times New Roman"/>
          <w:color w:val="000000"/>
          <w:sz w:val="20"/>
        </w:rPr>
        <w:t>Amortization of deferred debt costs and interest expense on the outstanding principal balance are recorded in Interest and other deferred financing expenses on the Consolidated Statements of Operations. Accrued but unpaid interest is included within Interest payable on the Consolidated Statements of Assets and Liabilities. For more information, refer to “Note 7 – Borrowings.”</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Segments</w:t>
      </w:r>
    </w:p>
    <w:p>
      <w:pPr>
        <w:pStyle w:val="TextBody"/>
        <w:bidi w:val="0"/>
        <w:jc w:val="left"/>
        <w:rPr>
          <w:rFonts w:ascii="Times New Roman" w:hAnsi="Times New Roman"/>
          <w:color w:val="000000"/>
          <w:sz w:val="20"/>
        </w:rPr>
      </w:pPr>
      <w:r>
        <w:rPr>
          <w:rFonts w:ascii="Times New Roman" w:hAnsi="Times New Roman"/>
          <w:color w:val="000000"/>
          <w:sz w:val="20"/>
        </w:rPr>
        <w:t>The Company lends to and invests in customers in various industries. The Company separately evaluates the performance of each of its lending and investment relationships. However, because each of these loan and investment relationships has similar business and economic characteristics, they have been aggregated into a single lending and investment segment. All applicable segment disclosures are included in or can be derived from the Company’s consolidated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Investment Transactions and Related Investment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Security transactions, if any, are recorded on a trade-date basis. Realized gains or losses from the repayment or sale of investments are measured using the specific identification method. The amortized cost basis of investments represents the original cost adjusted for the accretion/amortization of discounts and premiums and upfront loan origination fees. The Company reports changes from the prior period in fair value of investments that are measured at fair value as a component of net change in unrealized gain (loss) on investments on the Consolidated Statements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Dividend income is recorded on an accrual basis to the extent that such amounts are payable and expected to be collected. Dividend income is recorded on the record date for private portfolio companies or on the ex-dividend date for publicly traded portfolio companies. Interest income, if any, adjusted for amortization of market premium and accretion of market discount, is recorded on an accrual basis to the extent that the Company expects to collect such amounts. Original issue discount (“OID”), principally representing the estimated fair value of detachable equity, warrants or contractual success fees obtained in conjunction with the Company’s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debt investment, any unamortized loan origination fees, end-of-term payments, and unamortized market discounts are recorded as interest income and any prepayment penalties are recorded as fee income. Upon amending terms of an existing investment, any amendment fees charged are recorded as fee income.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currently holds, and expects to hold in the future, some investments in its portfolio that contain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of income the Company is required to distribute to stockholders to maintain its qualification as a RIC for U.S. federal income tax purposes, even though the Company has not yet collected the cash. For the years ended December 31, 2023, December 31, 2022, and December 31, 2021, approximately 12.2%, 8.0%, and 4.2%, respectively, of the Company's total investment income was attributable to non-cash PIK interest.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Investments Denominated in Foreign Currency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 each balance sheet date, portfolio company investments denominated in foreign currencies are translated into U.S. dollars using the spot exchange rate on the last business day of the period. Purchases and sales of foreign portfolio company investments, and any income from such investments, are translated into U.S. dollars using the rates of exchange prevailing on the respective dates of such transactions. As of December 31, 2023, the Company held one investment denominated in a foreign currency. As of December 31, 2022, the Company did not hold any investments denominated in a foreign currency.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Although the fair values of foreign portfolio company investments and the fluctuation in such fair values are translated into U.S. dollars using the applicable foreign exchange rates described above, the Company does not isolate the portion of the change in fair value resulting from foreign currency exchange rates fluctuations from the change in fair value of the underlying investment. All fluctuations in fair value are included in Net change in unrealized gain (loss) on investments on the Company’s Consolidated Statements of Operations.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Non-Accrual of Investments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Debt investments are placed on non-accrual status when principal, interest, and other obligations become materially past due or when it is probable that principal, interest, or other obligations will not be collected in full. At the point of non-accrual, the Company will cease recognizing interest income on the debt investment until all principal and interest due have been paid or the Company believes the borrower has demonstrated the ability to repay its current and future contractual obligations. Additionally, any OID associated with the debt investment is no longer accreted to interest income as of the date the loan is placed on non-accrual status. Any payments received on non-accrual loans are first applied to principal prior to recovery of any foregone interest or end of term payment fees. Non-accrual loans are restored to accrual status when past due principal or interest are paid, and, in management’s judgment are likely to remain current. The Company may make exceptions to this policy if the investment has sufficient collateral value and is in the process of collection such that the Company will be made whole on the investment, inclusive of interest and end of term payment fees.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years ended December 31, 2023 and December 31, 2022, the Company had not written off any accrued interest. As of December 31, 2023, we had no loans on non-accrual status as our single loan to Pivot3, Inc. was realized. For more information, refer to "Note 2 — Summary of Significant Accounting Policies, Principles of Consolidation." As of December 31, 2022, the Company had one loan to Pivot3, Inc. on non-accrual status. The loan, with a cost basis of $19.2 million and a fair value of $9.3 million represents 0.8% of the Company’s total investment portfolio. From being placed on non-accrual status through December 31, 2022, cumulative interest of $3.6 million would be receivable and $0.3 million OID would be accreted into the cost basis, for a total of $3.9 million not recorded in interest income from control investments on the Statement of Operations. As of December 31, 2021, the Company had six loans to Mojix, Inc. and one loan to Pivot3, Inc., on non-accrual status. The loans, with an aggregate cost basis of $30.3 million and a fair value of $28.3 million, represents 3.9% of the Company’s total investment portfolio. From being placed on non-accrual status through December 31, 2021, cumulative interest of $4.1 million would be receivable and $0.7 million OID would be accreted into the cost basis, for a total of $4.8 million not recorded in interest income from control investments on the Statement of Operations.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 measures the value of its financial instruments at fair value in accordance with ASC </w:t>
      </w:r>
      <w:r>
        <w:rPr>
          <w:rFonts w:ascii="Times New Roman" w:hAnsi="Times New Roman"/>
          <w:i/>
          <w:color w:val="000000"/>
          <w:sz w:val="20"/>
        </w:rPr>
        <w:t>Topic 820, Fair Value Measurements and Disclosure</w:t>
      </w:r>
      <w:r>
        <w:rPr>
          <w:rFonts w:ascii="Times New Roman" w:hAnsi="Times New Roman"/>
          <w:color w:val="000000"/>
          <w:sz w:val="20"/>
        </w:rPr>
        <w:t xml:space="preserve"> (“ASC Topic 820”), issued by the FASB. Fair value is the price that would be received to sell an asset or paid to transfer a liability in an orderly transaction between market participants at the measurement date. With the exception of the Company’s borrowings, which are reported at amortized cost, all assets and liabilities approximate fair value on the Statements of Assets and Liabilities. For more information on financial instruments reported at cost, refer to "Note 5 – Fair Value of Financial Instruments."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 Valuations are based on quoted prices in active markets for identical assets or liabilities that are accessible at the measurement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 Valuations are based on quoted prices in markets that are not active or for which all significant inputs are observable, either directly or indirectly and model-based valuation techniques for which all significant inputs are observable.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 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 certain cases, the inputs used to measure fair value may fall into different levels of the fair value hierarchy. In such cases, a financial instrument’s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instrument.</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ASC Topic 820, the fair value measurement also assumes that the transaction to sell an asset or liability occurs in the principal market for the asset or liability or, in the absence of a principal market, the most advantageous market for the asset, which may be a hypothetical market, and excludes transaction costs. The principal market for any asset or liability is the market with the greatest volume and level of activity for such asset in which the reporting entity would or could sell or transfer the asset or liability.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Rule 2a-5 under the 1940 Act established requirements for determining fair value of a BDC's investments in good faith for purposes of the 1940 Act. Rule 2a-5 permits boards, in compliance with certain conditions, to designate certain parties to perform fair value determinations, subject to board oversight. Rule 2a-5 also defines when market quotations are "readily available" for purposes of the 1940 Act and the threshold for determining whether a fund must determine the fair value of a security. The SEC also adopted new Rule 31a-4 under the 1940 Act ("Rule 31a-4"), which provides the recordkeeping requirements associated with fair value determinations. The Company's Board of Directors has not designated a valuation designee.</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Investment Valuation Techniques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With respect to investments for which market quotations are not readily available, the Company undertakes a multi-step valuation process each quarter, as described below:</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quarterly valuation process begins with each portfolio company investment being initially valued by RGC’s investment professionals that are responsible for the portfolio investment;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Preliminary valuation conclusions are then documented and discussed with RGC’s senior investment team;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least once annually, the valuation for each portfolio investment is reviewed by an independent valuation firm. Certain investments, however, may not be evaluated annually by an independent valuation firm if the net asset value and other aspects of such investments in the aggregate do not exceed certain thresholds;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Audit Committee then reviews these preliminary valuations from RGC and the independent valuation firm, if any, and makes a recommendation to the Company's Board of Directors regarding such valuations;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Board of Directors reviews the recommended preliminary valuations and determines the fair value of each investment in the Company’s portfolio, in good faith, based on the input of RGC, the independent valuation firm(s) and the Audit Committee.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investments are primarily loans made to and equity and warrants of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and equity instruments and, thus, RGC’s senior investment team must estimate the fair value of these investment securities based on models utilizing unobservable inputs.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Audit Committee of the Company’s Board of Directors assists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Company’s Board of Directors, with the assistance of the Audit Committee, RGC and its senior investment team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Debt Investments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determine the fair value of the Company’s debt investments, the Company compares the cost basis of the debt investment, which includes OID,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(decreases) in these unobservable inputs could result in a significantly higher (lower) fair value measurements.</w:t>
      </w:r>
    </w:p>
    <w:p>
      <w:pPr>
        <w:pStyle w:val="TextBody"/>
        <w:bidi w:val="0"/>
        <w:jc w:val="both"/>
        <w:rPr>
          <w:rFonts w:ascii="Times New Roman" w:hAnsi="Times New Roman"/>
          <w:color w:val="000000"/>
          <w:sz w:val="20"/>
        </w:rPr>
      </w:pPr>
      <w:r>
        <w:rPr>
          <w:rFonts w:ascii="Times New Roman" w:hAnsi="Times New Roman"/>
          <w:color w:val="000000"/>
          <w:sz w:val="20"/>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Warrants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Fair value of warrants is primarily determined using a Black Scholes option-pricing model. Privately held warrants and equity-related securities are valued based on an analysis of various factors including, but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(decrease) in this unobservable input.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Equity Investments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fair value of an equity investment in a privately held company is initially the face value of the amount invested. The 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br/>
        <w:t>Investment Classification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classifies its investments by level of affiliation and control.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 representation on the investee company's board of directors.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on the Consolidated Statements of Assets and Liabilities.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jc w:val="both"/>
        <w:rPr>
          <w:rFonts w:ascii="Times New Roman" w:hAnsi="Times New Roman"/>
          <w:color w:val="000000"/>
          <w:sz w:val="20"/>
        </w:rPr>
      </w:pPr>
      <w:r>
        <w:rPr>
          <w:rFonts w:ascii="Times New Roman" w:hAnsi="Times New Roman"/>
          <w:color w:val="000000"/>
          <w:sz w:val="20"/>
        </w:rPr>
        <w:t>The Company elected to be treated as a RIC under Subchapter M of the Code beginning with its taxable year ended December 31, 2016, currently qualifies as a RIC,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year and it does not anticipate paying any material U.S. federal income taxes in the future.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Depending on the level of taxable income earned in a tax year, the Company may choose to carry forward such taxable income in excess of current year dividend distributions from such current year taxable income into the next tax year and pay a 4% excise tax on such income, as required. If the Company determines that the estimated current year taxable income will exceed the estimated dividend distributions for the current year from such income, the Company accrues excise tax on estimated excess taxable income as such taxable income is earned. Differences between taxable income and net increase in net assets resulting from operations either can be temporary, meaning they will reverse in the future, or permanent. In accordance with Section 946-205-45-3 of the ASC, permanent tax differences are reclassified from accumulated undistributed earnings to paid-in-capital at the end of each year and have no impact on total net assets. For more information, refer to "Note 10 – Income Taxes."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 Share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Basic and diluted earnings (loss) per common share is calculated using the weighted-average number of common shares outstanding for the period presented. For the years ended December 31, 2023, 2022, and 2021, basic and diluted earnings (loss) per share of common stock were the same because there were no potentially dilutive securities outstanding. Per share data is based on the weighted-average shares outstanding. </w:t>
      </w:r>
    </w:p>
    <w:p>
      <w:pPr>
        <w:pStyle w:val="TextBody"/>
        <w:bidi w:val="0"/>
        <w:spacing w:before="360" w:after="283"/>
        <w:jc w:val="left"/>
        <w:rPr>
          <w:rFonts w:ascii="Times New Roman" w:hAnsi="Times New Roman"/>
          <w:sz w:val="20"/>
        </w:rPr>
      </w:pPr>
      <w:r>
        <w:rPr>
          <w:rFonts w:ascii="Times New Roman" w:hAnsi="Times New Roman"/>
          <w:b/>
          <w:i/>
          <w:color w:val="000000"/>
          <w:sz w:val="20"/>
        </w:rPr>
        <w:t>Comprehensive Income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reports all changes in comprehensive income in the Consolidated Statements of Operations. The Company did not have other comprehensive income in 2023, 2022, or 2021. The Company’s comprehensive income is equal to its Net increase in net assets resulting from operations.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Distributions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Distributions to common stockholders are recorded on the applicable record date. The amount, if any, to be distributed to common stockholders is determined by the Board of Directors each quarter and is generally based upon the Company’s earnings estimated by management. Net realized capital gains, if any, are generally distributed at least annually. For more information, refer to "Note 9 – Net Assets."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Organization and Offering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Organization costs include, among other things, the cost of organizing as a Maryland corporation, including the cost of legal services and other fees pertaining to the Company's organization, all of which are expensed as incurred. Offering costs include, among other things, legal fees and other costs pertaining to the preparation of the Company’s public and private offering materials as well as travel-related expenses related to the Company’s public and private offerings. Pursuant to the Advisory Agreement (as defined in "Note 3 – Related Party Agreements and Transactions"), the Company and RGC agreed that organization and offering costs incurred in connection with the Initial Private Offering (as defined in "Note 9 – Net Assets") would be borne by the Company up to a maximum amount of $1.0 million, provided that the amount of such costs in excess of $1.0 million would be paid by RGC. As of December 31, 2016, the Company had already incurred the maximum amount of $1.0 million in organization and offering costs incurred in connection with the Initial Private Offering.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Offering costs related to the Second Private Offering (as defined in "Note 9 – Net Assets") were accumulated and charged to additional paid in capital at the time of closing beginning in 2019. These offering costs related to the Second Private Offering were subject to a cap of $0.6 million, excluding placement agent fees which had no cap, of which the Company will bear the cost. At the completion of the Second Private Offering, the Company had accumulated and recorded $0.7 million in offering costs and $0.2 million in placement agent fees related to the Second Private Offering. Under the terms of the Second Private Offering, offering costs in excess of $0.6 million, excluding placement agent fees, were reimbursed by RGC.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Offering costs related to the IPO were accumulated and charged to additional paid in capital at the time of closing in October 2021. The Company had accumulated and recorded $7.0 million of offering costs related to the Company’s IPO. The offering costs were fully born by the Company and included underwriting fees, legal fees, and other costs pertaining to the preparation of the Company’s offering materials as well as travel-related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 June 2022, the FASB issued ASU 2022-03, “Fair Value Measurement (Topic 820) - Fair Value Measurement of Equity Securities Subject to Contractual Sale Restrictions”, which was issued to (1)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The new guidance is effective for interim and annual periods beginning after December 15, 2023. The Company does not anticipate the new standard will have a material impact to the consolidated financial statements and related disclosures.</w:t>
      </w:r>
    </w:p>
    <w:p>
      <w:pPr>
        <w:pStyle w:val="TextBody"/>
        <w:bidi w:val="0"/>
        <w:jc w:val="left"/>
        <w:rPr>
          <w:rFonts w:ascii="Times New Roman" w:hAnsi="Times New Roman"/>
          <w:color w:val="000000"/>
          <w:sz w:val="20"/>
        </w:rPr>
      </w:pPr>
      <w:r>
        <w:rPr>
          <w:rFonts w:ascii="Times New Roman" w:hAnsi="Times New Roman"/>
          <w:color w:val="000000"/>
          <w:sz w:val="20"/>
        </w:rPr>
        <w:t>In November 2023, the Financial Accounting Standards Board (“FASB”) issued Accounting Standards Update (“ASU”) No. 2023-07, “Segment Reporting (Topic 280): Improvements to Reportable Segment Disclosures”. ASU No. 2023-07 requires disclosures to include significant segment expenses that are regularly provided to the chief operating decision maker (“CODM”), a description of other segment items by reportable segment and any additional measures of a segment's profit or loss used by the CODM when deciding how to allocate resources. The ASU requires all annual disclosures currently required by Topic 280 to be included in interim periods and is applicable to entities with a single reportable segment. ASU No. 2023-07 will be effective for the Company in fiscal year 2024 for annual reporting and in the first quarter of fiscal 2025 for interim reporting. Retrospective application is required for all prior periods presented in the consolidated financial statements. The Company does not anticipate the new standard will have a material impact to the consolidated financial statements and related disclosures.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3 — Related Party Agreements and Transactions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Second Amended and Restated Advisory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November 29, 2016, the Company’s Board of Directors approved an investment advisory agreement between RGC and the Company, under which RGC, subject to the overall supervision of the Board of Directors, manages the day-to-day operations of and provides investment advisory services to the Company (together with a subsequent amendment thereto, the “Prior Advisory Agreement”). On August 3, 2017, the Board of Directors approved certain amendments to the Prior Advisory Agreement (the “First Amended and Restated Advisory Agreement”) and recommended that the Company’s stockholders approve the First Amended and Restated Advisory Agreement. The First Amended and Restated Advisory Agreement became effective on September 12, 2017 upon approval by the stockholders at a special meeting of stockholders of the Company. On April 7, 2021, the Board of Directors approved certain additional amendments to the advisory agreement (the “Advisory Agreement”) at a virtual meeting and recommended that the Company’s stockholders approve the Advisory Agreement. In reliance upon certain exemptive relief granted by the SEC in connection with the global COVID-19 pandemic, the Board of Directors undertook to ratify the Advisory Agreement at its next in-person meeting which was held in July 2021. The Advisory Agreement became effective on May 27, 2021 upon approval by the stockholders at a special meeting of stockholders of the Company. The Advisory Agreement amended the Prior Advisory Agreement to include certain revisions to the management and incentive fee calculation mechanisms and clarify language relating to liquidity events. On May 2, 2023, the Company's Board of Directors renewed the Advisory agreement for a period of twelve months commencing May 27, 2023. Under the terms of the Advisory Agreement, RGC:</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determines the composition of the Company’s portfolio, the nature and timing of the changes to the portfolio and the manner of implementing such changes;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identifies, evaluates and negotiates the structure of the investments the Company makes;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executes, closes and monitors the investments the Company makes;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determines the securities and other assets that the Company will purchase, retain or sell;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performs due diligence on prospective investments;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provides the Company with other such investment advisory, research and related services as the Company may, from time to time, reasonably require for the investment of its funds.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Base Management Fee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base management fee is payable on the first day of each calendar quarter and is calculated on the Company's "Gross Assets" which, for purposes of the Advisory Agreement, is defined as the Company’s gross assets, including assets purchased with borrowed funds or other forms of leverage, as well as any PIK interest, as of the end of the most recently completed fiscal quarter. The base management fee will be an amount equal to 0.375% (1.50% annualized) of the Company’s average daily Gross Assets during the most recently completed calendar quarter, so long as the aggregate amount of the Company’s Gross Assets as of the end of the most recently completed calendar quarter is equal to or greater than $1.0 billion. If the aggregate amount of the Company’s Gross Assets as of the end of the most recently completed calendar quarter is less than $1.0 billion but equal to or greater than $500.0 million, the base management fee will be an amount equal to 0.40% (1.60% annualized) of the Company’s average daily Gross Assets during the most recently completed calendar quarter. If the aggregate amount of the Company’s Gross Assets as of the end of the most recently completed calendar quarter is less than $500.0 million, the base management fee will be an amount equal to 0.4375% (1.75% annualized) of the Company’s average daily Gross Assets during the most recently completed calendar quarter.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year ended December 31, 2023, RGC earned base management fees at a rate of 1.50% per annum, amounting to $16.7 million For the years ended December 31, 2022 and 2021, RGC earned base management fees at a rate of 1.60% per annum, amounting to $11.9 million and $9.0 million, respectively.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Incentive Fee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investment-income component (the “Income Incentive Fee”), the Company pays RGC each quarter an incentive fee with respect to the Company’s pre-incentive fee net investment income ("Pre-Incentive Fee NII"). The Income Incentive Fee is calculated and payable quarterly in arrears based on the Pre-Incentive Fee NII for the immediately preceding fiscal quarter. Payments based on Pre-Incentive Fee NII will be based on the Pre-Incentive Fee NII earned for the quarter. For this purpose, Pre-Incentive Fee NII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amended and restated administration were deferred incentive fees payable, both of which are included in incentive fees payable on the Consolidated Statements of Assets and Liabilities agreement with the Administrator (the “Administration Agreement”), and any dividends paid on any issued and outstanding preferred stock, but excluding the incentive fee). Pre-Incentive Fee NII includes, in the case of investments with a deferred interest feature (such as OID accretion,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NII does not include any realized or unrealized capital gains (losses).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Pre-Incentive Fee NII,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NII in each calendar quarter as follows: (1) no Income Incentive Fee in any calendar quarter in which the Company’s Pre-Incentive Fee NII does not exceed the hurdle rate of 2.0%; (2) 80% of the Company’s Pre-Incentive Fee NII with respect to that portion of such Pre-Incentive Fee NII, if any, that exceeds the hurdle rate but is less than 2.667% in any calendar quarter (10.668% annualized) (the portion of the Company’s Pre-Incentive Fee NII that exceeds the hurdle but is less than 2.667% is referred to as the “catch-up”; the “catch-up” is meant to provide RGC with 20.0% of the Company’s Pre-Incentive Fee NII as if a hurdle did not apply if the Company’s Pre-Incentive Fee NII exceeds 2.667% in any calendar quarter (10.668% annualized)); and (3) 20.0% of the amount of the Company’s Pre-Incentive Fee NII, if any, that exceeds 2.667% in any calendar quarter (10.668% annualized) payable to RGC (once the hurdle is reached and the catch-up is achieved, 20.0% of all Pre-Incentive Fee NII thereafter is allocated to RGC).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Until the consummation of a Spin-Off transaction (defined below), in the event that (a) the sum of the Company’s cumulative net realized losses since the date of the Company’s election to be regulated as a BDC exceeded 2.0% of the total non-control/non-affiliate investments made by the Company since the date of the Company’s election to be regulated as a BDC through the end of the quarter and (b) the Pre-Incentive Fee NII adjusted to include any realized capital gains and losses (“Adjusted Pre-Incentive Fee NII”), expressed as an annualized rate of return on the value of the Company’s average daily net assets (defined as total assets less liabilities), since the Company’s election to be regulated as a BDC through the end of the quarter was less than 10.0%, no Income Incentive Fee would be payable for such quarter until the first subsequent quarter in which either (x) the sum of the Company’s cumulative net realized losses since the date of the Company’s election to be regulated as a BDC was equal to or less than 2.0% of the total non-control/non-affiliate investments made by the Company since the date of the Company’s election to be regulated as a BDC through the end of such subsequent quarter or (y) the Adjusted Pre-Incentive Fee NII,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would any Income Incentive Fee be payable for any prior quarter after the three-year anniversary of the end of such quarter. For purposes of the Advisory Agreement, a “Spin-Off transaction” includes either a transaction whereby (a) the Company offers its stockholders the option to elect to either (i) retain their ownership of shares of the Company’s common stock, or (ii) exchange their shares of the Company’s common stock for shares of common stock in a newly formed entity (the “Public Fund”) that will elect to be regulated as a BDC under the 1940 Act and treated as a RIC under Subchapter M of the Code (the “Public Fund Spin Off”); or (b) the Company completes a listing of the Company’s securities on any securities exchange (an “Exchange Listing”).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capital 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losses through the end of such year, less the aggregate amount of any previously paid Capital Gains Fee. For the foregoing purpose, the Company’s “aggregate cumulative realized capital gains” will not include any unrealized gains. If such amount is negative, then no Capital Gains Fee will be payable for such year.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year ended December 31, 2023, RGC earned incentive fees of $19.0 million, $14.1 million of which was payable in cash, and $4.9 million was accrued and generated from deferred interest. For the year ended December 31, 2022, RGC earned incentive fees of $13.2 million, $11.0 million of which were payable in cash, and $2.2 million were accrued and generated from deferred interest. For the year ended December 31, 2021, RGC earned incentive fees of $9.2 million, $7.4 million of which was payable in cash, and $1.8 million were accrued and generated from deferred interest. All incentive fees accrued and generated from deferred interest (i.e., PIK and certain discount accretion) are not payable until receipt of respective cash by the Company. As of December 31, 2023, $3.3 million were payable in cash and $9.2 million were deferred incentive fees payable, both of which are included in incentive fees payable on the Consolidated Statements of Assets and Liabilities. As of December 31, 2022, $3.8 million of incentive fees payable were payable in cash, and $5.0 million were deferred incentive fees payable, both of which are included in incentive fees payable on the Consolidated Statements of Assets and Liabilities.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capital gains incentive fee consists of fees related to realized gains and losses and unrealized capital losses. With respect to the incentive fee expense accrual related to the capital gains incentive fee, U.S. GAAP requires that the capital gains incentive fee accrual consider the cumulative aggregate unrealized gains in the calculation, as a capital gains incentive fee would be payable if such unrealized gains were realized even though such unrealized gains are not permitted to be considered in calculating the fee actually payable under the Advisory Agreement. As of each of December 31, 2023 and December 31, 2022, there was no capital gains incentive fee accrued, earned or payable to RGC under the Advisory Agreement.</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Spin-Off Incentive Fee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Income Incentive Fee will be payable in connection with a Public Fund Spin-Off as follows. The Income Incentive Fee will be calculated as of the date of the completion of each Public Fund Spin-Off and will equal the amount of Income Incentive Fee that would be payable to RGC if (1) all of the Company’s investments were liquidated for their current value and any unamortized deferred portfolio investment-related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the Public Fund Spin-Off (x) include the portion of the Income Incentive Fee attributable to deferred interest features of a particular investment that is not transferred pursuant to the Public Fund Spin-Off until such time as the deferred interest is received in cash, or (y) exceed 20.0% of the Company’s Pre-Incentive Fee NII accrued by the Company for the fiscal quarter as of the date of the completion of the Public-Fund Spin-Off. The Company will make the payment of the Income Incentive Fee paid in connection with the completion of the Public Fund Spin-Off in cash on or immediately following the date of the completion of the Public-Fund Spin-Off. After the Public Fund Spin-Off, all calculations relating to the incentive fee payable will be made beginning on the day immediately following the completion of the Public Fund Spin-Off without taking into account the exchanged shares of the Company’s common stock (or contributions, distributions or proceeds relating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Capital Gains Fee will be payable in respect of the exchanged shares of the Company’s common stock in connection with the Public Fund Spin-Off and will be calculated as of the date of the completion of the Public Fund Spin-Off as if such date were a calendar year-end for purposes of calculating and paying the Capital Gains Fee.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Income Incentive Fee or Capital Gains Fee will be payable in connection with the Public Fund Spin-Off unless, on the date of the completion of the Public Fund Spin-Off, the sum of the Company’s (i) Pre-Incentive Fee NII and (ii) realized capital gains less realized capital losses and unrealized capital losses from the date of the Company’s election to be regulated as a BDC through, and including, the date of the completion of the Public Fund Spin-Off, is greater than 8.0% of the cumulative net investments made by the Company since the Company’s election to be regulated as a BDC.</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Administration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reimburses the Administrator for the allocable portion of overhead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the Company’s Chief Financial Officer, Chief Compliance Officer and any administrative support staff, as well as any expenses paid by the Administrator on the Company's behalf.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year ended December 31, 2023, the Company incurred $2.1 million of Administration Agreement expenses, of which $0.8 million was payable to a third-party service provider and $1.3 million was overhead allocation expense. As of December 31, 2023, the Company had accrued a net payable to the Administrator of $0.4 million and a payable to the third-party administrator of $0.2 million, which are included in Accrued expenses and other liabilities on the Consolidated Statements of Assets and Liabilities. For the year ended December 31, 2022, the Company incurred $1.8 million of Administration Agreement expenses, of which $0.8 million was payable to a third-party service provider and $1.0 million was overhead allocation expense. As of December 31, 2022, the Company had accrued a net payable to the Administrator of $0.4 million and a payable to the third-party administrator of $0.2 million, which are included in Accrued expenses and other liabilities on the Consolidated Statements of Assets and Liabilities. For the year ended December 31, 2021, the Company incurred $1.6 million of Administration Agreement expenses, of which $0.7 million was payable to a third-party service provider and $0.9 million was overhead allocation expense. As of December 31, 2021, the Company had accrued a net payable to the Administrator of $0.2 million and a payable to the third-party administrator of $0.3 million, which are included in Accrued expenses and other liabilities on the Consolidated Statements of Assets and Liabilities.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License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has entered into a license agreement with RGC (the “License Agreement”) pursuant to which RGC has granted the Company a personal, non-exclusive, royalty-free right and license to use the name “Runway Growth Finance.” Under the License Agreement, the Company has the right to use the “Runway Growth Finance” name for so long as RGC or one of its affiliates remains the Company’s investment adviser. Other than with respect to this limited license, the Company has no legal right to the “Runway Growth Finance” name.</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Strategic Relationship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December 2016, the Company and RGC entered into a strategic relationship with Oaktree Capital Management, L.P (“Oaktree”). In connection with the strategic relationship, OCM Growth Holdings ("OCM Growth") purchased an aggregate of 14,571,334 shares of the Company's common stock for an aggregate purchase price of $219.3 million in the Company's Initial Private Offering and Second Private Offering. Oaktree Opportunities Fund Xb Holdings (Delaware), L.P. ("Oaktree Opportunities") purchased 24,100 shares of the Company common stock in secondary transactions in 2020 and 2022. As of December 31, 2023, OCM Growth and Oaktree Opportunities Fund Xb Holdings (Delaware), L.P. (together with OCM Growth, the “OCM Holders”), each an affiliate of Oaktree, own 16,473,290 shares and 18,878 shares of our common stock, respectively, or 40.7% of the Company's outstanding shares. Pursuant to an irrevocable proxy, certain shares held by OCM Growth must be voted in the same proportion that the Company's other stockholders vote their shares. Of the 16,492,168 shares of Company’s common stock owned by the OCM Holders, 15,588,549 shares, or approximately 38.5% of the Company’s outstanding shares, are subject to this proxy voting arrangement.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OCM Growth’s commitment, the Company entered into a stockholder agreement, dated December 15, 2016, with OCM Growth, pursuant to which OCM Growth has a right to nominate a member of the Company’s Board of Directors for election for so long as OCM Growth holds shares of the Company’s common stock in an amount equal to, in the aggregate, at least one-third (33%) of OCM Growth’s initial $125.0 million capital commitment. Gregory M. Share, Managing Director of Oaktree's Global Opportunities Group in Los Angeles, serves on the Company’s Board of Directors as OCM Growth’s director nominee and is considered an interested director. OCM Growth also holds a minority interest in RGC and has the right to appoint a member of RGC’s board of managers and a member of RGC’s investment committee. Mr. Share is OCM Growth’s appointee to RGC’s board of managers and investment committee.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 Investments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Control and Affiliate Investments</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classifies its investment portfolio by level of affiliation and control in accordance with the requirements of the 1940 Act.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 representation on the investee company's board of directors.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Company’s affiliate and control investments as of December 31, 2023 along with the transactions during the year ended December 31, 2023 are as follows (in thousands): </w:t>
      </w:r>
    </w:p>
    <w:tbl>
      <w:tblPr>
        <w:tblW w:w="11999" w:type="dxa"/>
        <w:jc w:val="left"/>
        <w:tblInd w:w="0" w:type="dxa"/>
        <w:tblLayout w:type="fixed"/>
        <w:tblCellMar>
          <w:top w:w="28" w:type="dxa"/>
          <w:left w:w="28" w:type="dxa"/>
          <w:bottom w:w="28" w:type="dxa"/>
          <w:right w:w="28" w:type="dxa"/>
        </w:tblCellMar>
      </w:tblPr>
      <w:tblGrid>
        <w:gridCol w:w="293"/>
        <w:gridCol w:w="493"/>
        <w:gridCol w:w="453"/>
        <w:gridCol w:w="146"/>
        <w:gridCol w:w="901"/>
        <w:gridCol w:w="146"/>
        <w:gridCol w:w="931"/>
        <w:gridCol w:w="146"/>
        <w:gridCol w:w="207"/>
        <w:gridCol w:w="154"/>
        <w:gridCol w:w="540"/>
        <w:gridCol w:w="146"/>
        <w:gridCol w:w="146"/>
        <w:gridCol w:w="196"/>
        <w:gridCol w:w="146"/>
        <w:gridCol w:w="511"/>
        <w:gridCol w:w="146"/>
        <w:gridCol w:w="146"/>
        <w:gridCol w:w="196"/>
        <w:gridCol w:w="146"/>
        <w:gridCol w:w="601"/>
        <w:gridCol w:w="146"/>
        <w:gridCol w:w="146"/>
        <w:gridCol w:w="199"/>
        <w:gridCol w:w="148"/>
        <w:gridCol w:w="584"/>
        <w:gridCol w:w="166"/>
        <w:gridCol w:w="146"/>
        <w:gridCol w:w="196"/>
        <w:gridCol w:w="146"/>
        <w:gridCol w:w="661"/>
        <w:gridCol w:w="166"/>
        <w:gridCol w:w="146"/>
        <w:gridCol w:w="196"/>
        <w:gridCol w:w="146"/>
        <w:gridCol w:w="571"/>
        <w:gridCol w:w="166"/>
        <w:gridCol w:w="146"/>
        <w:gridCol w:w="196"/>
        <w:gridCol w:w="146"/>
        <w:gridCol w:w="601"/>
        <w:gridCol w:w="191"/>
      </w:tblGrid>
      <w:tr>
        <w:trPr/>
        <w:tc>
          <w:tcPr>
            <w:tcW w:w="2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3"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99" w:type="dxa"/>
            <w:gridSpan w:val="3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Income Earned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as of December 31, 2022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Additions</w:t>
            </w:r>
            <w:r>
              <w:rPr>
                <w:rFonts w:ascii="Times New Roman" w:hAnsi="Times New Roman"/>
                <w:b/>
                <w:color w:val="000000"/>
                <w:sz w:val="11"/>
              </w:rPr>
              <w:t>(1)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3"/>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Reductions</w:t>
            </w:r>
            <w:r>
              <w:rPr>
                <w:rFonts w:ascii="Times New Roman" w:hAnsi="Times New Roman"/>
                <w:b/>
                <w:color w:val="000000"/>
                <w:sz w:val="11"/>
              </w:rPr>
              <w:t>(2)</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Realized Gain (Loss)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 Gain (Loss)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 as of December 31, 2023</w:t>
            </w:r>
            <w:r>
              <w:rPr>
                <w:rFonts w:ascii="Times New Roman" w:hAnsi="Times New Roman"/>
                <w:b/>
                <w:color w:val="000000"/>
                <w:sz w:val="11"/>
              </w:rPr>
              <w:t>(3)</w:t>
            </w:r>
          </w:p>
        </w:tc>
        <w:tc>
          <w:tcPr>
            <w:tcW w:w="191" w:type="dxa"/>
            <w:tcBorders/>
            <w:shd w:fill="FFFFFF" w:val="clear"/>
            <w:vAlign w:val="center"/>
          </w:tcPr>
          <w:p>
            <w:pPr>
              <w:pStyle w:val="TableContents"/>
              <w:bidi w:val="0"/>
              <w:spacing w:before="0" w:after="283"/>
              <w:jc w:val="center"/>
              <w:rPr/>
            </w:pPr>
            <w:r>
              <w:rPr/>
              <w:t> </w:t>
            </w:r>
          </w:p>
        </w:tc>
      </w:tr>
      <w:tr>
        <w:trPr/>
        <w:tc>
          <w:tcPr>
            <w:tcW w:w="12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Investment </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3" w:type="dxa"/>
            <w:gridSpan w:val="7"/>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3070"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SOFR+8.75%, 8.00% ceiling, 5.00% ETP, due 11/30/2026</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3070"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3070"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91" w:type="dxa"/>
            <w:tcBorders/>
            <w:shd w:fill="CFF0FC" w:val="cle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21,461</w:t>
            </w:r>
          </w:p>
        </w:tc>
        <w:tc>
          <w:tcPr>
            <w:tcW w:w="191" w:type="dxa"/>
            <w:tcBorders/>
            <w:shd w:fill="FFFFFF" w:val="cle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3070"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3070"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w:t>
            </w:r>
          </w:p>
        </w:tc>
        <w:tc>
          <w:tcPr>
            <w:tcW w:w="191" w:type="dxa"/>
            <w:tcBorders/>
            <w:shd w:fill="FFFFFF" w:val="cle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3070" w:type="dxa"/>
            <w:gridSpan w:val="6"/>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3" w:type="dxa"/>
            <w:gridSpan w:val="7"/>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Affiliate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3" w:type="dxa"/>
            <w:gridSpan w:val="7"/>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Control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3070"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LIBOR+8.50% PIK, 11.00% floor, 4.00% ETP, due 10/15/2023</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3070"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3070"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3070" w:type="dxa"/>
            <w:gridSpan w:val="6"/>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3" w:type="dxa"/>
            <w:gridSpan w:val="7"/>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Control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Gross additions includes increases in the basis of investments resulting from new portfolio investments, PIK interest, accretion of original issue discount (“OID”), the exchange of one or more existing investments for one or more new investments and the movement of an existing portfolio company into this category from a different category.</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sz w:val="20"/>
        </w:rPr>
      </w:pPr>
      <w:r>
        <w:rPr>
          <w:rFonts w:ascii="Times New Roman" w:hAnsi="Times New Roman"/>
          <w:color w:val="000000"/>
          <w:sz w:val="16"/>
        </w:rPr>
        <w:t>All investments in the portfolio companies, which as of December 31, 2023 represented 9.58%</w:t>
      </w:r>
      <w:r>
        <w:rPr>
          <w:rFonts w:ascii="Times New Roman" w:hAnsi="Times New Roman"/>
          <w:color w:val="000000"/>
          <w:sz w:val="20"/>
        </w:rPr>
        <w:t xml:space="preserve"> </w:t>
      </w:r>
      <w:r>
        <w:rPr>
          <w:rFonts w:ascii="Times New Roman" w:hAnsi="Times New Roman"/>
          <w:color w:val="000000"/>
          <w:sz w:val="16"/>
        </w:rPr>
        <w:t>of the Company’s net assets, may be deemed to be restricted securities under the Securities Act, and were valued at fair value as determined in good faith by the Company’s Board of Directors.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Company’s affiliate and control investments as of December 31, 2022 along with the transactions during the year ended December 31, 2022 are as follows (in thousands):</w:t>
      </w:r>
    </w:p>
    <w:tbl>
      <w:tblPr>
        <w:tblW w:w="10713" w:type="dxa"/>
        <w:jc w:val="left"/>
        <w:tblInd w:w="0" w:type="dxa"/>
        <w:tblLayout w:type="fixed"/>
        <w:tblCellMar>
          <w:top w:w="28" w:type="dxa"/>
          <w:left w:w="28" w:type="dxa"/>
          <w:bottom w:w="28" w:type="dxa"/>
          <w:right w:w="28" w:type="dxa"/>
        </w:tblCellMar>
      </w:tblPr>
      <w:tblGrid>
        <w:gridCol w:w="293"/>
        <w:gridCol w:w="524"/>
        <w:gridCol w:w="291"/>
        <w:gridCol w:w="146"/>
        <w:gridCol w:w="931"/>
        <w:gridCol w:w="146"/>
        <w:gridCol w:w="207"/>
        <w:gridCol w:w="154"/>
        <w:gridCol w:w="540"/>
        <w:gridCol w:w="146"/>
        <w:gridCol w:w="146"/>
        <w:gridCol w:w="196"/>
        <w:gridCol w:w="146"/>
        <w:gridCol w:w="601"/>
        <w:gridCol w:w="146"/>
        <w:gridCol w:w="146"/>
        <w:gridCol w:w="196"/>
        <w:gridCol w:w="146"/>
        <w:gridCol w:w="511"/>
        <w:gridCol w:w="146"/>
        <w:gridCol w:w="146"/>
        <w:gridCol w:w="196"/>
        <w:gridCol w:w="146"/>
        <w:gridCol w:w="661"/>
        <w:gridCol w:w="166"/>
        <w:gridCol w:w="146"/>
        <w:gridCol w:w="196"/>
        <w:gridCol w:w="146"/>
        <w:gridCol w:w="571"/>
        <w:gridCol w:w="166"/>
        <w:gridCol w:w="146"/>
        <w:gridCol w:w="196"/>
        <w:gridCol w:w="146"/>
        <w:gridCol w:w="571"/>
        <w:gridCol w:w="166"/>
        <w:gridCol w:w="146"/>
        <w:gridCol w:w="196"/>
        <w:gridCol w:w="146"/>
        <w:gridCol w:w="511"/>
        <w:gridCol w:w="191"/>
      </w:tblGrid>
      <w:tr>
        <w:trPr/>
        <w:tc>
          <w:tcPr>
            <w:tcW w:w="29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3"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3"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of Investment Income Earned 2022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as of December 31, 2021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3"/>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Gross Additions</w:t>
            </w:r>
            <w:r>
              <w:rPr>
                <w:rFonts w:ascii="Times New Roman" w:hAnsi="Times New Roman"/>
                <w:b/>
                <w:color w:val="000000"/>
                <w:sz w:val="11"/>
              </w:rPr>
              <w:t>(1)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3" w:type="dxa"/>
            <w:gridSpan w:val="3"/>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Gross Reductions</w:t>
            </w:r>
            <w:r>
              <w:rPr>
                <w:rFonts w:ascii="Times New Roman" w:hAnsi="Times New Roman"/>
                <w:b/>
                <w:color w:val="000000"/>
                <w:sz w:val="11"/>
              </w:rPr>
              <w:t>(2)</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Realized Gain (Loss)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 Gain (Loss)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3"/>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 as of December 31, 2022</w:t>
            </w:r>
            <w:r>
              <w:rPr>
                <w:rFonts w:ascii="Times New Roman" w:hAnsi="Times New Roman"/>
                <w:b/>
                <w:color w:val="000000"/>
                <w:sz w:val="11"/>
              </w:rPr>
              <w:t>(3)</w:t>
            </w:r>
          </w:p>
        </w:tc>
        <w:tc>
          <w:tcPr>
            <w:tcW w:w="191" w:type="dxa"/>
            <w:tcBorders/>
            <w:shd w:fill="FFFFFF" w:val="clear"/>
            <w:vAlign w:val="center"/>
          </w:tcPr>
          <w:p>
            <w:pPr>
              <w:pStyle w:val="TableContents"/>
              <w:bidi w:val="0"/>
              <w:spacing w:before="0" w:after="283"/>
              <w:jc w:val="center"/>
              <w:rPr/>
            </w:pPr>
            <w:r>
              <w:rPr/>
              <w:t> </w:t>
            </w:r>
          </w:p>
        </w:tc>
      </w:tr>
      <w:tr>
        <w:trPr/>
        <w:tc>
          <w:tcPr>
            <w:tcW w:w="11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1892"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815"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LIBOR+9.50% PIK, 10.81% floor, due 12/15/2022</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1892"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1892"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815"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961"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9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1892"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815"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 for Common Stock, exercise price $0.01/share, expires 3/9/2030</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1892"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1892"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Affiliate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85"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Control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1892"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815"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Mojix, Inc.</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LIBOR+12.00% , 12.00% cash cap, 5% ETP, due 1/15/2025</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4"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sz w:val="4"/>
                <w:szCs w:val="4"/>
              </w:rPr>
            </w:pPr>
            <w:r>
              <w:rPr>
                <w:sz w:val="4"/>
                <w:szCs w:val="4"/>
              </w:rPr>
            </w:r>
          </w:p>
        </w:tc>
        <w:tc>
          <w:tcPr>
            <w:tcW w:w="524"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LIBOR+12.00% , 12.00% cash cap, 5% ETP, due 1/15/2025</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sz w:val="4"/>
                <w:szCs w:val="4"/>
              </w:rPr>
            </w:pPr>
            <w:r>
              <w:rPr>
                <w:sz w:val="4"/>
                <w:szCs w:val="4"/>
              </w:rPr>
            </w:r>
          </w:p>
        </w:tc>
        <w:tc>
          <w:tcPr>
            <w:tcW w:w="524"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LIBOR+12.00% , 12.00% cash cap, 5% ETP, due 1/15/2025</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sz w:val="4"/>
                <w:szCs w:val="4"/>
              </w:rPr>
            </w:pPr>
            <w:r>
              <w:rPr>
                <w:sz w:val="4"/>
                <w:szCs w:val="4"/>
              </w:rPr>
            </w:r>
          </w:p>
        </w:tc>
        <w:tc>
          <w:tcPr>
            <w:tcW w:w="524"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LIBOR+12.00% , 12.00% cash cap, 5% ETP, due 1/15/2025</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sz w:val="4"/>
                <w:szCs w:val="4"/>
              </w:rPr>
            </w:pPr>
            <w:r>
              <w:rPr>
                <w:sz w:val="4"/>
                <w:szCs w:val="4"/>
              </w:rPr>
            </w:r>
          </w:p>
        </w:tc>
        <w:tc>
          <w:tcPr>
            <w:tcW w:w="524"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LIBOR+12.00% , 12.00% cash cap, 5% ETP, due 1/15/2025</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sz w:val="4"/>
                <w:szCs w:val="4"/>
              </w:rPr>
            </w:pPr>
            <w:r>
              <w:rPr>
                <w:sz w:val="4"/>
                <w:szCs w:val="4"/>
              </w:rPr>
            </w:r>
          </w:p>
        </w:tc>
        <w:tc>
          <w:tcPr>
            <w:tcW w:w="524"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LIBOR+12.00% , 12.00% cash cap, 5% ETP, due 1/15/2025</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815"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LIBOR+8.50% PIK, 11.00% floor, due 11/15/2022</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1892"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961"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815"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Mojix, Inc.</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815" w:type="dxa"/>
            <w:gridSpan w:val="2"/>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Holdings, Inc.</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1 Preferred Stock</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1892"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961"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815" w:type="dxa"/>
            <w:gridSpan w:val="2"/>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Mojix, Inc.</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 for Common Stock, exercise price $1.286/share, expires 12/13/2030</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sz w:val="4"/>
                <w:szCs w:val="4"/>
              </w:rPr>
            </w:pPr>
            <w:r>
              <w:rPr>
                <w:sz w:val="4"/>
                <w:szCs w:val="4"/>
              </w:rPr>
            </w:r>
          </w:p>
        </w:tc>
        <w:tc>
          <w:tcPr>
            <w:tcW w:w="524"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 for Common Stock, exercise price $2.1286/share, expires 12/13/2030</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sz w:val="4"/>
                <w:szCs w:val="4"/>
              </w:rPr>
            </w:pPr>
            <w:r>
              <w:rPr>
                <w:sz w:val="4"/>
                <w:szCs w:val="4"/>
              </w:rPr>
            </w:r>
          </w:p>
        </w:tc>
        <w:tc>
          <w:tcPr>
            <w:tcW w:w="524"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 for Common Stock, exercise price $5.57338/share, expires 12/13/2030</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1892"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85"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Control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Gross additions includes increases in the basis of investments resulting from new portfolio investments, PIK interest, accretion of original issue discount (“OID”), the exchange of one or more existing investments for one or more new investments and the movement of an existing portfolio company into this category from a different category.</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sz w:val="20"/>
        </w:rPr>
      </w:pPr>
      <w:r>
        <w:rPr>
          <w:rFonts w:ascii="Times New Roman" w:hAnsi="Times New Roman"/>
          <w:color w:val="000000"/>
          <w:sz w:val="16"/>
        </w:rPr>
        <w:t>All investments in the portfolio company, which as of December 31, 2022 represented 1.97%</w:t>
      </w:r>
      <w:r>
        <w:rPr>
          <w:rFonts w:ascii="Times New Roman" w:hAnsi="Times New Roman"/>
          <w:color w:val="000000"/>
          <w:sz w:val="20"/>
        </w:rPr>
        <w:t xml:space="preserve"> </w:t>
      </w:r>
      <w:r>
        <w:rPr>
          <w:rFonts w:ascii="Times New Roman" w:hAnsi="Times New Roman"/>
          <w:color w:val="000000"/>
          <w:sz w:val="16"/>
        </w:rPr>
        <w:t>of the Company’s net assets, may be deemed to be restricted securities under the Securities Act, and were valued at fair value as determined in good faith by the Company’s Board of Directors.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Portfolio Composition</w:t>
      </w:r>
    </w:p>
    <w:p>
      <w:pPr>
        <w:pStyle w:val="TextBody"/>
        <w:bidi w:val="0"/>
        <w:jc w:val="both"/>
        <w:rPr>
          <w:rFonts w:ascii="Times New Roman" w:hAnsi="Times New Roman"/>
          <w:color w:val="000000"/>
          <w:sz w:val="20"/>
        </w:rPr>
      </w:pPr>
      <w:r>
        <w:rPr>
          <w:rFonts w:ascii="Times New Roman" w:hAnsi="Times New Roman"/>
          <w:color w:val="000000"/>
          <w:sz w:val="20"/>
        </w:rPr>
        <w:t>The following tables show the fair value of the Company's portfolio of investment, excluding U.S. Treasury Bills (in thousands) by geographic region and industry as of December 31, 2023 and December 31, 2022:</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71"/>
        <w:gridCol w:w="146"/>
        <w:gridCol w:w="312"/>
        <w:gridCol w:w="232"/>
        <w:gridCol w:w="1316"/>
        <w:gridCol w:w="146"/>
        <w:gridCol w:w="146"/>
        <w:gridCol w:w="218"/>
        <w:gridCol w:w="900"/>
        <w:gridCol w:w="218"/>
        <w:gridCol w:w="450"/>
        <w:gridCol w:w="146"/>
        <w:gridCol w:w="312"/>
        <w:gridCol w:w="232"/>
        <w:gridCol w:w="1316"/>
        <w:gridCol w:w="146"/>
        <w:gridCol w:w="146"/>
        <w:gridCol w:w="201"/>
        <w:gridCol w:w="829"/>
        <w:gridCol w:w="201"/>
        <w:gridCol w:w="621"/>
      </w:tblGrid>
      <w:tr>
        <w:trPr/>
        <w:tc>
          <w:tcPr>
            <w:tcW w:w="1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38"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0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r>
      <w:tr>
        <w:trPr/>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Geographic Region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r>
      <w:tr>
        <w:trPr/>
        <w:tc>
          <w:tcPr>
            <w:tcW w:w="19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United States</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54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8" w:type="dxa"/>
            <w:gridSpan w:val="2"/>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54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ind w:left="0" w:right="0" w:firstLine="100"/>
              <w:jc w:val="left"/>
              <w:rPr/>
            </w:pPr>
            <w:r>
              <w:rPr/>
              <w:t> </w:t>
            </w:r>
          </w:p>
        </w:tc>
      </w:tr>
      <w:tr>
        <w:trPr/>
        <w:tc>
          <w:tcPr>
            <w:tcW w:w="19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Western United States</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32"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404,541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73.94</w:t>
            </w:r>
          </w:p>
        </w:tc>
        <w:tc>
          <w:tcPr>
            <w:tcW w:w="218" w:type="dxa"/>
            <w:tcBorders/>
            <w:shd w:fill="CFF0FC" w:val="clear"/>
            <w:vAlign w:val="center"/>
          </w:tcPr>
          <w:p>
            <w:pPr>
              <w:pStyle w:val="TableContents"/>
              <w:bidi w:val="0"/>
              <w:spacing w:before="0" w:after="283"/>
              <w:jc w:val="left"/>
              <w:rPr/>
            </w:pPr>
            <w:r>
              <w:rPr/>
              <w:t> </w:t>
            </w:r>
          </w:p>
        </w:tc>
        <w:tc>
          <w:tcPr>
            <w:tcW w:w="450"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32"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346,372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60.13</w:t>
            </w:r>
          </w:p>
        </w:tc>
        <w:tc>
          <w:tcPr>
            <w:tcW w:w="201" w:type="dxa"/>
            <w:tcBorders/>
            <w:shd w:fill="CFF0FC" w:val="clear"/>
            <w:vAlign w:val="center"/>
          </w:tcPr>
          <w:p>
            <w:pPr>
              <w:pStyle w:val="TableContents"/>
              <w:bidi w:val="0"/>
              <w:spacing w:before="0" w:after="283"/>
              <w:jc w:val="left"/>
              <w:rPr/>
            </w:pPr>
            <w:r>
              <w:rPr/>
              <w:t> </w:t>
            </w:r>
          </w:p>
        </w:tc>
        <w:tc>
          <w:tcPr>
            <w:tcW w:w="621" w:type="dxa"/>
            <w:tcBorders/>
            <w:shd w:fill="CFF0FC"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w:t>
            </w:r>
          </w:p>
        </w:tc>
      </w:tr>
      <w:tr>
        <w:trPr/>
        <w:tc>
          <w:tcPr>
            <w:tcW w:w="19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Northeastern United States</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center"/>
              <w:rPr/>
            </w:pPr>
            <w:r>
              <w:rPr/>
              <w:t> </w:t>
            </w:r>
          </w:p>
        </w:tc>
        <w:tc>
          <w:tcPr>
            <w:tcW w:w="232"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239,444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43.77</w:t>
            </w:r>
          </w:p>
        </w:tc>
        <w:tc>
          <w:tcPr>
            <w:tcW w:w="218"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center"/>
              <w:rPr/>
            </w:pPr>
            <w:r>
              <w:rPr/>
              <w:t> </w:t>
            </w:r>
          </w:p>
        </w:tc>
        <w:tc>
          <w:tcPr>
            <w:tcW w:w="232"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351,654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61.04</w:t>
            </w:r>
          </w:p>
        </w:tc>
        <w:tc>
          <w:tcPr>
            <w:tcW w:w="201"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ind w:left="0" w:right="0" w:firstLine="100"/>
              <w:jc w:val="left"/>
              <w:rPr/>
            </w:pPr>
            <w:r>
              <w:rPr/>
              <w:t> </w:t>
            </w:r>
          </w:p>
        </w:tc>
      </w:tr>
      <w:tr>
        <w:trPr/>
        <w:tc>
          <w:tcPr>
            <w:tcW w:w="19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Midwestern United States</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center"/>
              <w:rPr/>
            </w:pPr>
            <w:r>
              <w:rPr/>
              <w:t> </w:t>
            </w:r>
          </w:p>
        </w:tc>
        <w:tc>
          <w:tcPr>
            <w:tcW w:w="232"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23.91</w:t>
            </w:r>
          </w:p>
        </w:tc>
        <w:tc>
          <w:tcPr>
            <w:tcW w:w="218" w:type="dxa"/>
            <w:tcBorders/>
            <w:shd w:fill="CFF0FC" w:val="clear"/>
            <w:vAlign w:val="center"/>
          </w:tcPr>
          <w:p>
            <w:pPr>
              <w:pStyle w:val="TableContents"/>
              <w:bidi w:val="0"/>
              <w:spacing w:before="0" w:after="283"/>
              <w:jc w:val="left"/>
              <w:rPr/>
            </w:pPr>
            <w:r>
              <w:rPr/>
              <w:t> </w:t>
            </w:r>
          </w:p>
        </w:tc>
        <w:tc>
          <w:tcPr>
            <w:tcW w:w="45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center"/>
              <w:rPr/>
            </w:pPr>
            <w:r>
              <w:rPr/>
              <w:t> </w:t>
            </w:r>
          </w:p>
        </w:tc>
        <w:tc>
          <w:tcPr>
            <w:tcW w:w="232"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w:t>
            </w:r>
          </w:p>
        </w:tc>
        <w:tc>
          <w:tcPr>
            <w:tcW w:w="201" w:type="dxa"/>
            <w:tcBorders/>
            <w:shd w:fill="CFF0FC" w:val="clear"/>
            <w:vAlign w:val="center"/>
          </w:tcPr>
          <w:p>
            <w:pPr>
              <w:pStyle w:val="TableContents"/>
              <w:bidi w:val="0"/>
              <w:spacing w:before="0" w:after="283"/>
              <w:jc w:val="left"/>
              <w:rPr/>
            </w:pPr>
            <w:r>
              <w:rPr/>
              <w:t> </w:t>
            </w:r>
          </w:p>
        </w:tc>
        <w:tc>
          <w:tcPr>
            <w:tcW w:w="621" w:type="dxa"/>
            <w:tcBorders/>
            <w:shd w:fill="CFF0FC" w:val="clear"/>
            <w:vAlign w:val="center"/>
          </w:tcPr>
          <w:p>
            <w:pPr>
              <w:pStyle w:val="TableContents"/>
              <w:bidi w:val="0"/>
              <w:spacing w:before="0" w:after="283"/>
              <w:ind w:left="0" w:right="0" w:firstLine="100"/>
              <w:jc w:val="left"/>
              <w:rPr/>
            </w:pPr>
            <w:r>
              <w:rPr/>
              <w:t> </w:t>
            </w:r>
          </w:p>
        </w:tc>
      </w:tr>
      <w:tr>
        <w:trPr/>
        <w:tc>
          <w:tcPr>
            <w:tcW w:w="19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South Central United States</w:t>
            </w:r>
          </w:p>
        </w:tc>
        <w:tc>
          <w:tcPr>
            <w:tcW w:w="146" w:type="dxa"/>
            <w:tcBorders/>
            <w:shd w:fill="FFFFFF" w:val="clear"/>
            <w:vAlign w:val="center"/>
          </w:tcPr>
          <w:p>
            <w:pPr>
              <w:pStyle w:val="TableContents"/>
              <w:bidi w:val="0"/>
              <w:spacing w:before="0" w:after="283"/>
              <w:jc w:val="center"/>
              <w:rPr/>
            </w:pPr>
            <w:r>
              <w:rPr/>
              <w:t> </w:t>
            </w:r>
          </w:p>
        </w:tc>
        <w:tc>
          <w:tcPr>
            <w:tcW w:w="312" w:type="dxa"/>
            <w:tcBorders/>
            <w:shd w:fill="FFFFFF" w:val="clear"/>
            <w:vAlign w:val="center"/>
          </w:tcPr>
          <w:p>
            <w:pPr>
              <w:pStyle w:val="TableContents"/>
              <w:bidi w:val="0"/>
              <w:spacing w:before="0" w:after="283"/>
              <w:jc w:val="center"/>
              <w:rPr/>
            </w:pPr>
            <w:r>
              <w:rPr/>
              <w:t> </w:t>
            </w:r>
          </w:p>
        </w:tc>
        <w:tc>
          <w:tcPr>
            <w:tcW w:w="232"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16.05</w:t>
            </w:r>
          </w:p>
        </w:tc>
        <w:tc>
          <w:tcPr>
            <w:tcW w:w="218"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center"/>
              <w:rPr/>
            </w:pPr>
            <w:r>
              <w:rPr/>
              <w:t> </w:t>
            </w:r>
          </w:p>
        </w:tc>
        <w:tc>
          <w:tcPr>
            <w:tcW w:w="232"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14.76</w:t>
            </w:r>
          </w:p>
        </w:tc>
        <w:tc>
          <w:tcPr>
            <w:tcW w:w="201"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ind w:left="0" w:right="0" w:firstLine="100"/>
              <w:jc w:val="left"/>
              <w:rPr/>
            </w:pPr>
            <w:r>
              <w:rPr/>
              <w:t> </w:t>
            </w:r>
          </w:p>
        </w:tc>
      </w:tr>
      <w:tr>
        <w:trPr/>
        <w:tc>
          <w:tcPr>
            <w:tcW w:w="19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Northwestern United States</w:t>
            </w:r>
          </w:p>
        </w:tc>
        <w:tc>
          <w:tcPr>
            <w:tcW w:w="146" w:type="dxa"/>
            <w:tcBorders/>
            <w:shd w:fill="CFF0FC" w:val="clear"/>
            <w:vAlign w:val="center"/>
          </w:tcPr>
          <w:p>
            <w:pPr>
              <w:pStyle w:val="TableContents"/>
              <w:bidi w:val="0"/>
              <w:spacing w:before="0" w:after="283"/>
              <w:jc w:val="center"/>
              <w:rPr/>
            </w:pPr>
            <w:r>
              <w:rPr/>
              <w:t> </w:t>
            </w:r>
          </w:p>
        </w:tc>
        <w:tc>
          <w:tcPr>
            <w:tcW w:w="312" w:type="dxa"/>
            <w:tcBorders/>
            <w:shd w:fill="CFF0FC" w:val="clear"/>
            <w:vAlign w:val="center"/>
          </w:tcPr>
          <w:p>
            <w:pPr>
              <w:pStyle w:val="TableContents"/>
              <w:bidi w:val="0"/>
              <w:spacing w:before="0" w:after="283"/>
              <w:jc w:val="center"/>
              <w:rPr/>
            </w:pPr>
            <w:r>
              <w:rPr/>
              <w:t> </w:t>
            </w:r>
          </w:p>
        </w:tc>
        <w:tc>
          <w:tcPr>
            <w:tcW w:w="232"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w:t>
            </w:r>
          </w:p>
        </w:tc>
        <w:tc>
          <w:tcPr>
            <w:tcW w:w="218" w:type="dxa"/>
            <w:tcBorders/>
            <w:shd w:fill="CFF0FC" w:val="clear"/>
            <w:vAlign w:val="center"/>
          </w:tcPr>
          <w:p>
            <w:pPr>
              <w:pStyle w:val="TableContents"/>
              <w:bidi w:val="0"/>
              <w:spacing w:before="0" w:after="283"/>
              <w:jc w:val="left"/>
              <w:rPr/>
            </w:pPr>
            <w:r>
              <w:rPr/>
              <w:t> </w:t>
            </w:r>
          </w:p>
        </w:tc>
        <w:tc>
          <w:tcPr>
            <w:tcW w:w="45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center"/>
              <w:rPr/>
            </w:pPr>
            <w:r>
              <w:rPr/>
              <w:t> </w:t>
            </w:r>
          </w:p>
        </w:tc>
        <w:tc>
          <w:tcPr>
            <w:tcW w:w="232"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12.61</w:t>
            </w:r>
          </w:p>
        </w:tc>
        <w:tc>
          <w:tcPr>
            <w:tcW w:w="201" w:type="dxa"/>
            <w:tcBorders/>
            <w:shd w:fill="CFF0FC" w:val="clear"/>
            <w:vAlign w:val="center"/>
          </w:tcPr>
          <w:p>
            <w:pPr>
              <w:pStyle w:val="TableContents"/>
              <w:bidi w:val="0"/>
              <w:spacing w:before="0" w:after="283"/>
              <w:jc w:val="left"/>
              <w:rPr/>
            </w:pPr>
            <w:r>
              <w:rPr/>
              <w:t> </w:t>
            </w:r>
          </w:p>
        </w:tc>
        <w:tc>
          <w:tcPr>
            <w:tcW w:w="621" w:type="dxa"/>
            <w:tcBorders/>
            <w:shd w:fill="CFF0FC" w:val="clear"/>
            <w:vAlign w:val="center"/>
          </w:tcPr>
          <w:p>
            <w:pPr>
              <w:pStyle w:val="TableContents"/>
              <w:bidi w:val="0"/>
              <w:spacing w:before="0" w:after="283"/>
              <w:ind w:left="0" w:right="0" w:firstLine="100"/>
              <w:jc w:val="left"/>
              <w:rPr/>
            </w:pPr>
            <w:r>
              <w:rPr/>
              <w:t> </w:t>
            </w:r>
          </w:p>
        </w:tc>
      </w:tr>
      <w:tr>
        <w:trPr/>
        <w:tc>
          <w:tcPr>
            <w:tcW w:w="19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Southeastern United States</w:t>
            </w:r>
          </w:p>
        </w:tc>
        <w:tc>
          <w:tcPr>
            <w:tcW w:w="146" w:type="dxa"/>
            <w:tcBorders/>
            <w:shd w:fill="FFFFFF" w:val="clear"/>
            <w:vAlign w:val="center"/>
          </w:tcPr>
          <w:p>
            <w:pPr>
              <w:pStyle w:val="TableContents"/>
              <w:bidi w:val="0"/>
              <w:spacing w:before="0" w:after="283"/>
              <w:jc w:val="center"/>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7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United States</w:t>
            </w:r>
          </w:p>
        </w:tc>
        <w:tc>
          <w:tcPr>
            <w:tcW w:w="146" w:type="dxa"/>
            <w:tcBorders/>
            <w:shd w:fill="CFF0FC" w:val="clear"/>
            <w:vAlign w:val="center"/>
          </w:tcPr>
          <w:p>
            <w:pPr>
              <w:pStyle w:val="TableContents"/>
              <w:bidi w:val="0"/>
              <w:spacing w:before="0" w:after="283"/>
              <w:jc w:val="center"/>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888,917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162.48</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174.50</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tcBorders/>
            <w:shd w:fill="FFFFFF" w:val="clear"/>
            <w:vAlign w:val="center"/>
          </w:tcPr>
          <w:p>
            <w:pPr>
              <w:pStyle w:val="TableContents"/>
              <w:bidi w:val="0"/>
              <w:spacing w:before="0" w:after="283"/>
              <w:jc w:val="center"/>
              <w:rPr/>
            </w:pPr>
            <w:r>
              <w:rPr/>
              <w:t> </w:t>
            </w:r>
          </w:p>
        </w:tc>
        <w:tc>
          <w:tcPr>
            <w:tcW w:w="154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8" w:type="dxa"/>
            <w:gridSpan w:val="2"/>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center"/>
              <w:rPr/>
            </w:pPr>
            <w:r>
              <w:rPr/>
              <w:t> </w:t>
            </w:r>
          </w:p>
        </w:tc>
        <w:tc>
          <w:tcPr>
            <w:tcW w:w="154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left"/>
              <w:rPr/>
            </w:pPr>
            <w:r>
              <w:rPr/>
              <w:t> </w:t>
            </w:r>
          </w:p>
        </w:tc>
      </w:tr>
      <w:tr>
        <w:trPr/>
        <w:tc>
          <w:tcPr>
            <w:tcW w:w="19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Kingdom</w:t>
            </w:r>
          </w:p>
        </w:tc>
        <w:tc>
          <w:tcPr>
            <w:tcW w:w="146" w:type="dxa"/>
            <w:tcBorders/>
            <w:shd w:fill="CFF0FC" w:val="clear"/>
            <w:vAlign w:val="center"/>
          </w:tcPr>
          <w:p>
            <w:pPr>
              <w:pStyle w:val="TableContents"/>
              <w:bidi w:val="0"/>
              <w:spacing w:before="0" w:after="283"/>
              <w:jc w:val="center"/>
              <w:rPr/>
            </w:pPr>
            <w:r>
              <w:rPr/>
              <w:t> </w:t>
            </w:r>
          </w:p>
        </w:tc>
        <w:tc>
          <w:tcPr>
            <w:tcW w:w="312" w:type="dxa"/>
            <w:tcBorders/>
            <w:shd w:fill="CFF0FC" w:val="clear"/>
            <w:vAlign w:val="center"/>
          </w:tcPr>
          <w:p>
            <w:pPr>
              <w:pStyle w:val="TableContents"/>
              <w:bidi w:val="0"/>
              <w:spacing w:before="0" w:after="283"/>
              <w:jc w:val="center"/>
              <w:rPr/>
            </w:pPr>
            <w:r>
              <w:rPr/>
              <w:t> </w:t>
            </w:r>
          </w:p>
        </w:tc>
        <w:tc>
          <w:tcPr>
            <w:tcW w:w="232"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w:t>
            </w:r>
          </w:p>
        </w:tc>
        <w:tc>
          <w:tcPr>
            <w:tcW w:w="218" w:type="dxa"/>
            <w:tcBorders/>
            <w:shd w:fill="CFF0FC" w:val="clear"/>
            <w:vAlign w:val="center"/>
          </w:tcPr>
          <w:p>
            <w:pPr>
              <w:pStyle w:val="TableContents"/>
              <w:bidi w:val="0"/>
              <w:spacing w:before="0" w:after="283"/>
              <w:jc w:val="left"/>
              <w:rPr/>
            </w:pPr>
            <w:r>
              <w:rPr/>
              <w:t> </w:t>
            </w:r>
          </w:p>
        </w:tc>
        <w:tc>
          <w:tcPr>
            <w:tcW w:w="45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center"/>
              <w:rPr/>
            </w:pPr>
            <w:r>
              <w:rPr/>
              <w:t> </w:t>
            </w:r>
          </w:p>
        </w:tc>
        <w:tc>
          <w:tcPr>
            <w:tcW w:w="232"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10.55</w:t>
            </w:r>
          </w:p>
        </w:tc>
        <w:tc>
          <w:tcPr>
            <w:tcW w:w="201" w:type="dxa"/>
            <w:tcBorders/>
            <w:shd w:fill="CFF0FC" w:val="clear"/>
            <w:vAlign w:val="center"/>
          </w:tcPr>
          <w:p>
            <w:pPr>
              <w:pStyle w:val="TableContents"/>
              <w:bidi w:val="0"/>
              <w:spacing w:before="0" w:after="283"/>
              <w:jc w:val="left"/>
              <w:rPr/>
            </w:pPr>
            <w:r>
              <w:rPr/>
              <w:t> </w:t>
            </w:r>
          </w:p>
        </w:tc>
        <w:tc>
          <w:tcPr>
            <w:tcW w:w="621" w:type="dxa"/>
            <w:tcBorders/>
            <w:shd w:fill="CFF0FC" w:val="cle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Germany</w:t>
            </w:r>
          </w:p>
        </w:tc>
        <w:tc>
          <w:tcPr>
            <w:tcW w:w="146" w:type="dxa"/>
            <w:tcBorders/>
            <w:shd w:fill="FFFFFF" w:val="clear"/>
            <w:vAlign w:val="center"/>
          </w:tcPr>
          <w:p>
            <w:pPr>
              <w:pStyle w:val="TableContents"/>
              <w:bidi w:val="0"/>
              <w:spacing w:before="0" w:after="283"/>
              <w:jc w:val="center"/>
              <w:rPr/>
            </w:pPr>
            <w:r>
              <w:rPr/>
              <w:t> </w:t>
            </w:r>
          </w:p>
        </w:tc>
        <w:tc>
          <w:tcPr>
            <w:tcW w:w="312" w:type="dxa"/>
            <w:tcBorders/>
            <w:shd w:fill="FFFFFF" w:val="clear"/>
            <w:vAlign w:val="center"/>
          </w:tcPr>
          <w:p>
            <w:pPr>
              <w:pStyle w:val="TableContents"/>
              <w:bidi w:val="0"/>
              <w:spacing w:before="0" w:after="283"/>
              <w:jc w:val="center"/>
              <w:rPr/>
            </w:pPr>
            <w:r>
              <w:rPr/>
              <w:t> </w:t>
            </w:r>
          </w:p>
        </w:tc>
        <w:tc>
          <w:tcPr>
            <w:tcW w:w="232"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w:t>
            </w:r>
          </w:p>
        </w:tc>
        <w:tc>
          <w:tcPr>
            <w:tcW w:w="218"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center"/>
              <w:rPr/>
            </w:pPr>
            <w:r>
              <w:rPr/>
              <w:t> </w:t>
            </w:r>
          </w:p>
        </w:tc>
        <w:tc>
          <w:tcPr>
            <w:tcW w:w="232"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w:t>
            </w:r>
          </w:p>
        </w:tc>
        <w:tc>
          <w:tcPr>
            <w:tcW w:w="201"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left"/>
              <w:rPr/>
            </w:pPr>
            <w:r>
              <w:rPr/>
              <w:t> </w:t>
            </w:r>
          </w:p>
        </w:tc>
      </w:tr>
      <w:tr>
        <w:trPr/>
        <w:tc>
          <w:tcPr>
            <w:tcW w:w="19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CFF0FC" w:val="clear"/>
            <w:vAlign w:val="center"/>
          </w:tcPr>
          <w:p>
            <w:pPr>
              <w:pStyle w:val="TableContents"/>
              <w:bidi w:val="0"/>
              <w:spacing w:before="0" w:after="283"/>
              <w:jc w:val="center"/>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187.36</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1,126,309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195.52</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83"/>
        <w:gridCol w:w="146"/>
        <w:gridCol w:w="286"/>
        <w:gridCol w:w="212"/>
        <w:gridCol w:w="1206"/>
        <w:gridCol w:w="146"/>
        <w:gridCol w:w="146"/>
        <w:gridCol w:w="210"/>
        <w:gridCol w:w="866"/>
        <w:gridCol w:w="210"/>
        <w:gridCol w:w="347"/>
        <w:gridCol w:w="146"/>
        <w:gridCol w:w="286"/>
        <w:gridCol w:w="212"/>
        <w:gridCol w:w="1206"/>
        <w:gridCol w:w="146"/>
        <w:gridCol w:w="146"/>
        <w:gridCol w:w="200"/>
        <w:gridCol w:w="825"/>
        <w:gridCol w:w="200"/>
        <w:gridCol w:w="480"/>
      </w:tblGrid>
      <w:tr>
        <w:trPr/>
        <w:tc>
          <w:tcPr>
            <w:tcW w:w="2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25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2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0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r>
      <w:tr>
        <w:trPr/>
        <w:tc>
          <w:tcPr>
            <w:tcW w:w="2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r>
      <w:tr>
        <w:trPr/>
        <w:tc>
          <w:tcPr>
            <w:tcW w:w="25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Application Software</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200,645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36.67</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184,084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31.96</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25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Technology</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33.30</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240,844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41.81</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Human Resource &amp; Employment Services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20.95</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16.98</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System Software</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20.74</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13.58</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Data Processing &amp; Outsourced Services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16.91</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Internet Software and Services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149,780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&amp; Casualty Insurance</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Internet &amp; Direct Marketing Retail</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Electronic Equipment &amp; Instruments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13.56</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Education Services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Equipment</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 Management &amp; Custody Banks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Technology Hardware, Storage &amp; Peripherals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0.19</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Specialized Consumer Services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0.14</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Advertising</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Biotechnology</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Computer &amp; Electronics Retail</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187.36</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1,126,309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195.52</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Derivative Financial Instruments</w:t>
      </w:r>
    </w:p>
    <w:p>
      <w:pPr>
        <w:pStyle w:val="TextBody"/>
        <w:bidi w:val="0"/>
        <w:jc w:val="both"/>
        <w:rPr>
          <w:rFonts w:ascii="Times New Roman" w:hAnsi="Times New Roman"/>
          <w:color w:val="000000"/>
          <w:sz w:val="20"/>
        </w:rPr>
      </w:pPr>
      <w:r>
        <w:rPr>
          <w:rFonts w:ascii="Times New Roman" w:hAnsi="Times New Roman"/>
          <w:color w:val="000000"/>
          <w:sz w:val="20"/>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Warrants provide exposure and potential gains upon equity gains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For the year ended December 31, 2023, the Company had net realized gain (loss) of $(1.4) million and a net unrealized gain (loss) of $(5.2) million from its investments in warrants. For the year ended December 31, 2022, the Company had net realized gain (loss) of $(0.9) million and a net unrealized gain (loss) of $(2.3) million from its investments in warrants. For the year ended December 31, 2021, the Company had net realized gain (loss) of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$0.8 million and a net unrealized gain (loss) of $2.8 million from its investments in warrants. Realized gains (losses) from warrants are included in the respective control, affiliate, or non-control/non-affiliate Net realized gain (loss) on investments on the Statement of Operations. Net change in unrealized gain (loss) from investments in warrants is included in the respective control, affiliate, or non-control/non-affiliate Net change in unrealized gain (loss) on investments on the Statement of Operations.</w:t>
      </w:r>
    </w:p>
    <w:p>
      <w:pPr>
        <w:pStyle w:val="TextBody"/>
        <w:bidi w:val="0"/>
        <w:jc w:val="both"/>
        <w:rPr>
          <w:rFonts w:ascii="Times New Roman" w:hAnsi="Times New Roman"/>
          <w:color w:val="000000"/>
          <w:sz w:val="20"/>
        </w:rPr>
      </w:pPr>
      <w:r>
        <w:rPr>
          <w:rFonts w:ascii="Times New Roman" w:hAnsi="Times New Roman"/>
          <w:color w:val="000000"/>
          <w:sz w:val="20"/>
        </w:rPr>
        <w:t>Counterparty risk exists from the potential failure of an issuer of warrants to settle its exercised warrants. The maximum risk of loss from counterparty risk is the fair value of the contracts and the purchase price of the warrants. The Company’s Board of Directors considers the effects of counterparty risk when determining the fair value of its investments in warrants.</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5 — Fair Value of Financial Instruments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assets recorded at fair value have been categorized based upon a fair value hierarchy in accordance with ASC Topic 820. Refer to "Note 2 — Summary of Significant Accounting Policies" for a discussion of the Company’s policies.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Investments measured at fair value on a recurring basis are categorized in the tables below based upon the lowest level of significant input to the valuations as of December 31, 2023 and 2022, (in thousands):</w:t>
      </w:r>
    </w:p>
    <w:tbl>
      <w:tblPr>
        <w:tblW w:w="7811" w:type="dxa"/>
        <w:jc w:val="left"/>
        <w:tblInd w:w="0" w:type="dxa"/>
        <w:tblLayout w:type="fixed"/>
        <w:tblCellMar>
          <w:top w:w="28" w:type="dxa"/>
          <w:left w:w="28" w:type="dxa"/>
          <w:bottom w:w="28" w:type="dxa"/>
          <w:right w:w="28" w:type="dxa"/>
        </w:tblCellMar>
      </w:tblPr>
      <w:tblGrid>
        <w:gridCol w:w="2216"/>
        <w:gridCol w:w="246"/>
        <w:gridCol w:w="246"/>
        <w:gridCol w:w="146"/>
        <w:gridCol w:w="511"/>
        <w:gridCol w:w="146"/>
        <w:gridCol w:w="146"/>
        <w:gridCol w:w="196"/>
        <w:gridCol w:w="146"/>
        <w:gridCol w:w="601"/>
        <w:gridCol w:w="146"/>
        <w:gridCol w:w="146"/>
        <w:gridCol w:w="196"/>
        <w:gridCol w:w="146"/>
        <w:gridCol w:w="826"/>
        <w:gridCol w:w="146"/>
        <w:gridCol w:w="146"/>
        <w:gridCol w:w="196"/>
        <w:gridCol w:w="146"/>
        <w:gridCol w:w="826"/>
        <w:gridCol w:w="291"/>
      </w:tblGrid>
      <w:tr>
        <w:trPr/>
        <w:tc>
          <w:tcPr>
            <w:tcW w:w="22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1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505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Investments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ind w:left="0" w:right="0" w:firstLine="100"/>
              <w:jc w:val="center"/>
              <w:rPr/>
            </w:pPr>
            <w:r>
              <w:rPr/>
              <w:t> </w:t>
            </w:r>
          </w:p>
        </w:tc>
      </w:tr>
      <w:tr>
        <w:trPr/>
        <w:tc>
          <w:tcPr>
            <w:tcW w:w="2216"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Senior Secured Term Loans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964,099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964,099</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216" w:type="dxa"/>
            <w:tcBorders/>
            <w:shd w:fill="CFF0FC"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Second Lien Term Loans</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14,399</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216"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Convertible Note</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216" w:type="dxa"/>
            <w:tcBorders/>
            <w:shd w:fill="CFF0FC"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Preferred Stock</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29,838</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216"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Common Stock</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216" w:type="dxa"/>
            <w:tcBorders/>
            <w:shd w:fill="CFF0FC"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Equity Interest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216"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Warrants</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12,947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Portfolio Investments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1,025,010</w:t>
            </w:r>
          </w:p>
        </w:tc>
        <w:tc>
          <w:tcPr>
            <w:tcW w:w="291" w:type="dxa"/>
            <w:tcBorders/>
            <w:shd w:fill="CFF0FC" w:val="clear"/>
            <w:vAlign w:val="center"/>
          </w:tcPr>
          <w:p>
            <w:pPr>
              <w:pStyle w:val="TableContents"/>
              <w:bidi w:val="0"/>
              <w:spacing w:before="0" w:after="283"/>
              <w:jc w:val="left"/>
              <w:rPr/>
            </w:pPr>
            <w:r>
              <w:rPr/>
              <w:t> </w:t>
            </w:r>
          </w:p>
        </w:tc>
      </w:tr>
      <w:tr>
        <w:trPr/>
        <w:tc>
          <w:tcPr>
            <w:tcW w:w="2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 Treasury Bill</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41,999</w:t>
            </w:r>
          </w:p>
        </w:tc>
        <w:tc>
          <w:tcPr>
            <w:tcW w:w="291" w:type="dxa"/>
            <w:tcBorders/>
            <w:shd w:fill="FFFFFF" w:val="clear"/>
            <w:vAlign w:val="center"/>
          </w:tcPr>
          <w:p>
            <w:pPr>
              <w:pStyle w:val="TableContents"/>
              <w:bidi w:val="0"/>
              <w:spacing w:before="0" w:after="283"/>
              <w:jc w:val="left"/>
              <w:rPr/>
            </w:pPr>
            <w:r>
              <w:rPr/>
              <w:t> </w:t>
            </w:r>
          </w:p>
        </w:tc>
      </w:tr>
      <w:tr>
        <w:trPr/>
        <w:tc>
          <w:tcPr>
            <w:tcW w:w="22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246" w:type="dxa"/>
            <w:tcBorders/>
            <w:shd w:fill="CFF0FC" w:val="clear"/>
            <w:vAlign w:val="center"/>
          </w:tcPr>
          <w:p>
            <w:pPr>
              <w:pStyle w:val="TableContents"/>
              <w:bidi w:val="0"/>
              <w:spacing w:before="0" w:after="283"/>
              <w:jc w:val="left"/>
              <w:rPr/>
            </w:pPr>
            <w:r>
              <w:rPr/>
              <w:t> </w:t>
            </w:r>
          </w:p>
        </w:tc>
        <w:tc>
          <w:tcPr>
            <w:tcW w:w="2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42,108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1,020,800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1,067,009</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661" w:type="dxa"/>
        <w:jc w:val="left"/>
        <w:tblInd w:w="0" w:type="dxa"/>
        <w:tblLayout w:type="fixed"/>
        <w:tblCellMar>
          <w:top w:w="28" w:type="dxa"/>
          <w:left w:w="28" w:type="dxa"/>
          <w:bottom w:w="28" w:type="dxa"/>
          <w:right w:w="28" w:type="dxa"/>
        </w:tblCellMar>
      </w:tblPr>
      <w:tblGrid>
        <w:gridCol w:w="2216"/>
        <w:gridCol w:w="146"/>
        <w:gridCol w:w="196"/>
        <w:gridCol w:w="146"/>
        <w:gridCol w:w="601"/>
        <w:gridCol w:w="146"/>
        <w:gridCol w:w="146"/>
        <w:gridCol w:w="196"/>
        <w:gridCol w:w="146"/>
        <w:gridCol w:w="511"/>
        <w:gridCol w:w="146"/>
        <w:gridCol w:w="146"/>
        <w:gridCol w:w="196"/>
        <w:gridCol w:w="146"/>
        <w:gridCol w:w="826"/>
        <w:gridCol w:w="146"/>
        <w:gridCol w:w="146"/>
        <w:gridCol w:w="196"/>
        <w:gridCol w:w="146"/>
        <w:gridCol w:w="826"/>
        <w:gridCol w:w="291"/>
      </w:tblGrid>
      <w:tr>
        <w:trPr/>
        <w:tc>
          <w:tcPr>
            <w:tcW w:w="2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0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4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216"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16"/>
              </w:rPr>
              <w:t>Senior Secured Term Loans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1,080,121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1,080,121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216"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16"/>
              </w:rPr>
              <w:t>Second Lien Term Loans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13,654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216"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16"/>
              </w:rPr>
              <w:t>Preferred Stock</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12,682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216"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3,097</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216"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Portfolio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1,111,946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1,126,309</w:t>
            </w:r>
          </w:p>
        </w:tc>
        <w:tc>
          <w:tcPr>
            <w:tcW w:w="291" w:type="dxa"/>
            <w:tcBorders/>
            <w:shd w:fill="CFF0FC" w:val="clear"/>
            <w:vAlign w:val="center"/>
          </w:tcPr>
          <w:p>
            <w:pPr>
              <w:pStyle w:val="TableContents"/>
              <w:bidi w:val="0"/>
              <w:spacing w:before="0" w:after="283"/>
              <w:jc w:val="left"/>
              <w:rPr/>
            </w:pPr>
            <w:r>
              <w:rPr/>
              <w:t> </w:t>
            </w:r>
          </w:p>
        </w:tc>
      </w:tr>
      <w:tr>
        <w:trPr/>
        <w:tc>
          <w:tcPr>
            <w:tcW w:w="2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equivalents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1,131,899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transfers investments in and out of Levels 1, 2 and 3 as of the beginning balance sheet date, based on changes in the use of observable and unobservable inputs utilized to perform the valuation for the period. During the period ended December 31, 2023, and December 31, 2022, the Company had common stock investments with restrictions lifted, resulting in an asset transfer out of Level 2 and into Level 1 at the fair value of $1.4 million and $5.4 million, respectively. During the period ended December 31, 2023, the Company had warrant investments in a portfolio company that went public, resulting in asset transfers out of Level 3 and into Level 2 at the fair value of $0.9 million. During the period ended December 31, 2022, the Company had warrant investments converted to common stock investments, resulting in asset transfers out of Level 3 and into Level 2 at the fair value of $2.2 million.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presents a rollforward of Level 3 assets measured at fair value as of December 31, 2023 (in thousands):</w:t>
      </w:r>
    </w:p>
    <w:tbl>
      <w:tblPr>
        <w:tblW w:w="10714" w:type="dxa"/>
        <w:jc w:val="left"/>
        <w:tblInd w:w="0" w:type="dxa"/>
        <w:tblLayout w:type="fixed"/>
        <w:tblCellMar>
          <w:top w:w="28" w:type="dxa"/>
          <w:left w:w="28" w:type="dxa"/>
          <w:bottom w:w="28" w:type="dxa"/>
          <w:right w:w="28" w:type="dxa"/>
        </w:tblCellMar>
      </w:tblPr>
      <w:tblGrid>
        <w:gridCol w:w="1036"/>
        <w:gridCol w:w="196"/>
        <w:gridCol w:w="146"/>
        <w:gridCol w:w="826"/>
        <w:gridCol w:w="166"/>
        <w:gridCol w:w="146"/>
        <w:gridCol w:w="146"/>
        <w:gridCol w:w="601"/>
        <w:gridCol w:w="146"/>
        <w:gridCol w:w="196"/>
        <w:gridCol w:w="213"/>
        <w:gridCol w:w="748"/>
        <w:gridCol w:w="146"/>
        <w:gridCol w:w="196"/>
        <w:gridCol w:w="158"/>
        <w:gridCol w:w="653"/>
        <w:gridCol w:w="166"/>
        <w:gridCol w:w="196"/>
        <w:gridCol w:w="170"/>
        <w:gridCol w:w="596"/>
        <w:gridCol w:w="166"/>
        <w:gridCol w:w="196"/>
        <w:gridCol w:w="184"/>
        <w:gridCol w:w="477"/>
        <w:gridCol w:w="146"/>
        <w:gridCol w:w="196"/>
        <w:gridCol w:w="158"/>
        <w:gridCol w:w="653"/>
        <w:gridCol w:w="166"/>
        <w:gridCol w:w="146"/>
        <w:gridCol w:w="196"/>
        <w:gridCol w:w="146"/>
        <w:gridCol w:w="826"/>
        <w:gridCol w:w="211"/>
      </w:tblGrid>
      <w:tr>
        <w:trPr/>
        <w:tc>
          <w:tcPr>
            <w:tcW w:w="10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Senior Secured Term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Second Lien </w:t>
              <w:br/>
              <w:t>Term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Preferred </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Common </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December 31, 2022</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1,080,121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13,654</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3"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4"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1,111,946</w:t>
            </w:r>
          </w:p>
        </w:tc>
        <w:tc>
          <w:tcPr>
            <w:tcW w:w="211" w:type="dxa"/>
            <w:tcBorders/>
            <w:shd w:fill="FFFFFF" w:val="cle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in(out) of Level 3</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Purchases of investments</w:t>
            </w:r>
            <w:r>
              <w:rPr>
                <w:rFonts w:ascii="Times New Roman" w:hAnsi="Times New Roman"/>
                <w:color w:val="000000"/>
                <w:sz w:val="11"/>
              </w:rPr>
              <w:t>(1)</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166,660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28,220</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200,054</w:t>
            </w:r>
          </w:p>
        </w:tc>
        <w:tc>
          <w:tcPr>
            <w:tcW w:w="211" w:type="dxa"/>
            <w:tcBorders/>
            <w:shd w:fill="FFFFFF" w:val="cle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PIK interest</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19,924</w:t>
            </w:r>
          </w:p>
        </w:tc>
        <w:tc>
          <w:tcPr>
            <w:tcW w:w="211" w:type="dxa"/>
            <w:tcBorders/>
            <w:shd w:fill="CFF0FC" w:val="cle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Sales or prepayments of investments</w:t>
            </w:r>
            <w:r>
              <w:rPr>
                <w:rFonts w:ascii="Times New Roman" w:hAnsi="Times New Roman"/>
                <w:color w:val="000000"/>
                <w:sz w:val="11"/>
              </w:rPr>
              <w:t>(1)</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(289,034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(289,078</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Scheduled principal repayments of investments</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(7,331</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fixed income premiums or accretion of discounts</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8,641</w:t>
            </w:r>
          </w:p>
        </w:tc>
        <w:tc>
          <w:tcPr>
            <w:tcW w:w="211" w:type="dxa"/>
            <w:tcBorders/>
            <w:shd w:fill="FFFFFF" w:val="clear"/>
            <w:vAlign w:val="center"/>
          </w:tcPr>
          <w:p>
            <w:pPr>
              <w:pStyle w:val="TableContents"/>
              <w:bidi w:val="0"/>
              <w:spacing w:before="0" w:after="283"/>
              <w:jc w:val="left"/>
              <w:rPr/>
            </w:pPr>
            <w:r>
              <w:rPr/>
              <w:t> </w:t>
            </w:r>
          </w:p>
        </w:tc>
      </w:tr>
      <w:tr>
        <w:trPr/>
        <w:tc>
          <w:tcPr>
            <w:tcW w:w="10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(17,013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(18,387</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December 31, 2023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1,020,800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 on Level 3 investments still held as of December 31, 2023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(16,117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6" w:space="1" w:color="000000"/>
        </w:pBdr>
        <w:bidi w:val="0"/>
        <w:jc w:val="both"/>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Net of reorganization and restructuring of investments.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presents a rollforward of Level 3 assets measured at fair value as of December 31, 2022 (in thousands):</w:t>
      </w:r>
    </w:p>
    <w:tbl>
      <w:tblPr>
        <w:tblW w:w="10205" w:type="dxa"/>
        <w:jc w:val="left"/>
        <w:tblInd w:w="0" w:type="dxa"/>
        <w:tblLayout w:type="fixed"/>
        <w:tblCellMar>
          <w:top w:w="28" w:type="dxa"/>
          <w:left w:w="28" w:type="dxa"/>
          <w:bottom w:w="28" w:type="dxa"/>
          <w:right w:w="28" w:type="dxa"/>
        </w:tblCellMar>
      </w:tblPr>
      <w:tblGrid>
        <w:gridCol w:w="1882"/>
        <w:gridCol w:w="146"/>
        <w:gridCol w:w="219"/>
        <w:gridCol w:w="163"/>
        <w:gridCol w:w="924"/>
        <w:gridCol w:w="166"/>
        <w:gridCol w:w="146"/>
        <w:gridCol w:w="225"/>
        <w:gridCol w:w="167"/>
        <w:gridCol w:w="691"/>
        <w:gridCol w:w="146"/>
        <w:gridCol w:w="146"/>
        <w:gridCol w:w="207"/>
        <w:gridCol w:w="154"/>
        <w:gridCol w:w="603"/>
        <w:gridCol w:w="166"/>
        <w:gridCol w:w="146"/>
        <w:gridCol w:w="205"/>
        <w:gridCol w:w="153"/>
        <w:gridCol w:w="599"/>
        <w:gridCol w:w="166"/>
        <w:gridCol w:w="146"/>
        <w:gridCol w:w="196"/>
        <w:gridCol w:w="146"/>
        <w:gridCol w:w="601"/>
        <w:gridCol w:w="166"/>
        <w:gridCol w:w="146"/>
        <w:gridCol w:w="196"/>
        <w:gridCol w:w="146"/>
        <w:gridCol w:w="826"/>
        <w:gridCol w:w="216"/>
      </w:tblGrid>
      <w:tr>
        <w:trPr/>
        <w:tc>
          <w:tcPr>
            <w:tcW w:w="1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8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Senior Secured Term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Lien Term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December 31, 2021</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3"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623,054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657,346</w:t>
            </w:r>
          </w:p>
        </w:tc>
        <w:tc>
          <w:tcPr>
            <w:tcW w:w="216" w:type="dxa"/>
            <w:tcBorders/>
            <w:shd w:fill="FFFFFF" w:val="clear"/>
            <w:vAlign w:val="center"/>
          </w:tcPr>
          <w:p>
            <w:pPr>
              <w:pStyle w:val="TableContents"/>
              <w:bidi w:val="0"/>
              <w:spacing w:before="0" w:after="283"/>
              <w:jc w:val="left"/>
              <w:rPr/>
            </w:pPr>
            <w:r>
              <w:rPr/>
              <w:t> </w:t>
            </w:r>
          </w:p>
        </w:tc>
      </w:tr>
      <w:tr>
        <w:trPr/>
        <w:tc>
          <w:tcPr>
            <w:tcW w:w="18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in(out) of Level 3</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(2,239</w:t>
            </w:r>
          </w:p>
        </w:tc>
        <w:tc>
          <w:tcPr>
            <w:tcW w:w="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82"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Purchases of investments</w:t>
            </w: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614,636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622,591</w:t>
            </w:r>
          </w:p>
        </w:tc>
        <w:tc>
          <w:tcPr>
            <w:tcW w:w="216" w:type="dxa"/>
            <w:tcBorders/>
            <w:shd w:fill="FFFFFF" w:val="clear"/>
            <w:vAlign w:val="center"/>
          </w:tcPr>
          <w:p>
            <w:pPr>
              <w:pStyle w:val="TableContents"/>
              <w:bidi w:val="0"/>
              <w:spacing w:before="0" w:after="283"/>
              <w:jc w:val="left"/>
              <w:rPr/>
            </w:pPr>
            <w:r>
              <w:rPr/>
              <w:t> </w:t>
            </w:r>
          </w:p>
        </w:tc>
      </w:tr>
      <w:tr>
        <w:trPr/>
        <w:tc>
          <w:tcPr>
            <w:tcW w:w="18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PIK interest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8,655</w:t>
            </w:r>
          </w:p>
        </w:tc>
        <w:tc>
          <w:tcPr>
            <w:tcW w:w="216" w:type="dxa"/>
            <w:tcBorders/>
            <w:shd w:fill="CFF0FC" w:val="clear"/>
            <w:vAlign w:val="center"/>
          </w:tcPr>
          <w:p>
            <w:pPr>
              <w:pStyle w:val="TableContents"/>
              <w:bidi w:val="0"/>
              <w:spacing w:before="0" w:after="283"/>
              <w:jc w:val="left"/>
              <w:rPr/>
            </w:pPr>
            <w:r>
              <w:rPr/>
              <w:t> </w:t>
            </w:r>
          </w:p>
        </w:tc>
      </w:tr>
      <w:tr>
        <w:trPr/>
        <w:tc>
          <w:tcPr>
            <w:tcW w:w="188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or prepayments of investments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(151,905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(154,213</w:t>
            </w:r>
          </w:p>
        </w:tc>
        <w:tc>
          <w:tcPr>
            <w:tcW w:w="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Scheduled repayments of investments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(9,754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(9,754</w:t>
            </w:r>
          </w:p>
        </w:tc>
        <w:tc>
          <w:tcPr>
            <w:tcW w:w="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8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fixed income premiums or accretion of discounts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6,863</w:t>
            </w:r>
          </w:p>
        </w:tc>
        <w:tc>
          <w:tcPr>
            <w:tcW w:w="216" w:type="dxa"/>
            <w:tcBorders/>
            <w:shd w:fill="FFFFFF" w:val="clear"/>
            <w:vAlign w:val="center"/>
          </w:tcPr>
          <w:p>
            <w:pPr>
              <w:pStyle w:val="TableContents"/>
              <w:bidi w:val="0"/>
              <w:spacing w:before="0" w:after="283"/>
              <w:jc w:val="left"/>
              <w:rPr/>
            </w:pPr>
            <w:r>
              <w:rPr/>
              <w:t> </w:t>
            </w:r>
          </w:p>
        </w:tc>
      </w:tr>
      <w:tr>
        <w:trPr/>
        <w:tc>
          <w:tcPr>
            <w:tcW w:w="18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w:t>
            </w:r>
          </w:p>
        </w:tc>
        <w:tc>
          <w:tcPr>
            <w:tcW w:w="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8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(14,452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December 31, 2022</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1,080,121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1,111,946</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8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 on Level 3 investments still held as of December 31, 2022</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(18,133</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sz w:val="20"/>
        </w:rPr>
      </w:pPr>
      <w:r>
        <w:rPr>
          <w:rFonts w:ascii="Times New Roman" w:hAnsi="Times New Roman"/>
          <w:color w:val="000000"/>
          <w:sz w:val="16"/>
        </w:rPr>
        <w:t>Net of reorganization and restructuring of investments</w:t>
      </w:r>
      <w:r>
        <w:rPr>
          <w:rFonts w:ascii="Times New Roman" w:hAnsi="Times New Roman"/>
          <w:color w:val="000000"/>
          <w:sz w:val="20"/>
        </w:rPr>
        <w: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provides quantitative information regarding Level 3 fair value measurements as of December 31, 2023 (in thousands):</w:t>
      </w:r>
    </w:p>
    <w:tbl>
      <w:tblPr>
        <w:tblW w:w="10205" w:type="dxa"/>
        <w:jc w:val="left"/>
        <w:tblInd w:w="0" w:type="dxa"/>
        <w:tblLayout w:type="fixed"/>
        <w:tblCellMar>
          <w:top w:w="28" w:type="dxa"/>
          <w:left w:w="28" w:type="dxa"/>
          <w:bottom w:w="28" w:type="dxa"/>
          <w:right w:w="28" w:type="dxa"/>
        </w:tblCellMar>
      </w:tblPr>
      <w:tblGrid>
        <w:gridCol w:w="1664"/>
        <w:gridCol w:w="146"/>
        <w:gridCol w:w="196"/>
        <w:gridCol w:w="146"/>
        <w:gridCol w:w="826"/>
        <w:gridCol w:w="146"/>
        <w:gridCol w:w="146"/>
        <w:gridCol w:w="3174"/>
        <w:gridCol w:w="146"/>
        <w:gridCol w:w="1604"/>
        <w:gridCol w:w="146"/>
        <w:gridCol w:w="1865"/>
      </w:tblGrid>
      <w:tr>
        <w:trPr/>
        <w:tc>
          <w:tcPr>
            <w:tcW w:w="1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1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 Average)</w:t>
            </w:r>
          </w:p>
        </w:tc>
      </w:tr>
      <w:tr>
        <w:trPr/>
        <w:tc>
          <w:tcPr>
            <w:tcW w:w="1664"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Senior Secured Term Loans</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vAlign w:val="center"/>
          </w:tcPr>
          <w:p>
            <w:pPr>
              <w:pStyle w:val="TableContents"/>
              <w:bidi w:val="0"/>
              <w:spacing w:before="0" w:after="283"/>
              <w:jc w:val="center"/>
              <w:rPr/>
            </w:pPr>
            <w:r>
              <w:rPr/>
              <w:t> </w:t>
            </w:r>
          </w:p>
        </w:tc>
        <w:tc>
          <w:tcPr>
            <w:tcW w:w="186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10.8% - 22.2% (15.0%)</w:t>
            </w:r>
          </w:p>
        </w:tc>
      </w:tr>
      <w:tr>
        <w:trPr/>
        <w:tc>
          <w:tcPr>
            <w:tcW w:w="16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FFFFFF" w:val="clear"/>
            <w:vAlign w:val="center"/>
          </w:tcPr>
          <w:p>
            <w:pPr>
              <w:pStyle w:val="TableContents"/>
              <w:bidi w:val="0"/>
              <w:spacing w:before="0" w:after="283"/>
              <w:jc w:val="center"/>
              <w:rPr/>
            </w:pPr>
            <w:r>
              <w:rPr/>
              <w:t> </w:t>
            </w:r>
          </w:p>
        </w:tc>
        <w:tc>
          <w:tcPr>
            <w:tcW w:w="186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10.8% - 19.9% (13.6%)</w:t>
            </w:r>
          </w:p>
        </w:tc>
      </w:tr>
      <w:tr>
        <w:trPr/>
        <w:tc>
          <w:tcPr>
            <w:tcW w:w="16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vAlign w:val="center"/>
          </w:tcPr>
          <w:p>
            <w:pPr>
              <w:pStyle w:val="TableContents"/>
              <w:bidi w:val="0"/>
              <w:spacing w:before="0" w:after="283"/>
              <w:jc w:val="center"/>
              <w:rPr/>
            </w:pPr>
            <w:r>
              <w:rPr/>
              <w:t> </w:t>
            </w:r>
          </w:p>
        </w:tc>
        <w:tc>
          <w:tcPr>
            <w:tcW w:w="186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0.29x - 7.49x (3.66x)</w:t>
            </w:r>
          </w:p>
        </w:tc>
      </w:tr>
      <w:tr>
        <w:trPr/>
        <w:tc>
          <w:tcPr>
            <w:tcW w:w="16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FFFFFF" w:val="clear"/>
            <w:vAlign w:val="center"/>
          </w:tcPr>
          <w:p>
            <w:pPr>
              <w:pStyle w:val="TableContents"/>
              <w:bidi w:val="0"/>
              <w:spacing w:before="0" w:after="283"/>
              <w:jc w:val="center"/>
              <w:rPr/>
            </w:pPr>
            <w:r>
              <w:rPr/>
              <w:t> </w:t>
            </w:r>
          </w:p>
        </w:tc>
        <w:tc>
          <w:tcPr>
            <w:tcW w:w="186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20.3% - 46.5% (28.8%)</w:t>
            </w:r>
          </w:p>
        </w:tc>
      </w:tr>
      <w:tr>
        <w:trPr/>
        <w:tc>
          <w:tcPr>
            <w:tcW w:w="16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CFF0FC" w:val="clear"/>
            <w:vAlign w:val="center"/>
          </w:tcPr>
          <w:p>
            <w:pPr>
              <w:pStyle w:val="TableContents"/>
              <w:bidi w:val="0"/>
              <w:spacing w:before="0" w:after="283"/>
              <w:jc w:val="center"/>
              <w:rPr/>
            </w:pPr>
            <w:r>
              <w:rPr/>
              <w:t> </w:t>
            </w:r>
          </w:p>
        </w:tc>
        <w:tc>
          <w:tcPr>
            <w:tcW w:w="186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10.8% - 29.7% (17.3%)</w:t>
            </w:r>
          </w:p>
        </w:tc>
      </w:tr>
      <w:tr>
        <w:trPr/>
        <w:tc>
          <w:tcPr>
            <w:tcW w:w="16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vAlign w:val="center"/>
          </w:tcPr>
          <w:p>
            <w:pPr>
              <w:pStyle w:val="TableContents"/>
              <w:bidi w:val="0"/>
              <w:spacing w:before="0" w:after="283"/>
              <w:jc w:val="center"/>
              <w:rPr/>
            </w:pPr>
            <w:r>
              <w:rPr/>
              <w:t> </w:t>
            </w:r>
          </w:p>
        </w:tc>
        <w:tc>
          <w:tcPr>
            <w:tcW w:w="186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0.95x - 3.16x (1.89x)</w:t>
            </w:r>
          </w:p>
        </w:tc>
      </w:tr>
      <w:tr>
        <w:trPr/>
        <w:tc>
          <w:tcPr>
            <w:tcW w:w="1664"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Second Lien Term Loans</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vAlign w:val="center"/>
          </w:tcPr>
          <w:p>
            <w:pPr>
              <w:pStyle w:val="TableContents"/>
              <w:bidi w:val="0"/>
              <w:spacing w:before="0" w:after="283"/>
              <w:jc w:val="center"/>
              <w:rPr/>
            </w:pPr>
            <w:r>
              <w:rPr/>
              <w:t> </w:t>
            </w:r>
          </w:p>
        </w:tc>
        <w:tc>
          <w:tcPr>
            <w:tcW w:w="186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16.1% - 16.1% (16.1%)</w:t>
            </w:r>
          </w:p>
        </w:tc>
      </w:tr>
      <w:tr>
        <w:trPr/>
        <w:tc>
          <w:tcPr>
            <w:tcW w:w="16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FFFFFF" w:val="clear"/>
            <w:vAlign w:val="center"/>
          </w:tcPr>
          <w:p>
            <w:pPr>
              <w:pStyle w:val="TableContents"/>
              <w:bidi w:val="0"/>
              <w:spacing w:before="0" w:after="283"/>
              <w:jc w:val="center"/>
              <w:rPr/>
            </w:pPr>
            <w:r>
              <w:rPr/>
              <w:t> </w:t>
            </w:r>
          </w:p>
        </w:tc>
        <w:tc>
          <w:tcPr>
            <w:tcW w:w="186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13.1% - 13.1% (13.1%)</w:t>
            </w:r>
          </w:p>
        </w:tc>
      </w:tr>
      <w:tr>
        <w:trPr/>
        <w:tc>
          <w:tcPr>
            <w:tcW w:w="166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Convertible Notes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vAlign w:val="center"/>
          </w:tcPr>
          <w:p>
            <w:pPr>
              <w:pStyle w:val="TableContents"/>
              <w:bidi w:val="0"/>
              <w:spacing w:before="0" w:after="283"/>
              <w:jc w:val="center"/>
              <w:rPr/>
            </w:pPr>
            <w:r>
              <w:rPr/>
              <w:t> </w:t>
            </w:r>
          </w:p>
        </w:tc>
        <w:tc>
          <w:tcPr>
            <w:tcW w:w="186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45.0% - 45.0% (45.0%)</w:t>
            </w:r>
          </w:p>
        </w:tc>
      </w:tr>
      <w:tr>
        <w:trPr/>
        <w:tc>
          <w:tcPr>
            <w:tcW w:w="16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FFFFFF" w:val="clear"/>
            <w:vAlign w:val="center"/>
          </w:tcPr>
          <w:p>
            <w:pPr>
              <w:pStyle w:val="TableContents"/>
              <w:bidi w:val="0"/>
              <w:spacing w:before="0" w:after="283"/>
              <w:jc w:val="center"/>
              <w:rPr/>
            </w:pPr>
            <w:r>
              <w:rPr/>
              <w:t> </w:t>
            </w:r>
          </w:p>
        </w:tc>
        <w:tc>
          <w:tcPr>
            <w:tcW w:w="186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10.8% - 10.8% (10.8%)</w:t>
            </w:r>
          </w:p>
        </w:tc>
      </w:tr>
      <w:tr>
        <w:trPr/>
        <w:tc>
          <w:tcPr>
            <w:tcW w:w="166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Recent private market and merger and acquisition transaction prices</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186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6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Rate</w:t>
            </w:r>
          </w:p>
        </w:tc>
        <w:tc>
          <w:tcPr>
            <w:tcW w:w="146" w:type="dxa"/>
            <w:tcBorders/>
            <w:shd w:fill="FFFFFF" w:val="clear"/>
            <w:vAlign w:val="center"/>
          </w:tcPr>
          <w:p>
            <w:pPr>
              <w:pStyle w:val="TableContents"/>
              <w:bidi w:val="0"/>
              <w:spacing w:before="0" w:after="283"/>
              <w:jc w:val="center"/>
              <w:rPr/>
            </w:pPr>
            <w:r>
              <w:rPr/>
              <w:t> </w:t>
            </w:r>
          </w:p>
        </w:tc>
        <w:tc>
          <w:tcPr>
            <w:tcW w:w="186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4.7% - 4.7% (4.7%)</w:t>
            </w:r>
          </w:p>
        </w:tc>
      </w:tr>
      <w:tr>
        <w:trPr/>
        <w:tc>
          <w:tcPr>
            <w:tcW w:w="16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vAlign w:val="center"/>
          </w:tcPr>
          <w:p>
            <w:pPr>
              <w:pStyle w:val="TableContents"/>
              <w:bidi w:val="0"/>
              <w:spacing w:before="0" w:after="283"/>
              <w:jc w:val="center"/>
              <w:rPr/>
            </w:pPr>
            <w:r>
              <w:rPr/>
              <w:t> </w:t>
            </w:r>
          </w:p>
        </w:tc>
        <w:tc>
          <w:tcPr>
            <w:tcW w:w="186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 - 40.0% (40.0%)</w:t>
            </w:r>
          </w:p>
        </w:tc>
      </w:tr>
      <w:tr>
        <w:trPr/>
        <w:tc>
          <w:tcPr>
            <w:tcW w:w="16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vAlign w:val="center"/>
          </w:tcPr>
          <w:p>
            <w:pPr>
              <w:pStyle w:val="TableContents"/>
              <w:bidi w:val="0"/>
              <w:spacing w:before="0" w:after="283"/>
              <w:jc w:val="center"/>
              <w:rPr/>
            </w:pPr>
            <w:r>
              <w:rPr/>
              <w:t> </w:t>
            </w:r>
          </w:p>
        </w:tc>
        <w:tc>
          <w:tcPr>
            <w:tcW w:w="1865"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2.0</w:t>
            </w:r>
            <w:r>
              <w:rPr>
                <w:rFonts w:ascii="Times New Roman" w:hAnsi="Times New Roman"/>
                <w:color w:val="000000"/>
                <w:sz w:val="20"/>
              </w:rPr>
              <w:t> </w:t>
            </w:r>
            <w:r>
              <w:rPr>
                <w:rFonts w:ascii="Times New Roman" w:hAnsi="Times New Roman"/>
                <w:color w:val="000000"/>
                <w:sz w:val="16"/>
              </w:rPr>
              <w:t>- 2.0</w:t>
            </w:r>
            <w:r>
              <w:rPr>
                <w:rFonts w:ascii="Times New Roman" w:hAnsi="Times New Roman"/>
                <w:color w:val="000000"/>
                <w:sz w:val="20"/>
              </w:rPr>
              <w:t> </w:t>
            </w:r>
            <w:r>
              <w:rPr>
                <w:rFonts w:ascii="Times New Roman" w:hAnsi="Times New Roman"/>
                <w:color w:val="000000"/>
                <w:sz w:val="16"/>
              </w:rPr>
              <w:t>(2.0</w:t>
            </w:r>
            <w:r>
              <w:rPr>
                <w:rFonts w:ascii="Times New Roman" w:hAnsi="Times New Roman"/>
                <w:color w:val="000000"/>
                <w:sz w:val="20"/>
              </w:rPr>
              <w:t> </w:t>
            </w:r>
            <w:r>
              <w:rPr>
                <w:rFonts w:ascii="Times New Roman" w:hAnsi="Times New Roman"/>
                <w:color w:val="000000"/>
                <w:sz w:val="16"/>
              </w:rPr>
              <w:t>years)</w:t>
            </w:r>
          </w:p>
        </w:tc>
      </w:tr>
      <w:tr>
        <w:trPr/>
        <w:tc>
          <w:tcPr>
            <w:tcW w:w="16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vAlign w:val="center"/>
          </w:tcPr>
          <w:p>
            <w:pPr>
              <w:pStyle w:val="TableContents"/>
              <w:bidi w:val="0"/>
              <w:spacing w:before="0" w:after="283"/>
              <w:jc w:val="center"/>
              <w:rPr/>
            </w:pPr>
            <w:r>
              <w:rPr/>
              <w:t> </w:t>
            </w:r>
          </w:p>
        </w:tc>
        <w:tc>
          <w:tcPr>
            <w:tcW w:w="186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4.46x - 4.46x (4.46x)</w:t>
            </w:r>
          </w:p>
        </w:tc>
      </w:tr>
      <w:tr>
        <w:trPr/>
        <w:tc>
          <w:tcPr>
            <w:tcW w:w="16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Waterfall Approach</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vAlign w:val="center"/>
          </w:tcPr>
          <w:p>
            <w:pPr>
              <w:pStyle w:val="TableContents"/>
              <w:bidi w:val="0"/>
              <w:spacing w:before="0" w:after="283"/>
              <w:jc w:val="center"/>
              <w:rPr/>
            </w:pPr>
            <w:r>
              <w:rPr/>
              <w:t> </w:t>
            </w:r>
          </w:p>
        </w:tc>
        <w:tc>
          <w:tcPr>
            <w:tcW w:w="1865"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- 3.0</w:t>
            </w:r>
            <w:r>
              <w:rPr>
                <w:rFonts w:ascii="Times New Roman" w:hAnsi="Times New Roman"/>
                <w:color w:val="000000"/>
                <w:sz w:val="20"/>
              </w:rPr>
              <w:t> </w:t>
            </w: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years)</w:t>
            </w:r>
          </w:p>
        </w:tc>
      </w:tr>
      <w:tr>
        <w:trPr/>
        <w:tc>
          <w:tcPr>
            <w:tcW w:w="16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vAlign w:val="center"/>
          </w:tcPr>
          <w:p>
            <w:pPr>
              <w:pStyle w:val="TableContents"/>
              <w:bidi w:val="0"/>
              <w:spacing w:before="0" w:after="283"/>
              <w:jc w:val="center"/>
              <w:rPr/>
            </w:pPr>
            <w:r>
              <w:rPr/>
              <w:t> </w:t>
            </w:r>
          </w:p>
        </w:tc>
        <w:tc>
          <w:tcPr>
            <w:tcW w:w="186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4.00x - 4.00x (4.00x)</w:t>
            </w:r>
          </w:p>
        </w:tc>
      </w:tr>
      <w:tr>
        <w:trPr/>
        <w:tc>
          <w:tcPr>
            <w:tcW w:w="166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Recent private market and merger and acquisition transaction prices</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186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6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vAlign w:val="center"/>
          </w:tcPr>
          <w:p>
            <w:pPr>
              <w:pStyle w:val="TableContents"/>
              <w:bidi w:val="0"/>
              <w:spacing w:before="0" w:after="283"/>
              <w:jc w:val="center"/>
              <w:rPr/>
            </w:pPr>
            <w:r>
              <w:rPr/>
              <w:t> </w:t>
            </w:r>
          </w:p>
        </w:tc>
        <w:tc>
          <w:tcPr>
            <w:tcW w:w="186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4.3% - 4.3% (4.3%)</w:t>
            </w:r>
          </w:p>
        </w:tc>
      </w:tr>
      <w:tr>
        <w:trPr/>
        <w:tc>
          <w:tcPr>
            <w:tcW w:w="16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vAlign w:val="center"/>
          </w:tcPr>
          <w:p>
            <w:pPr>
              <w:pStyle w:val="TableContents"/>
              <w:bidi w:val="0"/>
              <w:spacing w:before="0" w:after="283"/>
              <w:jc w:val="center"/>
              <w:rPr/>
            </w:pPr>
            <w:r>
              <w:rPr/>
              <w:t> </w:t>
            </w:r>
          </w:p>
        </w:tc>
        <w:tc>
          <w:tcPr>
            <w:tcW w:w="186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35.0% - 35.0% (35.0%)</w:t>
            </w:r>
          </w:p>
        </w:tc>
      </w:tr>
      <w:tr>
        <w:trPr/>
        <w:tc>
          <w:tcPr>
            <w:tcW w:w="16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vAlign w:val="center"/>
          </w:tcPr>
          <w:p>
            <w:pPr>
              <w:pStyle w:val="TableContents"/>
              <w:bidi w:val="0"/>
              <w:spacing w:before="0" w:after="283"/>
              <w:jc w:val="center"/>
              <w:rPr/>
            </w:pPr>
            <w:r>
              <w:rPr/>
              <w:t> </w:t>
            </w:r>
          </w:p>
        </w:tc>
        <w:tc>
          <w:tcPr>
            <w:tcW w:w="1865"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5.0</w:t>
            </w:r>
            <w:r>
              <w:rPr>
                <w:rFonts w:ascii="Times New Roman" w:hAnsi="Times New Roman"/>
                <w:color w:val="000000"/>
                <w:sz w:val="20"/>
              </w:rPr>
              <w:t> </w:t>
            </w:r>
            <w:r>
              <w:rPr>
                <w:rFonts w:ascii="Times New Roman" w:hAnsi="Times New Roman"/>
                <w:color w:val="000000"/>
                <w:sz w:val="16"/>
              </w:rPr>
              <w:t>- 5.0</w:t>
            </w:r>
            <w:r>
              <w:rPr>
                <w:rFonts w:ascii="Times New Roman" w:hAnsi="Times New Roman"/>
                <w:color w:val="000000"/>
                <w:sz w:val="20"/>
              </w:rPr>
              <w:t> </w:t>
            </w:r>
            <w:r>
              <w:rPr>
                <w:rFonts w:ascii="Times New Roman" w:hAnsi="Times New Roman"/>
                <w:color w:val="000000"/>
                <w:sz w:val="16"/>
              </w:rPr>
              <w:t>(5.0</w:t>
            </w:r>
            <w:r>
              <w:rPr>
                <w:rFonts w:ascii="Times New Roman" w:hAnsi="Times New Roman"/>
                <w:color w:val="000000"/>
                <w:sz w:val="20"/>
              </w:rPr>
              <w:t> </w:t>
            </w:r>
            <w:r>
              <w:rPr>
                <w:rFonts w:ascii="Times New Roman" w:hAnsi="Times New Roman"/>
                <w:color w:val="000000"/>
                <w:sz w:val="16"/>
              </w:rPr>
              <w:t>years)</w:t>
            </w:r>
          </w:p>
        </w:tc>
      </w:tr>
      <w:tr>
        <w:trPr/>
        <w:tc>
          <w:tcPr>
            <w:tcW w:w="16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vAlign w:val="center"/>
          </w:tcPr>
          <w:p>
            <w:pPr>
              <w:pStyle w:val="TableContents"/>
              <w:bidi w:val="0"/>
              <w:spacing w:before="0" w:after="283"/>
              <w:jc w:val="center"/>
              <w:rPr/>
            </w:pPr>
            <w:r>
              <w:rPr/>
              <w:t> </w:t>
            </w:r>
          </w:p>
        </w:tc>
        <w:tc>
          <w:tcPr>
            <w:tcW w:w="186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3.28x - 3.28x (3.28x)</w:t>
            </w:r>
          </w:p>
        </w:tc>
      </w:tr>
      <w:tr>
        <w:trPr/>
        <w:tc>
          <w:tcPr>
            <w:tcW w:w="166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vAlign w:val="center"/>
          </w:tcPr>
          <w:p>
            <w:pPr>
              <w:pStyle w:val="TableContents"/>
              <w:bidi w:val="0"/>
              <w:spacing w:before="0" w:after="283"/>
              <w:jc w:val="center"/>
              <w:rPr/>
            </w:pPr>
            <w:r>
              <w:rPr/>
              <w:t> </w:t>
            </w:r>
          </w:p>
        </w:tc>
        <w:tc>
          <w:tcPr>
            <w:tcW w:w="186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 - 20.0% (20.0%)</w:t>
            </w:r>
          </w:p>
        </w:tc>
      </w:tr>
      <w:tr>
        <w:trPr/>
        <w:tc>
          <w:tcPr>
            <w:tcW w:w="166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Warrants</w:t>
            </w:r>
            <w:r>
              <w:rPr>
                <w:rFonts w:ascii="Times New Roman" w:hAnsi="Times New Roman"/>
                <w:color w:val="000000"/>
                <w:sz w:val="11"/>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vAlign w:val="center"/>
          </w:tcPr>
          <w:p>
            <w:pPr>
              <w:pStyle w:val="TableContents"/>
              <w:bidi w:val="0"/>
              <w:spacing w:before="0" w:after="283"/>
              <w:jc w:val="center"/>
              <w:rPr/>
            </w:pPr>
            <w:r>
              <w:rPr/>
              <w:t> </w:t>
            </w:r>
          </w:p>
        </w:tc>
        <w:tc>
          <w:tcPr>
            <w:tcW w:w="186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 - 5.3% (4.5%)</w:t>
            </w:r>
          </w:p>
        </w:tc>
      </w:tr>
      <w:tr>
        <w:trPr/>
        <w:tc>
          <w:tcPr>
            <w:tcW w:w="16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vAlign w:val="center"/>
          </w:tcPr>
          <w:p>
            <w:pPr>
              <w:pStyle w:val="TableContents"/>
              <w:bidi w:val="0"/>
              <w:spacing w:before="0" w:after="283"/>
              <w:jc w:val="center"/>
              <w:rPr/>
            </w:pPr>
            <w:r>
              <w:rPr/>
              <w:t> </w:t>
            </w:r>
          </w:p>
        </w:tc>
        <w:tc>
          <w:tcPr>
            <w:tcW w:w="186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25.0% - 108.8% (45.4%)</w:t>
            </w:r>
          </w:p>
        </w:tc>
      </w:tr>
      <w:tr>
        <w:trPr/>
        <w:tc>
          <w:tcPr>
            <w:tcW w:w="16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vAlign w:val="center"/>
          </w:tcPr>
          <w:p>
            <w:pPr>
              <w:pStyle w:val="TableContents"/>
              <w:bidi w:val="0"/>
              <w:spacing w:before="0" w:after="283"/>
              <w:jc w:val="center"/>
              <w:rPr/>
            </w:pPr>
            <w:r>
              <w:rPr/>
              <w:t> </w:t>
            </w:r>
          </w:p>
        </w:tc>
        <w:tc>
          <w:tcPr>
            <w:tcW w:w="1865"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0.8</w:t>
            </w:r>
            <w:r>
              <w:rPr>
                <w:rFonts w:ascii="Times New Roman" w:hAnsi="Times New Roman"/>
                <w:color w:val="000000"/>
                <w:sz w:val="20"/>
              </w:rPr>
              <w:t> </w:t>
            </w:r>
            <w:r>
              <w:rPr>
                <w:rFonts w:ascii="Times New Roman" w:hAnsi="Times New Roman"/>
                <w:color w:val="000000"/>
                <w:sz w:val="16"/>
              </w:rPr>
              <w:t>- 8.2</w:t>
            </w:r>
            <w:r>
              <w:rPr>
                <w:rFonts w:ascii="Times New Roman" w:hAnsi="Times New Roman"/>
                <w:color w:val="000000"/>
                <w:sz w:val="20"/>
              </w:rPr>
              <w:t> </w:t>
            </w:r>
            <w:r>
              <w:rPr>
                <w:rFonts w:ascii="Times New Roman" w:hAnsi="Times New Roman"/>
                <w:color w:val="000000"/>
                <w:sz w:val="16"/>
              </w:rPr>
              <w:t>(3.1 years)</w:t>
            </w:r>
          </w:p>
        </w:tc>
      </w:tr>
      <w:tr>
        <w:trPr/>
        <w:tc>
          <w:tcPr>
            <w:tcW w:w="16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vAlign w:val="center"/>
          </w:tcPr>
          <w:p>
            <w:pPr>
              <w:pStyle w:val="TableContents"/>
              <w:bidi w:val="0"/>
              <w:spacing w:before="0" w:after="283"/>
              <w:jc w:val="center"/>
              <w:rPr/>
            </w:pPr>
            <w:r>
              <w:rPr/>
              <w:t> </w:t>
            </w:r>
          </w:p>
        </w:tc>
        <w:tc>
          <w:tcPr>
            <w:tcW w:w="186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0.95x - 7.49x (3.95x)</w:t>
            </w:r>
          </w:p>
        </w:tc>
      </w:tr>
      <w:tr>
        <w:trPr/>
        <w:tc>
          <w:tcPr>
            <w:tcW w:w="16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PWERM </w:t>
            </w:r>
            <w:r>
              <w:rPr>
                <w:rFonts w:ascii="Times New Roman" w:hAnsi="Times New Roman"/>
                <w:color w:val="000000"/>
                <w:sz w:val="11"/>
              </w:rPr>
              <w:t>(3)</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186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6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Waterfall Approach</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vAlign w:val="center"/>
          </w:tcPr>
          <w:p>
            <w:pPr>
              <w:pStyle w:val="TableContents"/>
              <w:bidi w:val="0"/>
              <w:spacing w:before="0" w:after="283"/>
              <w:jc w:val="center"/>
              <w:rPr/>
            </w:pPr>
            <w:r>
              <w:rPr/>
              <w:t> </w:t>
            </w:r>
          </w:p>
        </w:tc>
        <w:tc>
          <w:tcPr>
            <w:tcW w:w="1865"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- 3.0</w:t>
            </w:r>
            <w:r>
              <w:rPr>
                <w:rFonts w:ascii="Times New Roman" w:hAnsi="Times New Roman"/>
                <w:color w:val="000000"/>
                <w:sz w:val="20"/>
              </w:rPr>
              <w:t> </w:t>
            </w: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years)</w:t>
            </w:r>
          </w:p>
        </w:tc>
      </w:tr>
      <w:tr>
        <w:trPr/>
        <w:tc>
          <w:tcPr>
            <w:tcW w:w="16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vAlign w:val="center"/>
          </w:tcPr>
          <w:p>
            <w:pPr>
              <w:pStyle w:val="TableContents"/>
              <w:bidi w:val="0"/>
              <w:spacing w:before="0" w:after="283"/>
              <w:jc w:val="center"/>
              <w:rPr/>
            </w:pPr>
            <w:r>
              <w:rPr/>
              <w:t> </w:t>
            </w:r>
          </w:p>
        </w:tc>
        <w:tc>
          <w:tcPr>
            <w:tcW w:w="186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2.58x - 4.00x (3.39x)</w:t>
            </w:r>
          </w:p>
        </w:tc>
      </w:tr>
      <w:tr>
        <w:trPr/>
        <w:tc>
          <w:tcPr>
            <w:tcW w:w="166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Level 3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5" w:type="dxa"/>
            <w:tcBorders/>
            <w:shd w:fill="CFF0FC" w:val="cle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provides quantitative information regarding Level 3 fair value measurements as of December 31, 2022 (in thousands):</w:t>
      </w:r>
    </w:p>
    <w:tbl>
      <w:tblPr>
        <w:tblW w:w="10205" w:type="dxa"/>
        <w:jc w:val="left"/>
        <w:tblInd w:w="0" w:type="dxa"/>
        <w:tblLayout w:type="fixed"/>
        <w:tblCellMar>
          <w:top w:w="28" w:type="dxa"/>
          <w:left w:w="28" w:type="dxa"/>
          <w:bottom w:w="28" w:type="dxa"/>
          <w:right w:w="28" w:type="dxa"/>
        </w:tblCellMar>
      </w:tblPr>
      <w:tblGrid>
        <w:gridCol w:w="1694"/>
        <w:gridCol w:w="146"/>
        <w:gridCol w:w="196"/>
        <w:gridCol w:w="146"/>
        <w:gridCol w:w="826"/>
        <w:gridCol w:w="146"/>
        <w:gridCol w:w="146"/>
        <w:gridCol w:w="3267"/>
        <w:gridCol w:w="146"/>
        <w:gridCol w:w="1625"/>
        <w:gridCol w:w="146"/>
        <w:gridCol w:w="1721"/>
      </w:tblGrid>
      <w:tr>
        <w:trPr/>
        <w:tc>
          <w:tcPr>
            <w:tcW w:w="1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1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 Average)</w:t>
            </w:r>
          </w:p>
        </w:tc>
      </w:tr>
      <w:tr>
        <w:trPr/>
        <w:tc>
          <w:tcPr>
            <w:tcW w:w="1694"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Senior Secured Term Loans</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1,053,748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CFF0FC" w:val="clear"/>
            <w:vAlign w:val="center"/>
          </w:tcPr>
          <w:p>
            <w:pPr>
              <w:pStyle w:val="TableContents"/>
              <w:bidi w:val="0"/>
              <w:spacing w:before="0" w:after="283"/>
              <w:jc w:val="left"/>
              <w:rPr/>
            </w:pPr>
            <w:r>
              <w:rPr/>
              <w:t> </w:t>
            </w:r>
          </w:p>
        </w:tc>
        <w:tc>
          <w:tcPr>
            <w:tcW w:w="162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vAlign w:val="center"/>
          </w:tcPr>
          <w:p>
            <w:pPr>
              <w:pStyle w:val="TableContents"/>
              <w:bidi w:val="0"/>
              <w:spacing w:before="0" w:after="283"/>
              <w:jc w:val="left"/>
              <w:rPr/>
            </w:pPr>
            <w:r>
              <w:rPr/>
              <w:t> </w:t>
            </w:r>
          </w:p>
        </w:tc>
        <w:tc>
          <w:tcPr>
            <w:tcW w:w="172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 - 28.0% (15.2%)</w:t>
            </w:r>
          </w:p>
        </w:tc>
      </w:tr>
      <w:tr>
        <w:trPr/>
        <w:tc>
          <w:tcPr>
            <w:tcW w:w="16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FFFFFF" w:val="clear"/>
            <w:vAlign w:val="center"/>
          </w:tcPr>
          <w:p>
            <w:pPr>
              <w:pStyle w:val="TableContents"/>
              <w:bidi w:val="0"/>
              <w:spacing w:before="0" w:after="283"/>
              <w:jc w:val="left"/>
              <w:rPr/>
            </w:pPr>
            <w:r>
              <w:rPr/>
              <w:t> </w:t>
            </w:r>
          </w:p>
        </w:tc>
        <w:tc>
          <w:tcPr>
            <w:tcW w:w="172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 - 19.3% (12.9%)</w:t>
            </w:r>
          </w:p>
        </w:tc>
      </w:tr>
      <w:tr>
        <w:trPr/>
        <w:tc>
          <w:tcPr>
            <w:tcW w:w="169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CFF0FC" w:val="clear"/>
            <w:vAlign w:val="center"/>
          </w:tcPr>
          <w:p>
            <w:pPr>
              <w:pStyle w:val="TableContents"/>
              <w:bidi w:val="0"/>
              <w:spacing w:before="0" w:after="283"/>
              <w:jc w:val="left"/>
              <w:rPr/>
            </w:pPr>
            <w:r>
              <w:rPr/>
              <w:t> </w:t>
            </w:r>
          </w:p>
        </w:tc>
        <w:tc>
          <w:tcPr>
            <w:tcW w:w="162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vAlign w:val="center"/>
          </w:tcPr>
          <w:p>
            <w:pPr>
              <w:pStyle w:val="TableContents"/>
              <w:bidi w:val="0"/>
              <w:spacing w:before="0" w:after="283"/>
              <w:jc w:val="left"/>
              <w:rPr/>
            </w:pPr>
            <w:r>
              <w:rPr/>
              <w:t> </w:t>
            </w:r>
          </w:p>
        </w:tc>
        <w:tc>
          <w:tcPr>
            <w:tcW w:w="172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27.4% - 37.4% (30.9%)</w:t>
            </w:r>
          </w:p>
        </w:tc>
      </w:tr>
      <w:tr>
        <w:trPr/>
        <w:tc>
          <w:tcPr>
            <w:tcW w:w="169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Second Lien Term Loans</w:t>
            </w: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FFFFFF" w:val="clear"/>
            <w:vAlign w:val="center"/>
          </w:tcPr>
          <w:p>
            <w:pPr>
              <w:pStyle w:val="TableContents"/>
              <w:bidi w:val="0"/>
              <w:spacing w:before="0" w:after="283"/>
              <w:jc w:val="left"/>
              <w:rPr/>
            </w:pPr>
            <w:r>
              <w:rPr/>
              <w:t> </w:t>
            </w:r>
          </w:p>
        </w:tc>
        <w:tc>
          <w:tcPr>
            <w:tcW w:w="172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16.1% - 16.1% (16.1%)</w:t>
            </w:r>
          </w:p>
        </w:tc>
      </w:tr>
      <w:tr>
        <w:trPr/>
        <w:tc>
          <w:tcPr>
            <w:tcW w:w="169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2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CFF0FC" w:val="clear"/>
            <w:vAlign w:val="center"/>
          </w:tcPr>
          <w:p>
            <w:pPr>
              <w:pStyle w:val="TableContents"/>
              <w:bidi w:val="0"/>
              <w:spacing w:before="0" w:after="283"/>
              <w:jc w:val="left"/>
              <w:rPr/>
            </w:pPr>
            <w:r>
              <w:rPr/>
              <w:t> </w:t>
            </w:r>
          </w:p>
        </w:tc>
        <w:tc>
          <w:tcPr>
            <w:tcW w:w="172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 - 12.2% (12.2%)</w:t>
            </w:r>
          </w:p>
        </w:tc>
      </w:tr>
      <w:tr>
        <w:trPr/>
        <w:tc>
          <w:tcPr>
            <w:tcW w:w="169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Recent private market and merger and acquisition transaction prices</w:t>
            </w:r>
          </w:p>
        </w:tc>
        <w:tc>
          <w:tcPr>
            <w:tcW w:w="146"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72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69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26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Recent private market and merger and acquisition transaction prices</w:t>
            </w:r>
          </w:p>
        </w:tc>
        <w:tc>
          <w:tcPr>
            <w:tcW w:w="146" w:type="dxa"/>
            <w:tcBorders/>
            <w:shd w:fill="CFF0FC" w:val="clear"/>
            <w:vAlign w:val="center"/>
          </w:tcPr>
          <w:p>
            <w:pPr>
              <w:pStyle w:val="TableContents"/>
              <w:bidi w:val="0"/>
              <w:spacing w:before="0" w:after="283"/>
              <w:jc w:val="left"/>
              <w:rPr/>
            </w:pPr>
            <w:r>
              <w:rPr/>
              <w:t> </w:t>
            </w:r>
          </w:p>
        </w:tc>
        <w:tc>
          <w:tcPr>
            <w:tcW w:w="162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172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69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Warrants</w:t>
            </w:r>
            <w:r>
              <w:rPr>
                <w:rFonts w:ascii="Times New Roman" w:hAnsi="Times New Roman"/>
                <w:color w:val="000000"/>
                <w:sz w:val="11"/>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vAlign w:val="center"/>
          </w:tcPr>
          <w:p>
            <w:pPr>
              <w:pStyle w:val="TableContents"/>
              <w:bidi w:val="0"/>
              <w:spacing w:before="0" w:after="283"/>
              <w:jc w:val="left"/>
              <w:rPr/>
            </w:pPr>
            <w:r>
              <w:rPr/>
              <w:t> </w:t>
            </w:r>
          </w:p>
        </w:tc>
        <w:tc>
          <w:tcPr>
            <w:tcW w:w="172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2.7% - 4.9% (4.3%)</w:t>
            </w:r>
          </w:p>
        </w:tc>
      </w:tr>
      <w:tr>
        <w:trPr/>
        <w:tc>
          <w:tcPr>
            <w:tcW w:w="169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2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vAlign w:val="center"/>
          </w:tcPr>
          <w:p>
            <w:pPr>
              <w:pStyle w:val="TableContents"/>
              <w:bidi w:val="0"/>
              <w:spacing w:before="0" w:after="283"/>
              <w:jc w:val="left"/>
              <w:rPr/>
            </w:pPr>
            <w:r>
              <w:rPr/>
              <w:t> </w:t>
            </w:r>
          </w:p>
        </w:tc>
        <w:tc>
          <w:tcPr>
            <w:tcW w:w="172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25.0% - 98.4% (49.0%)</w:t>
            </w:r>
          </w:p>
        </w:tc>
      </w:tr>
      <w:tr>
        <w:trPr/>
        <w:tc>
          <w:tcPr>
            <w:tcW w:w="16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vAlign w:val="center"/>
          </w:tcPr>
          <w:p>
            <w:pPr>
              <w:pStyle w:val="TableContents"/>
              <w:bidi w:val="0"/>
              <w:spacing w:before="0" w:after="283"/>
              <w:jc w:val="left"/>
              <w:rPr/>
            </w:pPr>
            <w:r>
              <w:rPr/>
              <w:t> </w:t>
            </w:r>
          </w:p>
        </w:tc>
        <w:tc>
          <w:tcPr>
            <w:tcW w:w="172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0.5</w:t>
            </w:r>
            <w:r>
              <w:rPr>
                <w:rFonts w:ascii="Times New Roman" w:hAnsi="Times New Roman"/>
                <w:color w:val="000000"/>
                <w:sz w:val="20"/>
              </w:rPr>
              <w:t> </w:t>
            </w:r>
            <w:r>
              <w:rPr>
                <w:rFonts w:ascii="Times New Roman" w:hAnsi="Times New Roman"/>
                <w:color w:val="000000"/>
                <w:sz w:val="16"/>
              </w:rPr>
              <w:t>- 5.0</w:t>
            </w:r>
            <w:r>
              <w:rPr>
                <w:rFonts w:ascii="Times New Roman" w:hAnsi="Times New Roman"/>
                <w:color w:val="000000"/>
                <w:sz w:val="20"/>
              </w:rPr>
              <w:t> </w:t>
            </w:r>
            <w:r>
              <w:rPr>
                <w:rFonts w:ascii="Times New Roman" w:hAnsi="Times New Roman"/>
                <w:color w:val="000000"/>
                <w:sz w:val="16"/>
              </w:rPr>
              <w:t>(2.2 years)</w:t>
            </w:r>
          </w:p>
        </w:tc>
      </w:tr>
      <w:tr>
        <w:trPr/>
        <w:tc>
          <w:tcPr>
            <w:tcW w:w="169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26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2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vAlign w:val="center"/>
          </w:tcPr>
          <w:p>
            <w:pPr>
              <w:pStyle w:val="TableContents"/>
              <w:bidi w:val="0"/>
              <w:spacing w:before="0" w:after="283"/>
              <w:jc w:val="left"/>
              <w:rPr/>
            </w:pPr>
            <w:r>
              <w:rPr/>
              <w:t> </w:t>
            </w:r>
          </w:p>
        </w:tc>
        <w:tc>
          <w:tcPr>
            <w:tcW w:w="172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1.16x - 88.63x (5.47x)</w:t>
            </w:r>
          </w:p>
        </w:tc>
      </w:tr>
      <w:tr>
        <w:trPr/>
        <w:tc>
          <w:tcPr>
            <w:tcW w:w="16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7" w:type="dxa"/>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PWERM </w:t>
            </w:r>
            <w:r>
              <w:rPr>
                <w:rFonts w:ascii="Times New Roman" w:hAnsi="Times New Roman"/>
                <w:color w:val="000000"/>
                <w:sz w:val="11"/>
              </w:rPr>
              <w:t>(3)</w:t>
            </w:r>
          </w:p>
        </w:tc>
        <w:tc>
          <w:tcPr>
            <w:tcW w:w="146"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FFFFFF" w:val="clear"/>
            <w:vAlign w:val="center"/>
          </w:tcPr>
          <w:p>
            <w:pPr>
              <w:pStyle w:val="TableContents"/>
              <w:bidi w:val="0"/>
              <w:spacing w:before="0" w:after="283"/>
              <w:jc w:val="left"/>
              <w:rPr/>
            </w:pPr>
            <w:r>
              <w:rPr/>
              <w:t> </w:t>
            </w:r>
          </w:p>
        </w:tc>
        <w:tc>
          <w:tcPr>
            <w:tcW w:w="172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 - 40.0% (34.6%)</w:t>
            </w:r>
          </w:p>
        </w:tc>
      </w:tr>
      <w:tr>
        <w:trPr/>
        <w:tc>
          <w:tcPr>
            <w:tcW w:w="169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vAlign w:val="center"/>
          </w:tcPr>
          <w:p>
            <w:pPr>
              <w:pStyle w:val="TableContents"/>
              <w:bidi w:val="0"/>
              <w:spacing w:before="0" w:after="283"/>
              <w:jc w:val="left"/>
              <w:rPr/>
            </w:pPr>
            <w:r>
              <w:rPr/>
              <w:t> </w:t>
            </w:r>
          </w:p>
        </w:tc>
        <w:tc>
          <w:tcPr>
            <w:tcW w:w="172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2.35x - 199.38x (13.10x)</w:t>
            </w:r>
          </w:p>
        </w:tc>
      </w:tr>
      <w:tr>
        <w:trPr/>
        <w:tc>
          <w:tcPr>
            <w:tcW w:w="169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Level 3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1,111,946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1" w:type="dxa"/>
            <w:tcBorders/>
            <w:shd w:fill="FFFFFF"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(1)</w:t>
      </w:r>
    </w:p>
    <w:p>
      <w:pPr>
        <w:pStyle w:val="TextBody"/>
        <w:bidi w:val="0"/>
        <w:jc w:val="both"/>
        <w:rPr>
          <w:rFonts w:ascii="Times New Roman" w:hAnsi="Times New Roman"/>
          <w:color w:val="000000"/>
          <w:sz w:val="16"/>
        </w:rPr>
      </w:pPr>
      <w:r>
        <w:rPr>
          <w:rFonts w:ascii="Times New Roman" w:hAnsi="Times New Roman"/>
          <w:color w:val="000000"/>
          <w:sz w:val="16"/>
        </w:rPr>
        <w:t xml:space="preserve">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(lower) fair value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0"/>
        <w:jc w:val="both"/>
        <w:rPr>
          <w:rFonts w:ascii="Times New Roman" w:hAnsi="Times New Roman"/>
          <w:color w:val="000000"/>
          <w:sz w:val="16"/>
        </w:rPr>
      </w:pPr>
      <w:r>
        <w:rPr>
          <w:rFonts w:ascii="Times New Roman" w:hAnsi="Times New Roman"/>
          <w:color w:val="000000"/>
          <w:sz w:val="16"/>
        </w:rPr>
        <w:t>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years ended December 31, 2023 and December 31, 2022.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(3)</w:t>
      </w:r>
    </w:p>
    <w:p>
      <w:pPr>
        <w:pStyle w:val="TextBody"/>
        <w:bidi w:val="0"/>
        <w:jc w:val="both"/>
        <w:rPr>
          <w:rFonts w:ascii="Times New Roman" w:hAnsi="Times New Roman"/>
          <w:color w:val="000000"/>
          <w:sz w:val="16"/>
        </w:rPr>
      </w:pPr>
      <w:r>
        <w:rPr>
          <w:rFonts w:ascii="Times New Roman" w:hAnsi="Times New Roman"/>
          <w:color w:val="000000"/>
          <w:sz w:val="16"/>
        </w:rPr>
        <w:t xml:space="preserve">Warrant investments using a PWERM valuation technique contain success fees, in which case the inputs are not applicable because the nature of a success fee is a fixed payout dependent on certain liquidation events. </w:t>
      </w:r>
    </w:p>
    <w:p>
      <w:pPr>
        <w:pStyle w:val="TextBody"/>
        <w:bidi w:val="0"/>
        <w:spacing w:before="360" w:after="240"/>
        <w:jc w:val="both"/>
        <w:rPr>
          <w:rFonts w:ascii="Times New Roman" w:hAnsi="Times New Roman"/>
          <w:i/>
          <w:color w:val="000000"/>
          <w:sz w:val="20"/>
        </w:rPr>
      </w:pPr>
      <w:r>
        <w:rPr>
          <w:rFonts w:ascii="Times New Roman" w:hAnsi="Times New Roman"/>
          <w:i/>
          <w:color w:val="000000"/>
          <w:sz w:val="20"/>
        </w:rPr>
        <w:t>Fair Value of Financial Instruments Reported at Cost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fair value of the Company’s Credit Facility, April 2026 Notes, July 2027 Notes, August 2027 Notes, and December 2027 Notes (as defined in "Note 7 – Borrowings") is estimated using the relative market yield approach. The fair value of the Company's Credit Facility, December 2026 Notes and August 2027 Notes are estimated using Level 3 inputs by discounting remaining payments using comparable market rates or market quotes for similar instruments at the measurement date. The fair value of the Company's July 2027 Notes and December 2027 Notes is based on vendor pricing received by the Company, which is considered a Level 2 input, and reflects the market close price of the notes traded on the Nasdaq Global Select Market LLC under the symbol "RWAYL" and "RWAYZ",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both December 31, 2023, and December 31, 2022, the carrying values of the Credit Facility, April 2026 Notes, July 2027 Notes, August 2027 Notes, and December 2027 Notes approximate fair value. As of December 31, 2023, the fair value of the December 2026 Notes was approximately $63.8 million and the carrying value was approximately $69.4 million, net of unamortized deferred debt costs of $0.6 million. As of December 31, 2022, the fair value of the December 2026 Notes was approximately $57.0 million and the carrying value was approximately $69.2 million, net of unamortized deferred debt costs of $0.8 million. </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6 — Concentration of Credit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the normal course of business, the Company maintains its cash balances at large, high credit-quality financial institutions, which at times may exceed federally insured limits. The Company is subject to credit risk to the extent that any financial institution with which it conducts business is unable to fulfill contractual obligations on its behalf. The Company monitors the financial condition of those financial institutions and believes that risk of loss associated with any uninsured balance is remote.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event that a portfolio company completely fails to perform according to the terms of their loan agreement, the amount of loss due to credit risk from the Company's investments would equal the sum of the Company’s recorded investments in the portfolio company and the portion of unfunded commitments currently eligible to be drawn. Refer to "Note 8 – Commitments and Contingencies" for a summary of the aggregate balance of unfunded commitments as of December 31, 2023. The Company predominantly collateralizes its investments by obtaining a first priority security interest in a portfolio company’s assets, which may include its intellectual property.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2023 and December 31, 2022, the Company’s five largest debt investments in portfolio companies represented approximately 38.0% and 30.0%, respectively, of the total fair value of the Company’s debt investments in portfolio companies. As of December 31, 2023 and December 31, 2022, the Company had debt investments in 14 and 16 portfolio companies, respectively, that represented 5% or more of the Company’s net assets. </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7 — Borrowings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shows the Company's borrowings as of December 31, 2023 and December 31, 2022 (in thousands):</w:t>
      </w:r>
    </w:p>
    <w:tbl>
      <w:tblPr>
        <w:tblW w:w="11397" w:type="dxa"/>
        <w:jc w:val="left"/>
        <w:tblInd w:w="0" w:type="dxa"/>
        <w:tblLayout w:type="fixed"/>
        <w:tblCellMar>
          <w:top w:w="28" w:type="dxa"/>
          <w:left w:w="28" w:type="dxa"/>
          <w:bottom w:w="28" w:type="dxa"/>
          <w:right w:w="28" w:type="dxa"/>
        </w:tblCellMar>
      </w:tblPr>
      <w:tblGrid>
        <w:gridCol w:w="826"/>
        <w:gridCol w:w="146"/>
        <w:gridCol w:w="199"/>
        <w:gridCol w:w="148"/>
        <w:gridCol w:w="704"/>
        <w:gridCol w:w="146"/>
        <w:gridCol w:w="146"/>
        <w:gridCol w:w="196"/>
        <w:gridCol w:w="146"/>
        <w:gridCol w:w="691"/>
        <w:gridCol w:w="146"/>
        <w:gridCol w:w="146"/>
        <w:gridCol w:w="196"/>
        <w:gridCol w:w="146"/>
        <w:gridCol w:w="571"/>
        <w:gridCol w:w="166"/>
        <w:gridCol w:w="146"/>
        <w:gridCol w:w="196"/>
        <w:gridCol w:w="146"/>
        <w:gridCol w:w="691"/>
        <w:gridCol w:w="146"/>
        <w:gridCol w:w="146"/>
        <w:gridCol w:w="199"/>
        <w:gridCol w:w="148"/>
        <w:gridCol w:w="704"/>
        <w:gridCol w:w="146"/>
        <w:gridCol w:w="146"/>
        <w:gridCol w:w="196"/>
        <w:gridCol w:w="146"/>
        <w:gridCol w:w="691"/>
        <w:gridCol w:w="146"/>
        <w:gridCol w:w="146"/>
        <w:gridCol w:w="196"/>
        <w:gridCol w:w="146"/>
        <w:gridCol w:w="661"/>
        <w:gridCol w:w="166"/>
        <w:gridCol w:w="146"/>
        <w:gridCol w:w="196"/>
        <w:gridCol w:w="146"/>
        <w:gridCol w:w="691"/>
        <w:gridCol w:w="191"/>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2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Deferred Debt Cost</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Deferred Debt Cost</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267,566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332,360</w:t>
            </w:r>
          </w:p>
        </w:tc>
        <w:tc>
          <w:tcPr>
            <w:tcW w:w="191" w:type="dxa"/>
            <w:tcBorders/>
            <w:shd w:fill="CFF0FC" w:val="clear"/>
            <w:vAlign w:val="center"/>
          </w:tcPr>
          <w:p>
            <w:pPr>
              <w:pStyle w:val="TableContents"/>
              <w:bidi w:val="0"/>
              <w:spacing w:before="0" w:after="283"/>
              <w:jc w:val="left"/>
              <w:rPr/>
            </w:pPr>
            <w:r>
              <w:rPr/>
              <w:t> </w:t>
            </w:r>
          </w:p>
        </w:tc>
      </w:tr>
      <w:tr>
        <w:trPr/>
        <w:tc>
          <w:tcPr>
            <w:tcW w:w="8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8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2026 Notes</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69,182</w:t>
            </w:r>
          </w:p>
        </w:tc>
        <w:tc>
          <w:tcPr>
            <w:tcW w:w="191" w:type="dxa"/>
            <w:tcBorders/>
            <w:shd w:fill="CFF0FC" w:val="clear"/>
            <w:vAlign w:val="center"/>
          </w:tcPr>
          <w:p>
            <w:pPr>
              <w:pStyle w:val="TableContents"/>
              <w:bidi w:val="0"/>
              <w:spacing w:before="0" w:after="283"/>
              <w:jc w:val="left"/>
              <w:rPr/>
            </w:pPr>
            <w:r>
              <w:rPr/>
              <w:t> </w:t>
            </w:r>
          </w:p>
        </w:tc>
      </w:tr>
      <w:tr>
        <w:trPr/>
        <w:tc>
          <w:tcPr>
            <w:tcW w:w="8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78,120</w:t>
            </w:r>
          </w:p>
        </w:tc>
        <w:tc>
          <w:tcPr>
            <w:tcW w:w="191" w:type="dxa"/>
            <w:tcBorders/>
            <w:shd w:fill="FFFFFF" w:val="clear"/>
            <w:vAlign w:val="center"/>
          </w:tcPr>
          <w:p>
            <w:pPr>
              <w:pStyle w:val="TableContents"/>
              <w:bidi w:val="0"/>
              <w:spacing w:before="0" w:after="283"/>
              <w:jc w:val="left"/>
              <w:rPr/>
            </w:pPr>
            <w:r>
              <w:rPr/>
              <w:t> </w:t>
            </w:r>
          </w:p>
        </w:tc>
      </w:tr>
      <w:tr>
        <w:trPr/>
        <w:tc>
          <w:tcPr>
            <w:tcW w:w="8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2027 Notes</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19,347</w:t>
            </w:r>
          </w:p>
        </w:tc>
        <w:tc>
          <w:tcPr>
            <w:tcW w:w="191" w:type="dxa"/>
            <w:tcBorders/>
            <w:shd w:fill="CFF0FC" w:val="clear"/>
            <w:vAlign w:val="center"/>
          </w:tcPr>
          <w:p>
            <w:pPr>
              <w:pStyle w:val="TableContents"/>
              <w:bidi w:val="0"/>
              <w:spacing w:before="0" w:after="283"/>
              <w:jc w:val="left"/>
              <w:rPr/>
            </w:pPr>
            <w:r>
              <w:rPr/>
              <w:t> </w:t>
            </w:r>
          </w:p>
        </w:tc>
      </w:tr>
      <w:tr>
        <w:trPr/>
        <w:tc>
          <w:tcPr>
            <w:tcW w:w="8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2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510,078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548,957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Net of accumulated amortization.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For the years ended December 31, 2023, December 31, 2022 and December 31, 2021, the components of interest expense, amortization of deferred debt costs, unused fees on the Credit Facility (as defined below), and any other costs associated with the Company's borrowings were as follows (dollars in thousands):</w:t>
      </w:r>
    </w:p>
    <w:tbl>
      <w:tblPr>
        <w:tblW w:w="10205" w:type="dxa"/>
        <w:jc w:val="left"/>
        <w:tblInd w:w="0" w:type="dxa"/>
        <w:tblLayout w:type="fixed"/>
        <w:tblCellMar>
          <w:top w:w="28" w:type="dxa"/>
          <w:left w:w="28" w:type="dxa"/>
          <w:bottom w:w="28" w:type="dxa"/>
          <w:right w:w="28" w:type="dxa"/>
        </w:tblCellMar>
      </w:tblPr>
      <w:tblGrid>
        <w:gridCol w:w="1612"/>
        <w:gridCol w:w="146"/>
        <w:gridCol w:w="231"/>
        <w:gridCol w:w="171"/>
        <w:gridCol w:w="709"/>
        <w:gridCol w:w="146"/>
        <w:gridCol w:w="146"/>
        <w:gridCol w:w="303"/>
        <w:gridCol w:w="226"/>
        <w:gridCol w:w="792"/>
        <w:gridCol w:w="146"/>
        <w:gridCol w:w="146"/>
        <w:gridCol w:w="278"/>
        <w:gridCol w:w="207"/>
        <w:gridCol w:w="727"/>
        <w:gridCol w:w="146"/>
        <w:gridCol w:w="146"/>
        <w:gridCol w:w="480"/>
        <w:gridCol w:w="357"/>
        <w:gridCol w:w="1472"/>
        <w:gridCol w:w="146"/>
        <w:gridCol w:w="146"/>
        <w:gridCol w:w="174"/>
        <w:gridCol w:w="503"/>
        <w:gridCol w:w="174"/>
        <w:gridCol w:w="475"/>
      </w:tblGrid>
      <w:tr>
        <w:trPr/>
        <w:tc>
          <w:tcPr>
            <w:tcW w:w="1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16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Amortization of </w:t>
              <w:br/>
              <w:t>Deferred Debt 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Unused Facility and </w:t>
              <w:br/>
              <w:t>Other Fees</w:t>
            </w:r>
            <w:r>
              <w:rPr>
                <w:rFonts w:ascii="Times New Roman" w:hAnsi="Times New Roman"/>
                <w:color w:val="000000"/>
                <w:sz w:val="16"/>
              </w:rPr>
              <w: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Interest and Other Debt Financing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Cost of Debt</w:t>
            </w:r>
          </w:p>
        </w:tc>
      </w:tr>
      <w:tr>
        <w:trPr/>
        <w:tc>
          <w:tcPr>
            <w:tcW w:w="161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2023</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center"/>
              <w:rPr/>
            </w:pPr>
            <w:r>
              <w:rPr/>
              <w:t> </w:t>
            </w:r>
          </w:p>
        </w:tc>
        <w:tc>
          <w:tcPr>
            <w:tcW w:w="88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center"/>
              <w:rPr/>
            </w:pPr>
            <w:r>
              <w:rPr/>
              <w:t> </w:t>
            </w:r>
          </w:p>
        </w:tc>
        <w:tc>
          <w:tcPr>
            <w:tcW w:w="101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center"/>
              <w:rPr/>
            </w:pPr>
            <w:r>
              <w:rPr/>
              <w:t> </w:t>
            </w:r>
          </w:p>
        </w:tc>
        <w:tc>
          <w:tcPr>
            <w:tcW w:w="93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center"/>
              <w:rPr/>
            </w:pPr>
            <w:r>
              <w:rPr/>
              <w:t> </w:t>
            </w:r>
          </w:p>
        </w:tc>
        <w:tc>
          <w:tcPr>
            <w:tcW w:w="1829"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center"/>
              <w:rPr/>
            </w:pPr>
            <w:r>
              <w:rPr/>
              <w:t> </w:t>
            </w:r>
          </w:p>
        </w:tc>
        <w:tc>
          <w:tcPr>
            <w:tcW w:w="174" w:type="dxa"/>
            <w:tcBorders/>
            <w:shd w:fill="CFF0FC" w:val="clear"/>
            <w:vAlign w:val="center"/>
          </w:tcPr>
          <w:p>
            <w:pPr>
              <w:pStyle w:val="TableContents"/>
              <w:bidi w:val="0"/>
              <w:spacing w:before="0" w:after="283"/>
              <w:jc w:val="center"/>
              <w:rPr/>
            </w:pPr>
            <w:r>
              <w:rPr/>
              <w:t> </w:t>
            </w:r>
          </w:p>
        </w:tc>
        <w:tc>
          <w:tcPr>
            <w:tcW w:w="475" w:type="dxa"/>
            <w:tcBorders/>
            <w:shd w:fill="CFF0FC" w:val="clear"/>
            <w:vAlign w:val="center"/>
          </w:tcPr>
          <w:p>
            <w:pPr>
              <w:pStyle w:val="TableContents"/>
              <w:bidi w:val="0"/>
              <w:spacing w:before="0" w:after="283"/>
              <w:jc w:val="center"/>
              <w:rPr/>
            </w:pPr>
            <w:r>
              <w:rPr/>
              <w:t> </w:t>
            </w:r>
          </w:p>
        </w:tc>
      </w:tr>
      <w:tr>
        <w:trPr/>
        <w:tc>
          <w:tcPr>
            <w:tcW w:w="161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6"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7"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w:t>
            </w:r>
          </w:p>
        </w:tc>
        <w:tc>
          <w:tcPr>
            <w:tcW w:w="174"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w:t>
            </w:r>
          </w:p>
        </w:tc>
        <w:tc>
          <w:tcPr>
            <w:tcW w:w="174"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left"/>
              <w:rPr/>
            </w:pPr>
            <w:r>
              <w:rPr/>
              <w:t> </w:t>
            </w:r>
          </w:p>
        </w:tc>
      </w:tr>
      <w:tr>
        <w:trPr/>
        <w:tc>
          <w:tcPr>
            <w:tcW w:w="161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2026 Notes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w:t>
            </w:r>
          </w:p>
        </w:tc>
        <w:tc>
          <w:tcPr>
            <w:tcW w:w="174"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p>
        </w:tc>
      </w:tr>
      <w:tr>
        <w:trPr/>
        <w:tc>
          <w:tcPr>
            <w:tcW w:w="161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w:t>
            </w:r>
          </w:p>
        </w:tc>
        <w:tc>
          <w:tcPr>
            <w:tcW w:w="174"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left"/>
              <w:rPr/>
            </w:pPr>
            <w:r>
              <w:rPr/>
              <w:t> </w:t>
            </w:r>
          </w:p>
        </w:tc>
      </w:tr>
      <w:tr>
        <w:trPr/>
        <w:tc>
          <w:tcPr>
            <w:tcW w:w="161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2027 Notes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w:t>
            </w:r>
          </w:p>
        </w:tc>
        <w:tc>
          <w:tcPr>
            <w:tcW w:w="174"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p>
        </w:tc>
      </w:tr>
      <w:tr>
        <w:trPr/>
        <w:tc>
          <w:tcPr>
            <w:tcW w:w="161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12"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center"/>
              <w:rPr/>
            </w:pPr>
            <w:r>
              <w:rPr/>
              <w:t> </w:t>
            </w:r>
          </w:p>
        </w:tc>
        <w:tc>
          <w:tcPr>
            <w:tcW w:w="88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center"/>
              <w:rPr/>
            </w:pPr>
            <w:r>
              <w:rPr/>
              <w:t> </w:t>
            </w:r>
          </w:p>
        </w:tc>
        <w:tc>
          <w:tcPr>
            <w:tcW w:w="101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center"/>
              <w:rPr/>
            </w:pPr>
            <w:r>
              <w:rPr/>
              <w:t> </w:t>
            </w:r>
          </w:p>
        </w:tc>
        <w:tc>
          <w:tcPr>
            <w:tcW w:w="93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center"/>
              <w:rPr/>
            </w:pPr>
            <w:r>
              <w:rPr/>
              <w:t> </w:t>
            </w:r>
          </w:p>
        </w:tc>
        <w:tc>
          <w:tcPr>
            <w:tcW w:w="1829"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center"/>
              <w:rPr/>
            </w:pPr>
            <w:r>
              <w:rPr/>
              <w:t> </w:t>
            </w:r>
          </w:p>
        </w:tc>
        <w:tc>
          <w:tcPr>
            <w:tcW w:w="174" w:type="dxa"/>
            <w:tcBorders/>
            <w:shd w:fill="CFF0FC" w:val="clear"/>
            <w:vAlign w:val="center"/>
          </w:tcPr>
          <w:p>
            <w:pPr>
              <w:pStyle w:val="TableContents"/>
              <w:bidi w:val="0"/>
              <w:spacing w:before="0" w:after="283"/>
              <w:jc w:val="center"/>
              <w:rPr/>
            </w:pPr>
            <w:r>
              <w:rPr/>
              <w:t> </w:t>
            </w:r>
          </w:p>
        </w:tc>
        <w:tc>
          <w:tcPr>
            <w:tcW w:w="475" w:type="dxa"/>
            <w:tcBorders/>
            <w:shd w:fill="CFF0FC" w:val="clear"/>
            <w:vAlign w:val="center"/>
          </w:tcPr>
          <w:p>
            <w:pPr>
              <w:pStyle w:val="TableContents"/>
              <w:bidi w:val="0"/>
              <w:spacing w:before="0" w:after="283"/>
              <w:jc w:val="center"/>
              <w:rPr/>
            </w:pPr>
            <w:r>
              <w:rPr/>
              <w:t> </w:t>
            </w:r>
          </w:p>
        </w:tc>
      </w:tr>
      <w:tr>
        <w:trPr/>
        <w:tc>
          <w:tcPr>
            <w:tcW w:w="161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2022</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center"/>
              <w:rPr/>
            </w:pPr>
            <w:r>
              <w:rPr/>
              <w:t> </w:t>
            </w:r>
          </w:p>
        </w:tc>
        <w:tc>
          <w:tcPr>
            <w:tcW w:w="88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center"/>
              <w:rPr/>
            </w:pPr>
            <w:r>
              <w:rPr/>
              <w:t> </w:t>
            </w:r>
          </w:p>
        </w:tc>
        <w:tc>
          <w:tcPr>
            <w:tcW w:w="101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center"/>
              <w:rPr/>
            </w:pPr>
            <w:r>
              <w:rPr/>
              <w:t> </w:t>
            </w:r>
          </w:p>
        </w:tc>
        <w:tc>
          <w:tcPr>
            <w:tcW w:w="93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center"/>
              <w:rPr/>
            </w:pPr>
            <w:r>
              <w:rPr/>
              <w:t> </w:t>
            </w:r>
          </w:p>
        </w:tc>
        <w:tc>
          <w:tcPr>
            <w:tcW w:w="1829"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center"/>
              <w:rPr/>
            </w:pPr>
            <w:r>
              <w:rPr/>
              <w:t> </w:t>
            </w:r>
          </w:p>
        </w:tc>
        <w:tc>
          <w:tcPr>
            <w:tcW w:w="475" w:type="dxa"/>
            <w:tcBorders/>
            <w:shd w:fill="FFFFFF" w:val="clear"/>
            <w:vAlign w:val="center"/>
          </w:tcPr>
          <w:p>
            <w:pPr>
              <w:pStyle w:val="TableContents"/>
              <w:bidi w:val="0"/>
              <w:spacing w:before="0" w:after="283"/>
              <w:jc w:val="center"/>
              <w:rPr/>
            </w:pPr>
            <w:r>
              <w:rPr/>
              <w:t> </w:t>
            </w:r>
          </w:p>
        </w:tc>
      </w:tr>
      <w:tr>
        <w:trPr/>
        <w:tc>
          <w:tcPr>
            <w:tcW w:w="161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6"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7" w:type="dxa"/>
            <w:tcBorders/>
            <w:shd w:fill="CFF0FC" w:val="clear"/>
            <w:vAlign w:val="center"/>
          </w:tcPr>
          <w:p>
            <w:pPr>
              <w:pStyle w:val="TableContents"/>
              <w:bidi w:val="0"/>
              <w:spacing w:before="0" w:after="283"/>
              <w:jc w:val="left"/>
              <w:rPr/>
            </w:pPr>
            <w:r>
              <w:rPr/>
              <w:t> </w:t>
            </w:r>
          </w:p>
        </w:tc>
        <w:tc>
          <w:tcPr>
            <w:tcW w:w="14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w:t>
            </w:r>
          </w:p>
        </w:tc>
        <w:tc>
          <w:tcPr>
            <w:tcW w:w="174"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2026 Notes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174"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p>
        </w:tc>
      </w:tr>
      <w:tr>
        <w:trPr/>
        <w:tc>
          <w:tcPr>
            <w:tcW w:w="161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4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w:t>
            </w:r>
          </w:p>
        </w:tc>
        <w:tc>
          <w:tcPr>
            <w:tcW w:w="174"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left"/>
              <w:rPr/>
            </w:pPr>
            <w:r>
              <w:rPr/>
              <w:t> </w:t>
            </w:r>
          </w:p>
        </w:tc>
      </w:tr>
      <w:tr>
        <w:trPr/>
        <w:tc>
          <w:tcPr>
            <w:tcW w:w="161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2027 Notes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w:t>
            </w:r>
          </w:p>
        </w:tc>
        <w:tc>
          <w:tcPr>
            <w:tcW w:w="174"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p>
        </w:tc>
      </w:tr>
      <w:tr>
        <w:trPr/>
        <w:tc>
          <w:tcPr>
            <w:tcW w:w="161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8.44</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12"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center"/>
              <w:rPr/>
            </w:pPr>
            <w:r>
              <w:rPr/>
              <w:t> </w:t>
            </w:r>
          </w:p>
        </w:tc>
        <w:tc>
          <w:tcPr>
            <w:tcW w:w="88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center"/>
              <w:rPr/>
            </w:pPr>
            <w:r>
              <w:rPr/>
              <w:t> </w:t>
            </w:r>
          </w:p>
        </w:tc>
        <w:tc>
          <w:tcPr>
            <w:tcW w:w="101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center"/>
              <w:rPr/>
            </w:pPr>
            <w:r>
              <w:rPr/>
              <w:t> </w:t>
            </w:r>
          </w:p>
        </w:tc>
        <w:tc>
          <w:tcPr>
            <w:tcW w:w="93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center"/>
              <w:rPr/>
            </w:pPr>
            <w:r>
              <w:rPr/>
              <w:t> </w:t>
            </w:r>
          </w:p>
        </w:tc>
        <w:tc>
          <w:tcPr>
            <w:tcW w:w="1829"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center"/>
              <w:rPr/>
            </w:pPr>
            <w:r>
              <w:rPr/>
              <w:t> </w:t>
            </w:r>
          </w:p>
        </w:tc>
        <w:tc>
          <w:tcPr>
            <w:tcW w:w="174" w:type="dxa"/>
            <w:tcBorders/>
            <w:shd w:fill="CFF0FC" w:val="clear"/>
            <w:vAlign w:val="center"/>
          </w:tcPr>
          <w:p>
            <w:pPr>
              <w:pStyle w:val="TableContents"/>
              <w:bidi w:val="0"/>
              <w:spacing w:before="0" w:after="283"/>
              <w:jc w:val="center"/>
              <w:rPr/>
            </w:pPr>
            <w:r>
              <w:rPr/>
              <w:t> </w:t>
            </w:r>
          </w:p>
        </w:tc>
        <w:tc>
          <w:tcPr>
            <w:tcW w:w="475" w:type="dxa"/>
            <w:tcBorders/>
            <w:shd w:fill="CFF0FC" w:val="clear"/>
            <w:vAlign w:val="center"/>
          </w:tcPr>
          <w:p>
            <w:pPr>
              <w:pStyle w:val="TableContents"/>
              <w:bidi w:val="0"/>
              <w:spacing w:before="0" w:after="283"/>
              <w:jc w:val="center"/>
              <w:rPr/>
            </w:pPr>
            <w:r>
              <w:rPr/>
              <w:t> </w:t>
            </w:r>
          </w:p>
        </w:tc>
      </w:tr>
      <w:tr>
        <w:trPr/>
        <w:tc>
          <w:tcPr>
            <w:tcW w:w="161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2021</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8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01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c>
          <w:tcPr>
            <w:tcW w:w="182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p>
        </w:tc>
      </w:tr>
      <w:tr>
        <w:trPr/>
        <w:tc>
          <w:tcPr>
            <w:tcW w:w="161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6"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7" w:type="dxa"/>
            <w:tcBorders/>
            <w:shd w:fill="CFF0FC" w:val="clear"/>
            <w:vAlign w:val="center"/>
          </w:tcPr>
          <w:p>
            <w:pPr>
              <w:pStyle w:val="TableContents"/>
              <w:bidi w:val="0"/>
              <w:spacing w:before="0" w:after="283"/>
              <w:jc w:val="left"/>
              <w:rPr/>
            </w:pPr>
            <w:r>
              <w:rPr/>
              <w:t> </w:t>
            </w:r>
          </w:p>
        </w:tc>
        <w:tc>
          <w:tcPr>
            <w:tcW w:w="14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w:t>
            </w:r>
          </w:p>
        </w:tc>
        <w:tc>
          <w:tcPr>
            <w:tcW w:w="174"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2026 Notes</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12"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6" w:space="1" w:color="000000"/>
        </w:pBdr>
        <w:bidi w:val="0"/>
        <w:jc w:val="both"/>
        <w:rPr/>
      </w:pPr>
      <w:r>
        <w:rPr/>
        <w:t> </w:t>
      </w:r>
    </w:p>
    <w:p>
      <w:pPr>
        <w:pStyle w:val="TextBody"/>
        <w:bidi w:val="0"/>
        <w:spacing w:before="120" w:after="283"/>
        <w:jc w:val="left"/>
        <w:rPr>
          <w:rFonts w:ascii="Times New Roman" w:hAnsi="Times New Roman"/>
          <w:color w:val="2B333D"/>
          <w:sz w:val="20"/>
        </w:rPr>
      </w:pPr>
      <w:r>
        <w:rPr>
          <w:rFonts w:ascii="Times New Roman" w:hAnsi="Times New Roman"/>
          <w:color w:val="2B333D"/>
          <w:sz w:val="20"/>
        </w:rPr>
        <w:t>(1)</w:t>
      </w:r>
    </w:p>
    <w:p>
      <w:pPr>
        <w:pStyle w:val="TextBody"/>
        <w:bidi w:val="0"/>
        <w:spacing w:before="120" w:after="283"/>
        <w:jc w:val="left"/>
        <w:rPr>
          <w:rFonts w:ascii="Times New Roman" w:hAnsi="Times New Roman"/>
          <w:sz w:val="20"/>
        </w:rPr>
      </w:pPr>
      <w:r>
        <w:rPr>
          <w:rFonts w:ascii="Times New Roman" w:hAnsi="Times New Roman"/>
          <w:color w:val="2B333D"/>
          <w:sz w:val="16"/>
        </w:rPr>
        <w:t>Unused facility and other fees for the year ended December 31, 2022</w:t>
      </w:r>
      <w:r>
        <w:rPr>
          <w:rFonts w:ascii="Times New Roman" w:hAnsi="Times New Roman"/>
          <w:color w:val="2B333D"/>
          <w:sz w:val="20"/>
        </w:rPr>
        <w:t xml:space="preserve"> </w:t>
      </w:r>
      <w:r>
        <w:rPr>
          <w:rFonts w:ascii="Times New Roman" w:hAnsi="Times New Roman"/>
          <w:color w:val="2B333D"/>
          <w:sz w:val="16"/>
        </w:rPr>
        <w:t>include supplemental fees of $0.2</w:t>
      </w:r>
      <w:r>
        <w:rPr>
          <w:rFonts w:ascii="Times New Roman" w:hAnsi="Times New Roman"/>
          <w:color w:val="2B333D"/>
          <w:sz w:val="20"/>
        </w:rPr>
        <w:t xml:space="preserve"> </w:t>
      </w:r>
      <w:r>
        <w:rPr>
          <w:rFonts w:ascii="Times New Roman" w:hAnsi="Times New Roman"/>
          <w:color w:val="2B333D"/>
          <w:sz w:val="16"/>
        </w:rPr>
        <w:t>million, which were predominantly incurred in the first half of 2022</w:t>
      </w:r>
      <w:r>
        <w:rPr>
          <w:rFonts w:ascii="Times New Roman" w:hAnsi="Times New Roman"/>
          <w:color w:val="2B333D"/>
          <w:sz w:val="20"/>
        </w:rPr>
        <w:t xml:space="preserve"> </w:t>
      </w:r>
      <w:r>
        <w:rPr>
          <w:rFonts w:ascii="Times New Roman" w:hAnsi="Times New Roman"/>
          <w:color w:val="2B333D"/>
          <w:sz w:val="16"/>
        </w:rPr>
        <w:t>and were nonrecurring in nature.</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Credit Facility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31, 2019, the Company entered into a Credit Agreement with KeyBank National Association, acting as administrative agent and syndication agent and the other lenders party thereto, which initially provided the Company with a $100.0 million commitment, subject to borrowing base requirements (as amended and restated from time to time, the “Credit Facility”). As of December 31, 2023, the Company had $550.0 million in total commitments available under the Credit Facility, subject to an accordion feature that allows the Company to increase the total commitments under the Credit Facility up to $600.0 million. The availability period under the Credit Facility expires on April 20, 2025 and is followed by a one-year amortization period. The stated maturity date under the Credit Facility is April 20, 2026, unless extended.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Borrowings under the Credit Facility bear interest on a per annum rate equal to the Adjusted Term Secured Overnight Financing Rate (“SOFR”) plus an applicable margin rate that ranges from 2.95% to 3.35% per annum depending on the Company’s leverage ratio and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number of eligible loans in the collateral pool. The Credit Facility provides for a variable advance rate of up to 65% on eligible term loans. The Company also pays an unused commitment fee that ranges from 0.25% to 1.00% per annum based on the total unused lender commitments under the Credit Facility.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Credit Facility is collateralized by all eligible investment assets held by the Company. The Credit Facility contains representations, warranties, and affirmative and negative covenants customary for secured financings of this type, including certain financial covenants such as a consolidated tangible net worth requirement and a required asset coverage ratio.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years ended December 31, 2023 and December 31, 2022, the weighted average outstanding principal balance was $278.2 million and $134.9 million, respectively, and the weighted average effective interest rate was 8.15% and 5.89%, respectively.</w:t>
      </w:r>
    </w:p>
    <w:p>
      <w:pPr>
        <w:pStyle w:val="TextBody"/>
        <w:bidi w:val="0"/>
        <w:spacing w:before="360" w:after="200"/>
        <w:jc w:val="both"/>
        <w:rPr>
          <w:rFonts w:ascii="Times New Roman" w:hAnsi="Times New Roman"/>
          <w:b/>
          <w:i/>
          <w:color w:val="000000"/>
          <w:sz w:val="20"/>
        </w:rPr>
      </w:pPr>
      <w:r>
        <w:rPr>
          <w:rFonts w:ascii="Times New Roman" w:hAnsi="Times New Roman"/>
          <w:b/>
          <w:i/>
          <w:color w:val="000000"/>
          <w:sz w:val="20"/>
        </w:rPr>
        <w:t>2026 Notes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On December 10, 2021, the Company entered into a master note purchase agreement, completing a private debt offering of $70.0 million in aggregate principal amount of 4.25% interest-bearing unsecured Series 2021A Senior Notes due 2026 (the “December 2026 Notes”) to institutional accredited investors (as defined in Regulation D under the Securities Act of 1933, as amended (the "Securities Act")). The December 2026 Notes were issued in two closings; the initial issuance of $20.0 million closed on December 10, 2021 and the second issuance of $50.0 million closed on February 10, 2022. On April 13, 2023, the Company completed the first supplement to the master note purchase agreement, resulting in an additional private debt offering of $25.0 million in aggregate principal amount of 8.54% interest-bearing unsecured Series 2023A Senior Notes due 2026 (the “April 2026 Notes”) to institutional accredited investors (as defined in the Securities Act). The December 2026 Notes and the April 2026 Notes (collectively the "2026 Notes") are subject to a 1.00% increase in the respective interest rates in the event that, subject to certain exceptions, the 2026 Notes cease to have an investment grade rating or receive an investment grade rating below the Investment Grade (as defined in the master note purchase agreement). The 2026 Notes are general unsecured obligations of the Company that rank </w:t>
      </w:r>
      <w:r>
        <w:rPr>
          <w:rFonts w:ascii="Times New Roman" w:hAnsi="Times New Roman"/>
          <w:i/>
          <w:color w:val="000000"/>
          <w:sz w:val="20"/>
        </w:rPr>
        <w:t xml:space="preserve">pari passu </w:t>
      </w:r>
      <w:r>
        <w:rPr>
          <w:rFonts w:ascii="Times New Roman" w:hAnsi="Times New Roman"/>
          <w:color w:val="000000"/>
          <w:sz w:val="20"/>
        </w:rPr>
        <w:t>with all outstanding and future unsecured unsubordinated indebtedness issued by the Company.</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December 2026 Notes</w:t>
      </w:r>
    </w:p>
    <w:p>
      <w:pPr>
        <w:pStyle w:val="TextBody"/>
        <w:bidi w:val="0"/>
        <w:jc w:val="both"/>
        <w:rPr>
          <w:rFonts w:ascii="Times New Roman" w:hAnsi="Times New Roman"/>
          <w:color w:val="000000"/>
          <w:sz w:val="20"/>
        </w:rPr>
      </w:pPr>
      <w:r>
        <w:rPr>
          <w:rFonts w:ascii="Times New Roman" w:hAnsi="Times New Roman"/>
          <w:color w:val="000000"/>
          <w:sz w:val="20"/>
        </w:rPr>
        <w:t xml:space="preserve">The December 2026 Notes bear an interest rate of 4.25% per year and are due on December 10, 2026, unless redeemed, purchased or prepaid prior to such date by the Company or its affiliates in accordance with their terms. Interest on the December 2026 Notes will be due semiannually in arrears on June 10 and December 10 of each year, commencing on June 10, 2022.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Aggregate costs in connection with the December 2026 Notes issuance were $1.0 million, and were capitalized and deferred. As of December 31, 2023 and December 31, 2022, unamortized deferred debt costs related to the December 2026 Notes were $0.6 million and $0.8 million, respectively.</w:t>
      </w:r>
    </w:p>
    <w:p>
      <w:pPr>
        <w:pStyle w:val="TextBody"/>
        <w:bidi w:val="0"/>
        <w:spacing w:before="200" w:after="240"/>
        <w:jc w:val="both"/>
        <w:rPr>
          <w:rFonts w:ascii="Times New Roman" w:hAnsi="Times New Roman"/>
          <w:i/>
          <w:color w:val="000000"/>
          <w:sz w:val="20"/>
        </w:rPr>
      </w:pPr>
      <w:r>
        <w:rPr>
          <w:rFonts w:ascii="Times New Roman" w:hAnsi="Times New Roman"/>
          <w:i/>
          <w:color w:val="000000"/>
          <w:sz w:val="20"/>
        </w:rPr>
        <w:t>April 2026 Notes</w:t>
      </w:r>
    </w:p>
    <w:p>
      <w:pPr>
        <w:pStyle w:val="TextBody"/>
        <w:bidi w:val="0"/>
        <w:jc w:val="both"/>
        <w:rPr>
          <w:rFonts w:ascii="Times New Roman" w:hAnsi="Times New Roman"/>
          <w:color w:val="000000"/>
          <w:sz w:val="20"/>
        </w:rPr>
      </w:pPr>
      <w:r>
        <w:rPr>
          <w:rFonts w:ascii="Times New Roman" w:hAnsi="Times New Roman"/>
          <w:color w:val="000000"/>
          <w:sz w:val="20"/>
        </w:rPr>
        <w:t xml:space="preserve">The April 2026 Notes bear an interest rate of 8.54% per year and are due on April 13, 2026, unless redeemed, purchased or prepaid prior to such date by the Company or its affiliates in accordance with their terms. Interest on the April 2026 Notes will be due semiannually in arrears on April 13 and October 13 of each year, commencing on October 13, 2023. </w:t>
      </w:r>
    </w:p>
    <w:p>
      <w:pPr>
        <w:pStyle w:val="TextBody"/>
        <w:bidi w:val="0"/>
        <w:spacing w:before="240" w:after="240"/>
        <w:jc w:val="both"/>
        <w:rPr>
          <w:rFonts w:ascii="Times New Roman" w:hAnsi="Times New Roman"/>
          <w:sz w:val="20"/>
        </w:rPr>
      </w:pPr>
      <w:r>
        <w:rPr>
          <w:rFonts w:ascii="Times New Roman" w:hAnsi="Times New Roman"/>
          <w:color w:val="000000"/>
          <w:sz w:val="20"/>
        </w:rPr>
        <w:t>Aggregate costs in connection with the April 2026 Notes issuance were $0.4 million, and were capitalized and deferred. As of December 31, 2023 and December 31, 2022</w:t>
      </w:r>
      <w:r>
        <w:rPr>
          <w:rFonts w:ascii="Times New Roman" w:hAnsi="Times New Roman"/>
          <w:color w:val="000000"/>
          <w:sz w:val="16"/>
        </w:rPr>
        <w:t>,</w:t>
      </w:r>
      <w:r>
        <w:rPr>
          <w:rFonts w:ascii="Times New Roman" w:hAnsi="Times New Roman"/>
          <w:color w:val="000000"/>
          <w:sz w:val="20"/>
        </w:rPr>
        <w:t xml:space="preserve"> unamortized deferred debt costs related to the April 2026 Notes were $0.3 million and $0.0 million, respectively.</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2027 Notes</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July 2027 Notes</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28, 2022, the Company issued and sold $80.5 million in aggregate principal amount of 7.50% interest-bearing unsecured Notes due 2027 (the “July 2027 Notes”) under its shelf Registration Statement on Form N-2. The July 2027 Notes were issued pursuant to the Base Indenture dated July 28, 2022 (the “Base Indenture”) and First Supplemental Indenture, dated July 28, 2022 (together with the Base Indenture, the “Indenture”), between the Company and the Trustee, U.S. Bank Trust Company, National Association. </w:t>
      </w:r>
    </w:p>
    <w:p>
      <w:pPr>
        <w:pStyle w:val="TextBody"/>
        <w:bidi w:val="0"/>
        <w:spacing w:before="240" w:after="240"/>
        <w:jc w:val="both"/>
        <w:rPr>
          <w:rFonts w:ascii="Times New Roman" w:hAnsi="Times New Roman"/>
          <w:sz w:val="20"/>
        </w:rPr>
      </w:pPr>
      <w:r>
        <w:rPr>
          <w:rFonts w:ascii="Times New Roman" w:hAnsi="Times New Roman"/>
          <w:color w:val="000000"/>
          <w:sz w:val="20"/>
        </w:rPr>
        <w:t xml:space="preserve">The July 2027 Notes bear an interest rate of 7.50% per year and are due on July 28, 2027. Interest on the 2027 Notes will be due quarterly in arrears on March 1, June 1, September 1 and December 1 of each year, commencing September 1, 2022. The July 2027 Notes may be redeemed in whole or in part at any time or from time to time at the Company’s option on or after July 28, 2024, at a redemption price of $25 per July 2027 Note plus accrued and unpaid interest payments otherwise payable for the then-current quarterly interest period accrued to the date fixed for redemption. The July 2027 Notes are general unsecured obligations of the Company that rank </w:t>
      </w:r>
      <w:r>
        <w:rPr>
          <w:rFonts w:ascii="Times New Roman" w:hAnsi="Times New Roman"/>
          <w:i/>
          <w:color w:val="000000"/>
          <w:sz w:val="20"/>
        </w:rPr>
        <w:t>pari passu</w:t>
      </w:r>
      <w:r>
        <w:rPr>
          <w:rFonts w:ascii="Times New Roman" w:hAnsi="Times New Roman"/>
          <w:color w:val="000000"/>
          <w:sz w:val="20"/>
        </w:rPr>
        <w:t xml:space="preserve"> with the Company's existing and future unsecured, unsubordinated indebtedness. </w:t>
      </w:r>
    </w:p>
    <w:p>
      <w:pPr>
        <w:pStyle w:val="TextBody"/>
        <w:bidi w:val="0"/>
        <w:jc w:val="both"/>
        <w:rPr>
          <w:rFonts w:ascii="Times New Roman" w:hAnsi="Times New Roman"/>
          <w:color w:val="000000"/>
          <w:sz w:val="20"/>
        </w:rPr>
      </w:pPr>
      <w:r>
        <w:rPr>
          <w:rFonts w:ascii="Times New Roman" w:hAnsi="Times New Roman"/>
          <w:color w:val="000000"/>
          <w:sz w:val="20"/>
        </w:rPr>
        <w:t>Aggregate costs in connection with the July 2027 Notes issuance, including the underwriter’s discount and commissions, were $2.7 million, and were capitalized and deferred. As of December 31, 2023 and December 31, 2022, unamortized deferred debt costs related to the July 2027 Notes were $1.9 million and $2.4 million, respectively.</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August 2027 Notes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On August 31, 2022, the Company issued and sold a private debt offering of $20.0 million in aggregate principal amount of 7.00% interest-bearing unsecured Series 2022A Senior Notes due 2027 (the “August 2027 Notes”) to HCM Master Fund Limited. </w:t>
      </w:r>
    </w:p>
    <w:p>
      <w:pPr>
        <w:pStyle w:val="TextBody"/>
        <w:bidi w:val="0"/>
        <w:spacing w:before="240" w:after="240"/>
        <w:jc w:val="both"/>
        <w:rPr>
          <w:rFonts w:ascii="Times New Roman" w:hAnsi="Times New Roman"/>
          <w:sz w:val="20"/>
        </w:rPr>
      </w:pPr>
      <w:r>
        <w:rPr>
          <w:rFonts w:ascii="Times New Roman" w:hAnsi="Times New Roman"/>
          <w:color w:val="000000"/>
          <w:sz w:val="20"/>
        </w:rPr>
        <w:t xml:space="preserve">The August 2027 Notes bear an interest rate of 7.00% per year and are due on August 31, 2027, unless redeemed, purchased or prepaid prior to such date by the Company or its affiliates in accordance with their terms. Interest on the August 2027 Notes will be due semiannually in arrears on February 15 and August 15 of each year, commencing on February 15, 2023. The August 2027 Notes are general unsecured obligations of the Company that rank </w:t>
      </w:r>
      <w:r>
        <w:rPr>
          <w:rFonts w:ascii="Times New Roman" w:hAnsi="Times New Roman"/>
          <w:i/>
          <w:color w:val="000000"/>
          <w:sz w:val="20"/>
        </w:rPr>
        <w:t xml:space="preserve">pari passu </w:t>
      </w:r>
      <w:r>
        <w:rPr>
          <w:rFonts w:ascii="Times New Roman" w:hAnsi="Times New Roman"/>
          <w:color w:val="000000"/>
          <w:sz w:val="20"/>
        </w:rPr>
        <w:t>with all outstanding and future unsecured unsubordinated indebtedness issued by the Company.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Aggregate costs in connection with the August 2027 Notes issuance were $0.7 million, and were capitalized and deferred. As of December 31, 2023 and December 31, 2022, unamortized deferred debt costs related to the August 2027 Notes were $0.5 million and $0.7 million, respectively. </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December 2027 Notes</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7, 2022, the Company issued and sold $51.75 million in aggregate principal amount of 8.00% interest-bearing unsecured Notes due December 2027 (the "December 2027 Notes") under its shelf Registration Statement on Form N-2. The December 2027 Notes were issued pursuant to the Base Indenture dated July 28, 2022 (the "Base Indenture") and Second Supplemental Indenture, dated December 7, 2022 (together with the Base Indenture, the "Indenture"), between the Company and the Trustee, U.S. Bank Trust Company, National Association. </w:t>
      </w:r>
    </w:p>
    <w:p>
      <w:pPr>
        <w:pStyle w:val="TextBody"/>
        <w:bidi w:val="0"/>
        <w:spacing w:before="240" w:after="240"/>
        <w:jc w:val="both"/>
        <w:rPr>
          <w:rFonts w:ascii="Times New Roman" w:hAnsi="Times New Roman"/>
          <w:sz w:val="20"/>
        </w:rPr>
      </w:pPr>
      <w:r>
        <w:rPr>
          <w:rFonts w:ascii="Times New Roman" w:hAnsi="Times New Roman"/>
          <w:color w:val="000000"/>
          <w:sz w:val="20"/>
        </w:rPr>
        <w:t xml:space="preserve">The December 2027 Notes bear an interest rate of 8.0% per year and are due on December 28, 2027. Interest on the 2027 Notes will be due quarterly in arrears on March 1, June 1, September 1, and December 1 of each year, commencing March 1, 2023. The December 2027 Notes may be redeemed in whole or in part at any time or from time to time at the Company's option on or after December 31, 2024, at a redemption price of $25 per December 2027 Note plus accrued and unpaid interest payments otherwise payable for the then-current quarterly interest period accrued to the date fixed for redemption. The December 2027 Notes are general unsecured obligations of the Company that rank </w:t>
      </w:r>
      <w:r>
        <w:rPr>
          <w:rFonts w:ascii="Times New Roman" w:hAnsi="Times New Roman"/>
          <w:i/>
          <w:color w:val="000000"/>
          <w:sz w:val="20"/>
        </w:rPr>
        <w:t>pari passu</w:t>
      </w:r>
      <w:r>
        <w:rPr>
          <w:rFonts w:ascii="Times New Roman" w:hAnsi="Times New Roman"/>
          <w:color w:val="000000"/>
          <w:sz w:val="20"/>
        </w:rPr>
        <w:t xml:space="preserve"> with the Company's existing and future unsecured, unsubordinated indebtedness. </w:t>
      </w:r>
    </w:p>
    <w:p>
      <w:pPr>
        <w:pStyle w:val="TextBody"/>
        <w:bidi w:val="0"/>
        <w:jc w:val="both"/>
        <w:rPr>
          <w:rFonts w:ascii="Times New Roman" w:hAnsi="Times New Roman"/>
          <w:color w:val="000000"/>
          <w:sz w:val="20"/>
        </w:rPr>
      </w:pPr>
      <w:r>
        <w:rPr>
          <w:rFonts w:ascii="Times New Roman" w:hAnsi="Times New Roman"/>
          <w:color w:val="000000"/>
          <w:sz w:val="20"/>
        </w:rPr>
        <w:t xml:space="preserve">Aggregate costs in connection with the December 2027 Notes issuance, including the underwriter's discount and commissions, were $1.8 million, and were capitalized and deferred. As of December 31, 2023 and December 31, 2022, unamortized deferred debt costs related to the December 2027 Notes were $1.5 million and $1.8 million, respectively.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Senior Securities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Information about the Company’s senior securities is shown in the following table for the fiscal years ended December 31, 2023, 2022, 2021, 2020, 2019 and 2018 (in thousands). No senior securities were outstanding for the fiscal years ended December 31, 2017 and prior.</w:t>
      </w:r>
    </w:p>
    <w:tbl>
      <w:tblPr>
        <w:tblW w:w="10205" w:type="dxa"/>
        <w:jc w:val="left"/>
        <w:tblInd w:w="0" w:type="dxa"/>
        <w:tblLayout w:type="fixed"/>
        <w:tblCellMar>
          <w:top w:w="28" w:type="dxa"/>
          <w:left w:w="28" w:type="dxa"/>
          <w:bottom w:w="28" w:type="dxa"/>
          <w:right w:w="28" w:type="dxa"/>
        </w:tblCellMar>
      </w:tblPr>
      <w:tblGrid>
        <w:gridCol w:w="1378"/>
        <w:gridCol w:w="146"/>
        <w:gridCol w:w="503"/>
        <w:gridCol w:w="375"/>
        <w:gridCol w:w="1775"/>
        <w:gridCol w:w="146"/>
        <w:gridCol w:w="146"/>
        <w:gridCol w:w="296"/>
        <w:gridCol w:w="221"/>
        <w:gridCol w:w="910"/>
        <w:gridCol w:w="146"/>
        <w:gridCol w:w="146"/>
        <w:gridCol w:w="483"/>
        <w:gridCol w:w="483"/>
        <w:gridCol w:w="1150"/>
        <w:gridCol w:w="146"/>
        <w:gridCol w:w="146"/>
        <w:gridCol w:w="414"/>
        <w:gridCol w:w="1195"/>
      </w:tblGrid>
      <w:tr>
        <w:trPr/>
        <w:tc>
          <w:tcPr>
            <w:tcW w:w="1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1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Class and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Amount Outstanding Exclusive of Treasury Securities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Asset Coverage per Unit</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Involuntary Liquidating Preference per Unit</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Market Value per Unit</w:t>
            </w:r>
            <w:r>
              <w:rPr>
                <w:rFonts w:ascii="Times New Roman" w:hAnsi="Times New Roman"/>
                <w:b/>
                <w:color w:val="000000"/>
                <w:sz w:val="11"/>
              </w:rPr>
              <w:t>(4)</w:t>
            </w:r>
          </w:p>
        </w:tc>
      </w:tr>
      <w:tr>
        <w:trPr/>
        <w:tc>
          <w:tcPr>
            <w:tcW w:w="137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2027 Notes</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pPr>
            <w:r>
              <w:rPr/>
              <w:t> </w:t>
            </w:r>
          </w:p>
        </w:tc>
        <w:tc>
          <w:tcPr>
            <w:tcW w:w="215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13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63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ind w:left="0" w:right="0" w:firstLine="100"/>
              <w:jc w:val="left"/>
              <w:rPr/>
            </w:pPr>
            <w:r>
              <w:rPr/>
              <w:t> </w:t>
            </w:r>
          </w:p>
        </w:tc>
      </w:tr>
      <w:tr>
        <w:trPr/>
        <w:tc>
          <w:tcPr>
            <w:tcW w:w="137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2023</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2022</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CFF0FC" w:val="clear"/>
            <w:vAlign w:val="center"/>
          </w:tcPr>
          <w:p>
            <w:pPr>
              <w:pStyle w:val="TableContents"/>
              <w:bidi w:val="0"/>
              <w:spacing w:before="0" w:after="283"/>
              <w:jc w:val="left"/>
              <w:rPr/>
            </w:pPr>
            <w:r>
              <w:rPr/>
              <w:t> </w:t>
            </w:r>
          </w:p>
        </w:tc>
        <w:tc>
          <w:tcPr>
            <w:tcW w:w="177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2021</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2020</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CFF0FC" w:val="clear"/>
            <w:vAlign w:val="center"/>
          </w:tcPr>
          <w:p>
            <w:pPr>
              <w:pStyle w:val="TableContents"/>
              <w:bidi w:val="0"/>
              <w:spacing w:before="0" w:after="283"/>
              <w:jc w:val="left"/>
              <w:rPr/>
            </w:pPr>
            <w:r>
              <w:rPr/>
              <w:t> </w:t>
            </w:r>
          </w:p>
        </w:tc>
        <w:tc>
          <w:tcPr>
            <w:tcW w:w="17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2019</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2018</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CFF0FC" w:val="clear"/>
            <w:vAlign w:val="center"/>
          </w:tcPr>
          <w:p>
            <w:pPr>
              <w:pStyle w:val="TableContents"/>
              <w:bidi w:val="0"/>
              <w:spacing w:before="0" w:after="283"/>
              <w:jc w:val="left"/>
              <w:rPr/>
            </w:pPr>
            <w:r>
              <w:rPr/>
              <w:t> </w:t>
            </w:r>
          </w:p>
        </w:tc>
        <w:tc>
          <w:tcPr>
            <w:tcW w:w="17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21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63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center"/>
              <w:rPr/>
            </w:pPr>
            <w:r>
              <w:rPr/>
              <w:t> </w:t>
            </w:r>
          </w:p>
        </w:tc>
      </w:tr>
      <w:tr>
        <w:trPr/>
        <w:tc>
          <w:tcPr>
            <w:tcW w:w="137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2026 Notes</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pPr>
            <w:r>
              <w:rPr/>
              <w:t> </w:t>
            </w:r>
          </w:p>
        </w:tc>
        <w:tc>
          <w:tcPr>
            <w:tcW w:w="215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13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63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ind w:left="0" w:right="0" w:firstLine="100"/>
              <w:jc w:val="left"/>
              <w:rPr/>
            </w:pPr>
            <w:r>
              <w:rPr/>
              <w:t> </w:t>
            </w:r>
          </w:p>
        </w:tc>
      </w:tr>
      <w:tr>
        <w:trPr/>
        <w:tc>
          <w:tcPr>
            <w:tcW w:w="137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2023</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2022</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CFF0FC" w:val="clear"/>
            <w:vAlign w:val="center"/>
          </w:tcPr>
          <w:p>
            <w:pPr>
              <w:pStyle w:val="TableContents"/>
              <w:bidi w:val="0"/>
              <w:spacing w:before="0" w:after="283"/>
              <w:jc w:val="left"/>
              <w:rPr/>
            </w:pPr>
            <w:r>
              <w:rPr/>
              <w:t> </w:t>
            </w:r>
          </w:p>
        </w:tc>
        <w:tc>
          <w:tcPr>
            <w:tcW w:w="177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2021</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2020</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CFF0FC" w:val="clear"/>
            <w:vAlign w:val="center"/>
          </w:tcPr>
          <w:p>
            <w:pPr>
              <w:pStyle w:val="TableContents"/>
              <w:bidi w:val="0"/>
              <w:spacing w:before="0" w:after="283"/>
              <w:jc w:val="left"/>
              <w:rPr/>
            </w:pPr>
            <w:r>
              <w:rPr/>
              <w:t> </w:t>
            </w:r>
          </w:p>
        </w:tc>
        <w:tc>
          <w:tcPr>
            <w:tcW w:w="17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2019</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2018</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CFF0FC" w:val="clear"/>
            <w:vAlign w:val="center"/>
          </w:tcPr>
          <w:p>
            <w:pPr>
              <w:pStyle w:val="TableContents"/>
              <w:bidi w:val="0"/>
              <w:spacing w:before="0" w:after="283"/>
              <w:jc w:val="left"/>
              <w:rPr/>
            </w:pPr>
            <w:r>
              <w:rPr/>
              <w:t> </w:t>
            </w:r>
          </w:p>
        </w:tc>
        <w:tc>
          <w:tcPr>
            <w:tcW w:w="17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21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63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center"/>
              <w:rPr/>
            </w:pPr>
            <w:r>
              <w:rPr/>
              <w:t> </w:t>
            </w:r>
          </w:p>
        </w:tc>
      </w:tr>
      <w:tr>
        <w:trPr/>
        <w:tc>
          <w:tcPr>
            <w:tcW w:w="137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Credit Facility</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pPr>
            <w:r>
              <w:rPr/>
              <w:t> </w:t>
            </w:r>
          </w:p>
        </w:tc>
        <w:tc>
          <w:tcPr>
            <w:tcW w:w="215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13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63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ind w:left="0" w:right="0" w:firstLine="100"/>
              <w:jc w:val="left"/>
              <w:rPr/>
            </w:pPr>
            <w:r>
              <w:rPr/>
              <w:t> </w:t>
            </w:r>
          </w:p>
        </w:tc>
      </w:tr>
      <w:tr>
        <w:trPr/>
        <w:tc>
          <w:tcPr>
            <w:tcW w:w="137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2023</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2022</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CFF0FC" w:val="clear"/>
            <w:vAlign w:val="center"/>
          </w:tcPr>
          <w:p>
            <w:pPr>
              <w:pStyle w:val="TableContents"/>
              <w:bidi w:val="0"/>
              <w:spacing w:before="0" w:after="283"/>
              <w:jc w:val="left"/>
              <w:rPr/>
            </w:pPr>
            <w:r>
              <w:rPr/>
              <w:t> </w:t>
            </w:r>
          </w:p>
        </w:tc>
        <w:tc>
          <w:tcPr>
            <w:tcW w:w="177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2021</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2020</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CFF0FC" w:val="clear"/>
            <w:vAlign w:val="center"/>
          </w:tcPr>
          <w:p>
            <w:pPr>
              <w:pStyle w:val="TableContents"/>
              <w:bidi w:val="0"/>
              <w:spacing w:before="0" w:after="283"/>
              <w:jc w:val="left"/>
              <w:rPr/>
            </w:pPr>
            <w:r>
              <w:rPr/>
              <w:t> </w:t>
            </w:r>
          </w:p>
        </w:tc>
        <w:tc>
          <w:tcPr>
            <w:tcW w:w="177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2019</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2018</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CFF0FC" w:val="clear"/>
            <w:vAlign w:val="center"/>
          </w:tcPr>
          <w:p>
            <w:pPr>
              <w:pStyle w:val="TableContents"/>
              <w:bidi w:val="0"/>
              <w:spacing w:before="0" w:after="283"/>
              <w:jc w:val="left"/>
              <w:rPr/>
            </w:pPr>
            <w:r>
              <w:rPr/>
              <w:t> </w:t>
            </w:r>
          </w:p>
        </w:tc>
        <w:tc>
          <w:tcPr>
            <w:tcW w:w="17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21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63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center"/>
              <w:rPr/>
            </w:pPr>
            <w:r>
              <w:rPr/>
              <w:t> </w:t>
            </w:r>
          </w:p>
        </w:tc>
      </w:tr>
      <w:tr>
        <w:trPr/>
        <w:tc>
          <w:tcPr>
            <w:tcW w:w="1378"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Credit Facility - CIBC </w:t>
            </w:r>
            <w:r>
              <w:rPr>
                <w:rFonts w:ascii="Times New Roman" w:hAnsi="Times New Roman"/>
                <w:b/>
                <w:color w:val="000000"/>
                <w:sz w:val="11"/>
              </w:rPr>
              <w:t>(5)</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pPr>
            <w:r>
              <w:rPr/>
              <w:t> </w:t>
            </w:r>
          </w:p>
        </w:tc>
        <w:tc>
          <w:tcPr>
            <w:tcW w:w="215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13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63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ind w:left="0" w:right="0" w:firstLine="100"/>
              <w:jc w:val="left"/>
              <w:rPr/>
            </w:pPr>
            <w:r>
              <w:rPr/>
              <w:t> </w:t>
            </w:r>
          </w:p>
        </w:tc>
      </w:tr>
      <w:tr>
        <w:trPr/>
        <w:tc>
          <w:tcPr>
            <w:tcW w:w="137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2023</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2022</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CFF0FC" w:val="clear"/>
            <w:vAlign w:val="center"/>
          </w:tcPr>
          <w:p>
            <w:pPr>
              <w:pStyle w:val="TableContents"/>
              <w:bidi w:val="0"/>
              <w:spacing w:before="0" w:after="283"/>
              <w:jc w:val="left"/>
              <w:rPr/>
            </w:pPr>
            <w:r>
              <w:rPr/>
              <w:t> </w:t>
            </w:r>
          </w:p>
        </w:tc>
        <w:tc>
          <w:tcPr>
            <w:tcW w:w="17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2021</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2020</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CFF0FC" w:val="clear"/>
            <w:vAlign w:val="center"/>
          </w:tcPr>
          <w:p>
            <w:pPr>
              <w:pStyle w:val="TableContents"/>
              <w:bidi w:val="0"/>
              <w:spacing w:before="0" w:after="283"/>
              <w:jc w:val="left"/>
              <w:rPr/>
            </w:pPr>
            <w:r>
              <w:rPr/>
              <w:t> </w:t>
            </w:r>
          </w:p>
        </w:tc>
        <w:tc>
          <w:tcPr>
            <w:tcW w:w="17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2019</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2018</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CFF0FC" w:val="clear"/>
            <w:vAlign w:val="center"/>
          </w:tcPr>
          <w:p>
            <w:pPr>
              <w:pStyle w:val="TableContents"/>
              <w:bidi w:val="0"/>
              <w:spacing w:before="0" w:after="283"/>
              <w:jc w:val="left"/>
              <w:rPr/>
            </w:pPr>
            <w:r>
              <w:rPr/>
              <w:t> </w:t>
            </w:r>
          </w:p>
        </w:tc>
        <w:tc>
          <w:tcPr>
            <w:tcW w:w="177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21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63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center"/>
              <w:rPr/>
            </w:pPr>
            <w:r>
              <w:rPr/>
              <w:t> </w:t>
            </w:r>
          </w:p>
        </w:tc>
      </w:tr>
      <w:tr>
        <w:trPr/>
        <w:tc>
          <w:tcPr>
            <w:tcW w:w="137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pPr>
            <w:r>
              <w:rPr/>
              <w:t> </w:t>
            </w:r>
          </w:p>
        </w:tc>
        <w:tc>
          <w:tcPr>
            <w:tcW w:w="215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13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63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ind w:left="0" w:right="0" w:firstLine="100"/>
              <w:jc w:val="center"/>
              <w:rPr/>
            </w:pPr>
            <w:r>
              <w:rPr/>
              <w:t> </w:t>
            </w:r>
          </w:p>
        </w:tc>
      </w:tr>
      <w:tr>
        <w:trPr/>
        <w:tc>
          <w:tcPr>
            <w:tcW w:w="137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2023</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2022</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CFF0FC" w:val="clear"/>
            <w:vAlign w:val="center"/>
          </w:tcPr>
          <w:p>
            <w:pPr>
              <w:pStyle w:val="TableContents"/>
              <w:bidi w:val="0"/>
              <w:spacing w:before="0" w:after="283"/>
              <w:jc w:val="left"/>
              <w:rPr/>
            </w:pPr>
            <w:r>
              <w:rPr/>
              <w:t> </w:t>
            </w:r>
          </w:p>
        </w:tc>
        <w:tc>
          <w:tcPr>
            <w:tcW w:w="177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2021</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2020</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CFF0FC" w:val="clear"/>
            <w:vAlign w:val="center"/>
          </w:tcPr>
          <w:p>
            <w:pPr>
              <w:pStyle w:val="TableContents"/>
              <w:bidi w:val="0"/>
              <w:spacing w:before="0" w:after="283"/>
              <w:jc w:val="left"/>
              <w:rPr/>
            </w:pPr>
            <w:r>
              <w:rPr/>
              <w:t> </w:t>
            </w:r>
          </w:p>
        </w:tc>
        <w:tc>
          <w:tcPr>
            <w:tcW w:w="177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2019</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December 31, 2018</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CFF0FC" w:val="clear"/>
            <w:vAlign w:val="center"/>
          </w:tcPr>
          <w:p>
            <w:pPr>
              <w:pStyle w:val="TableContents"/>
              <w:bidi w:val="0"/>
              <w:spacing w:before="0" w:after="283"/>
              <w:jc w:val="left"/>
              <w:rPr/>
            </w:pPr>
            <w:r>
              <w:rPr/>
              <w:t> </w:t>
            </w:r>
          </w:p>
        </w:tc>
        <w:tc>
          <w:tcPr>
            <w:tcW w:w="177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sz w:val="20"/>
        </w:rPr>
      </w:pPr>
      <w:r>
        <w:rPr>
          <w:rFonts w:ascii="Times New Roman" w:hAnsi="Times New Roman"/>
          <w:color w:val="000000"/>
          <w:sz w:val="16"/>
        </w:rPr>
        <w:t>Total amount of each class of senior securities outstanding at the end of the period presented</w:t>
      </w:r>
      <w:r>
        <w:rPr>
          <w:rFonts w:ascii="Times New Roman" w:hAnsi="Times New Roman"/>
          <w:color w:val="000000"/>
          <w:sz w:val="2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sz w:val="20"/>
        </w:rPr>
      </w:pPr>
      <w:r>
        <w:rPr>
          <w:rFonts w:ascii="Times New Roman" w:hAnsi="Times New Roman"/>
          <w:color w:val="000000"/>
          <w:sz w:val="20"/>
        </w:rPr>
        <w:t>A</w:t>
      </w:r>
      <w:r>
        <w:rPr>
          <w:rFonts w:ascii="Times New Roman" w:hAnsi="Times New Roman"/>
          <w:color w:val="000000"/>
          <w:sz w:val="16"/>
        </w:rPr>
        <w:t>sset coverage per unit is the ratio of the carrying value of total assets, less all liabilities excluding indebtedness represented by senior securities in this table to the aggregate amount of senior securities representing indebtedness. Asset coverage per unit is express in terms of dollar amounts per $1,000 of indebtedness and is calculated on a consolidated basis.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amount to which such class of senior security would be entitled upon the Company’s involuntary liquidation in preference to any security junior to it. The "—" in this column indicates information that the SEC expressly does not require to be disclosed for certain types of senior securities.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Not applicable because the senior securities are not registered for public trading.</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sz w:val="20"/>
        </w:rPr>
      </w:pPr>
      <w:r>
        <w:rPr>
          <w:rFonts w:ascii="Times New Roman" w:hAnsi="Times New Roman"/>
          <w:color w:val="000000"/>
          <w:sz w:val="16"/>
        </w:rPr>
        <w:t>On June 22, 2018, the Company entered into the Credit Facility with CIBC. On May 31, 2019, in conjunction with securing and entering into the new Credit Facility, the Company terminated the Credit Facility with CIBC</w:t>
      </w:r>
      <w:r>
        <w:rPr>
          <w:rFonts w:ascii="Times New Roman" w:hAnsi="Times New Roman"/>
          <w:color w:val="000000"/>
          <w:sz w:val="20"/>
        </w:rPr>
        <w: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8 — Commitments and Contingencies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provides the Company’s contractual obligations as of December 31, 2023 (in thousands):</w:t>
      </w:r>
    </w:p>
    <w:tbl>
      <w:tblPr>
        <w:tblW w:w="9623" w:type="dxa"/>
        <w:jc w:val="left"/>
        <w:tblInd w:w="0" w:type="dxa"/>
        <w:tblLayout w:type="fixed"/>
        <w:tblCellMar>
          <w:top w:w="28" w:type="dxa"/>
          <w:left w:w="28" w:type="dxa"/>
          <w:bottom w:w="28" w:type="dxa"/>
          <w:right w:w="28" w:type="dxa"/>
        </w:tblCellMar>
      </w:tblPr>
      <w:tblGrid>
        <w:gridCol w:w="1899"/>
        <w:gridCol w:w="156"/>
        <w:gridCol w:w="196"/>
        <w:gridCol w:w="146"/>
        <w:gridCol w:w="691"/>
        <w:gridCol w:w="146"/>
        <w:gridCol w:w="146"/>
        <w:gridCol w:w="370"/>
        <w:gridCol w:w="211"/>
        <w:gridCol w:w="739"/>
        <w:gridCol w:w="146"/>
        <w:gridCol w:w="146"/>
        <w:gridCol w:w="256"/>
        <w:gridCol w:w="146"/>
        <w:gridCol w:w="691"/>
        <w:gridCol w:w="146"/>
        <w:gridCol w:w="146"/>
        <w:gridCol w:w="256"/>
        <w:gridCol w:w="146"/>
        <w:gridCol w:w="691"/>
        <w:gridCol w:w="146"/>
        <w:gridCol w:w="146"/>
        <w:gridCol w:w="484"/>
        <w:gridCol w:w="276"/>
        <w:gridCol w:w="710"/>
        <w:gridCol w:w="391"/>
      </w:tblGrid>
      <w:tr>
        <w:trPr/>
        <w:tc>
          <w:tcPr>
            <w:tcW w:w="18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99"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5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Contractual Obligations</w:t>
            </w:r>
            <w:r>
              <w:rPr>
                <w:rFonts w:ascii="Times New Roman" w:hAnsi="Times New Roman"/>
                <w:color w:val="000000"/>
                <w:sz w:val="16"/>
              </w:rPr>
              <w:t> </w:t>
            </w:r>
            <w:r>
              <w:rPr>
                <w:rFonts w:ascii="Times New Roman" w:hAnsi="Times New Roman"/>
                <w:b/>
                <w:color w:val="000000"/>
                <w:sz w:val="11"/>
              </w:rPr>
              <w:t>(1)</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9"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Borrowings </w:t>
            </w:r>
            <w:r>
              <w:rPr>
                <w:rFonts w:ascii="Times New Roman" w:hAnsi="Times New Roman"/>
                <w:color w:val="000000"/>
                <w:sz w:val="11"/>
              </w:rPr>
              <w:t>(2)</w:t>
            </w:r>
          </w:p>
        </w:tc>
        <w:tc>
          <w:tcPr>
            <w:tcW w:w="15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95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c>
          <w:tcPr>
            <w:tcW w:w="986"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189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Credit Facility</w:t>
            </w:r>
          </w:p>
        </w:tc>
        <w:tc>
          <w:tcPr>
            <w:tcW w:w="1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1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76"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189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2026 Notes</w:t>
            </w:r>
          </w:p>
        </w:tc>
        <w:tc>
          <w:tcPr>
            <w:tcW w:w="15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189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2027 Notes</w:t>
            </w:r>
          </w:p>
        </w:tc>
        <w:tc>
          <w:tcPr>
            <w:tcW w:w="1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9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Borrowings</w:t>
            </w:r>
          </w:p>
        </w:tc>
        <w:tc>
          <w:tcPr>
            <w:tcW w:w="15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18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Incentive Fees</w:t>
            </w:r>
          </w:p>
        </w:tc>
        <w:tc>
          <w:tcPr>
            <w:tcW w:w="15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5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528,415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370,919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154,798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Excludes interest payable on borrowings, accrued expenses, and commitments to extend credit to the Company’s portfolio companies.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16"/>
        </w:rPr>
      </w:pPr>
      <w:r>
        <w:rPr>
          <w:rFonts w:ascii="Times New Roman" w:hAnsi="Times New Roman"/>
          <w:color w:val="000000"/>
          <w:sz w:val="16"/>
        </w:rPr>
        <w:t>Amounts represent future principal repayments and not the carrying value of each liability (refer to “Note 7 – Borrowings”).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provides the Company’s contractual obligations as of December 31, 2022 (in thousands):</w:t>
      </w:r>
    </w:p>
    <w:tbl>
      <w:tblPr>
        <w:tblW w:w="9565" w:type="dxa"/>
        <w:jc w:val="left"/>
        <w:tblInd w:w="0" w:type="dxa"/>
        <w:tblLayout w:type="fixed"/>
        <w:tblCellMar>
          <w:top w:w="28" w:type="dxa"/>
          <w:left w:w="28" w:type="dxa"/>
          <w:bottom w:w="28" w:type="dxa"/>
          <w:right w:w="28" w:type="dxa"/>
        </w:tblCellMar>
      </w:tblPr>
      <w:tblGrid>
        <w:gridCol w:w="1899"/>
        <w:gridCol w:w="156"/>
        <w:gridCol w:w="196"/>
        <w:gridCol w:w="146"/>
        <w:gridCol w:w="691"/>
        <w:gridCol w:w="146"/>
        <w:gridCol w:w="146"/>
        <w:gridCol w:w="434"/>
        <w:gridCol w:w="247"/>
        <w:gridCol w:w="638"/>
        <w:gridCol w:w="146"/>
        <w:gridCol w:w="146"/>
        <w:gridCol w:w="256"/>
        <w:gridCol w:w="173"/>
        <w:gridCol w:w="607"/>
        <w:gridCol w:w="146"/>
        <w:gridCol w:w="146"/>
        <w:gridCol w:w="256"/>
        <w:gridCol w:w="146"/>
        <w:gridCol w:w="691"/>
        <w:gridCol w:w="146"/>
        <w:gridCol w:w="146"/>
        <w:gridCol w:w="412"/>
        <w:gridCol w:w="235"/>
        <w:gridCol w:w="823"/>
        <w:gridCol w:w="391"/>
      </w:tblGrid>
      <w:tr>
        <w:trPr/>
        <w:tc>
          <w:tcPr>
            <w:tcW w:w="18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99"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9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Contractual Obligations</w:t>
            </w:r>
            <w:r>
              <w:rPr>
                <w:rFonts w:ascii="Times New Roman" w:hAnsi="Times New Roman"/>
                <w:color w:val="000000"/>
                <w:sz w:val="16"/>
              </w:rPr>
              <w:t> </w:t>
            </w:r>
            <w:r>
              <w:rPr>
                <w:rFonts w:ascii="Times New Roman" w:hAnsi="Times New Roman"/>
                <w:b/>
                <w:color w:val="000000"/>
                <w:sz w:val="11"/>
              </w:rPr>
              <w:t>(1)</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9"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Borrowings </w:t>
            </w:r>
            <w:r>
              <w:rPr>
                <w:rFonts w:ascii="Times New Roman" w:hAnsi="Times New Roman"/>
                <w:color w:val="000000"/>
                <w:sz w:val="11"/>
              </w:rPr>
              <w:t>(2)</w:t>
            </w:r>
          </w:p>
        </w:tc>
        <w:tc>
          <w:tcPr>
            <w:tcW w:w="1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78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1058"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189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Credit Facility</w:t>
            </w:r>
          </w:p>
        </w:tc>
        <w:tc>
          <w:tcPr>
            <w:tcW w:w="15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47" w:type="dxa"/>
            <w:tcBorders/>
            <w:shd w:fill="CFF0FC" w:val="clear"/>
            <w:vAlign w:val="center"/>
          </w:tcPr>
          <w:p>
            <w:pPr>
              <w:pStyle w:val="TableContents"/>
              <w:bidi w:val="0"/>
              <w:spacing w:before="0" w:after="283"/>
              <w:jc w:val="left"/>
              <w:rPr/>
            </w:pPr>
            <w:r>
              <w:rPr/>
              <w:t> </w:t>
            </w:r>
          </w:p>
        </w:tc>
        <w:tc>
          <w:tcPr>
            <w:tcW w:w="6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73" w:type="dxa"/>
            <w:tcBorders/>
            <w:shd w:fill="CFF0FC" w:val="clear"/>
            <w:vAlign w:val="center"/>
          </w:tcPr>
          <w:p>
            <w:pPr>
              <w:pStyle w:val="TableContents"/>
              <w:bidi w:val="0"/>
              <w:spacing w:before="0" w:after="283"/>
              <w:jc w:val="left"/>
              <w:rPr/>
            </w:pPr>
            <w:r>
              <w:rPr/>
              <w:t> </w:t>
            </w:r>
          </w:p>
        </w:tc>
        <w:tc>
          <w:tcPr>
            <w:tcW w:w="6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35"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189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2026 Notes</w:t>
            </w:r>
          </w:p>
        </w:tc>
        <w:tc>
          <w:tcPr>
            <w:tcW w:w="1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189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2027 Notes</w:t>
            </w:r>
          </w:p>
        </w:tc>
        <w:tc>
          <w:tcPr>
            <w:tcW w:w="15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9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Borrowings</w:t>
            </w:r>
          </w:p>
        </w:tc>
        <w:tc>
          <w:tcPr>
            <w:tcW w:w="1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18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Incentive Fees</w:t>
            </w:r>
          </w:p>
        </w:tc>
        <w:tc>
          <w:tcPr>
            <w:tcW w:w="15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5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560,273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Excludes interest payable on borrowings, accrued expenses, and commitments to extend credit to the Company’s portfolio companies.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16"/>
        </w:rPr>
      </w:pPr>
      <w:r>
        <w:rPr>
          <w:rFonts w:ascii="Times New Roman" w:hAnsi="Times New Roman"/>
          <w:color w:val="000000"/>
          <w:sz w:val="16"/>
        </w:rPr>
        <w:t>Amounts represent future principal repayments and not the carrying value of each liability (refer to “Note 7 – Borrowings”).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Contingencies</w:t>
      </w:r>
    </w:p>
    <w:p>
      <w:pPr>
        <w:pStyle w:val="TextBody"/>
        <w:bidi w:val="0"/>
        <w:jc w:val="both"/>
        <w:rPr>
          <w:rFonts w:ascii="Times New Roman" w:hAnsi="Times New Roman"/>
          <w:color w:val="000000"/>
          <w:sz w:val="20"/>
        </w:rPr>
      </w:pPr>
      <w:r>
        <w:rPr>
          <w:rFonts w:ascii="Times New Roman" w:hAnsi="Times New Roman"/>
          <w:color w:val="000000"/>
          <w:sz w:val="20"/>
        </w:rPr>
        <w:t>The Company are not currently subject to any material legal proceedings, nor, to its knowledge, is any material legal proceeding threatened against it. From time to time, the Company may be a party to certain legal proceedings in the ordinary course of business, including proceedings relating to the enforcement of its rights under contracts with its portfolio companies. The Company's business is also subject to extensive regulation, which may result in regulatory proceedings against us. While the outcome of any such legal proceedings cannot be predicted with certainty, the Company does not expect that any such proceedings will have a material effect upon its financial condition or results of operations.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jc w:val="both"/>
        <w:rPr>
          <w:rFonts w:ascii="Times New Roman" w:hAnsi="Times New Roman"/>
          <w:color w:val="000000"/>
          <w:sz w:val="20"/>
        </w:rPr>
      </w:pPr>
      <w:r>
        <w:rPr>
          <w:rFonts w:ascii="Times New Roman" w:hAnsi="Times New Roman"/>
          <w:color w:val="000000"/>
          <w:sz w:val="20"/>
        </w:rPr>
        <w:t xml:space="preserve">In the normal course of business, the Company may enter into investment agreements under which it commits to make an investment in a portfolio company at some future date or over a specified period of time. These unfunded contractual commitments to provide funds to portfolio companies are not reflected on our balance sheet. The availability of such unfunded loan commitments is subject to the specific terms and conditions of each contract, which may include, among other things, portfolio company performance requirements and time-based cancellation provisions. As a result, only a portion of unfunded commitments is currently eligible to be drawn.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Company's unfunded loan commitments to provide debt financing to its portfolio companies amounted to $201.5 million and $315.7 million as of December 31, 2023 and December 31, 2022, respectively, shown in the table below (in thousands):</w:t>
      </w:r>
    </w:p>
    <w:tbl>
      <w:tblPr>
        <w:tblW w:w="9734" w:type="dxa"/>
        <w:jc w:val="left"/>
        <w:tblInd w:w="0" w:type="dxa"/>
        <w:tblLayout w:type="fixed"/>
        <w:tblCellMar>
          <w:top w:w="28" w:type="dxa"/>
          <w:left w:w="28" w:type="dxa"/>
          <w:bottom w:w="28" w:type="dxa"/>
          <w:right w:w="28" w:type="dxa"/>
        </w:tblCellMar>
      </w:tblPr>
      <w:tblGrid>
        <w:gridCol w:w="4126"/>
        <w:gridCol w:w="146"/>
        <w:gridCol w:w="1981"/>
        <w:gridCol w:w="146"/>
        <w:gridCol w:w="284"/>
        <w:gridCol w:w="212"/>
        <w:gridCol w:w="1004"/>
        <w:gridCol w:w="146"/>
        <w:gridCol w:w="185"/>
        <w:gridCol w:w="249"/>
        <w:gridCol w:w="185"/>
        <w:gridCol w:w="879"/>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3PL Central LLC (dba Extensiv)</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2"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11,500</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5"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Betterment Holdings,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14,500</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Brivo,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16,000</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CloudPay,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Dtex Systems,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EBR Systems,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Intellisite Holdings, Inc. (dba Epic IO Technologies,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Interactions Corporation</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Linxup, LLC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Madison Reed,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Moximed,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Nalu Medical,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Revelle Aesthetics,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42,000</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SetPoint Medical Corporation</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Skillshare,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Snagajob.com,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6,785</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6,785</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Snagajob.com,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Convertible Note</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2,035</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Synack,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unused commitments to extend financing</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315,685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9 — Net Assets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Company has the authority to issue 100,000,000 shares of common stock, $0.01 par value per share. In October 2015, in connection with the Company's formation, the Company issued and sold 1,667 shares of common stock to R. David Spreng, the President and Chief Executive Officer of the Company and Chairman of the Company's Board of Directors, for an aggregate purchase price of $25 thousand.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Private Common Stock Offerings</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1, 2017, the Company completed its initial private offering ("Initial Private Offering"), in which the Company issued 18,241,157 shares of its common stock to stockholders for a total purchase price of $275.0 million in reliance on exemptions from the registration requirements of the Securities Act, and other applicable securities laws.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Beginning October 15, 2019 and ending September 29, 2021, the Company had completed multiple closings under its second private offering (the "Second Private Offering") and had accepted aggregate capital commitments of $181.7 million. In connection with the Second Private Offering the Company has issued 9,617,379 shares of its common stock for a total purchase price of $144.3 million. Concurrent with the IPO, all undrawn commitments under the Second Private Offering were cancelled.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On March 31, 2020 and March 24, 2021, the Company had issued in aggregate 22,564 shares as an additional direct investment by Runway Growth Holdings LLC, an affiliate of RGC, at a per-share price of $15.00 for total proceeds of $0.3 million in a private offering pursuant to an exemption from registration under Regulation D of the Securities Act.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On October 25, 2021, the Company closed its IPO, issuing 6,850,000 shares of its common stock at a public offering price of $14.60 per share. Net of underwriting fees and offering costs, the Company received net cash proceeds of $93.0 million. The Company’s common stock began trading on the Nasdaq Global Select Market LLC on October 21, 2021 under the symbol “RWAY”.</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Repurchase Program</w:t>
      </w:r>
    </w:p>
    <w:p>
      <w:pPr>
        <w:pStyle w:val="TextBody"/>
        <w:bidi w:val="0"/>
        <w:spacing w:before="240" w:after="240"/>
        <w:jc w:val="both"/>
        <w:rPr>
          <w:rFonts w:ascii="Times New Roman" w:hAnsi="Times New Roman"/>
          <w:sz w:val="20"/>
        </w:rPr>
      </w:pPr>
      <w:r>
        <w:rPr>
          <w:rFonts w:ascii="Times New Roman" w:hAnsi="Times New Roman"/>
          <w:color w:val="000000"/>
          <w:sz w:val="20"/>
        </w:rPr>
        <w:t xml:space="preserve">On February 24, 2022, the Board of Directors approved a repurchase program (the “Initial Repurchase Program”) under which the Company could have repurchased up to $25.0 million of its outstanding common stock. Under the Initial Repurchase Program, the Company could have repurchased shares at management’s discretion from time to time in open-market transactions, in accordance with all applicable securities laws and regulations. As of December 31, 2022, the Company had repurchased 871,345 shares of the Company's common stock under the Initial </w:t>
      </w:r>
      <w:r>
        <w:rPr>
          <w:rFonts w:ascii="Times New Roman" w:hAnsi="Times New Roman"/>
          <w:color w:val="404040"/>
          <w:sz w:val="20"/>
        </w:rPr>
        <w:t>Repurchase Program for an aggregate purchase price of $10.8 million.</w:t>
      </w:r>
      <w:r>
        <w:rPr>
          <w:rFonts w:ascii="Times New Roman" w:hAnsi="Times New Roman"/>
          <w:color w:val="000000"/>
          <w:sz w:val="20"/>
        </w:rPr>
        <w:t xml:space="preserve"> No shares were repurchased during the year ended December 31, 2023. The Board of Directors did not renew t</w:t>
      </w:r>
      <w:r>
        <w:rPr>
          <w:rFonts w:ascii="Times New Roman" w:hAnsi="Times New Roman"/>
          <w:color w:val="404040"/>
          <w:sz w:val="20"/>
        </w:rPr>
        <w:t xml:space="preserve">he Initial Repurchase Program, </w:t>
      </w:r>
      <w:r>
        <w:rPr>
          <w:rFonts w:ascii="Times New Roman" w:hAnsi="Times New Roman"/>
          <w:color w:val="000000"/>
          <w:sz w:val="20"/>
        </w:rPr>
        <w:t>and it expired on February 24, 2023.</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On November 2, 2023, the Board of Directors approved a new share repurchase program (the "Repurchase Program"), under which the Company may repurchase up to $25.0 million of the Company's outstanding shares of common stock. Under the Repurchase Program, purchases may be made at management’s discretion from time to time in open-market transactions, in accordance with all applicable securities laws and regulations.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As of December 31, 2023, the Company has not repurchased any shares in connection with the Initial Repurchase Program. If not renewed, the Repurchase Program will terminate upon the earlier of (i) November 2, 2024 and (ii) the repurchase of $25.0 million of the Company's shares of common stock.</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Distributions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 intends to pay quarterly distributions to its stockholders out of assets legally available for distribution. All distributions will be paid at the discretion of the Board of Directors and will depend on the Company's earnings, financial condition, maintenance of RIC status for income tax purposes, compliance with applicable BDC regulations and such other factors as the Board of Directors may deem relevant from time to time.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For the year ended December 31, 2023, the Company declared and paid dividends in the amount of $73.3 million, of which $70.8 million was distributed in cash and the remainder distributed in shares to stockholders pursuant to the Company’s Dividend Reinvestment Plan. For the year ended December 31, 2022, the Company declared dividends in the amount of $51.6 million, of which $40.7 million was distributed in cash and the remainder distributed in shares to stockholders pursuant to the Company’s Dividend Reinvestment Plan. For the year ended December 31, 2021, the Company declared dividends in the amount of $44.9 million, of which $17.9 million was distributed in cash and the remainder distributed in shares to stockholders pursuant to the Company’s Dividend Reinvestment Plan.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Dividend Reinvestment Plan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Company maintains a dividend reinvestment plan for common stockholders (the "Dividend Reinvestment Plan"). The Company's Dividend Reinvestment Plan is administered by its transfer agent on behalf of the Company's record holders and participating brokerage firms. Brokerage firms and other financial intermediaries may decide not to participate in the Company's Dividend Reinvestment Plan but may provide a similar distribution reinvestment plan for their clients. The share requirements of the Dividend Reinvestment Plan may be satisfied through the issuance of new common shares or through open market purchases of common shares by the Company.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During the years ended December 31, 2023, December 31, 2022, and December 31, 2021, the Company purchased 204,658, 781,498, and 1,830,974 shares of common stock in the open market under the Dividend Reinvestment Plan for a total of $2.5 million, $10.9 million and $27.0 million, respectively.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summarizes the distributions declared and paid since inception through December 31, 2023:</w:t>
      </w:r>
    </w:p>
    <w:tbl>
      <w:tblPr>
        <w:tblW w:w="7829" w:type="dxa"/>
        <w:jc w:val="left"/>
        <w:tblInd w:w="0" w:type="dxa"/>
        <w:tblLayout w:type="fixed"/>
        <w:tblCellMar>
          <w:top w:w="28" w:type="dxa"/>
          <w:left w:w="28" w:type="dxa"/>
          <w:bottom w:w="28" w:type="dxa"/>
          <w:right w:w="28" w:type="dxa"/>
        </w:tblCellMar>
      </w:tblPr>
      <w:tblGrid>
        <w:gridCol w:w="1531"/>
        <w:gridCol w:w="146"/>
        <w:gridCol w:w="1051"/>
        <w:gridCol w:w="146"/>
        <w:gridCol w:w="1516"/>
        <w:gridCol w:w="146"/>
        <w:gridCol w:w="1516"/>
        <w:gridCol w:w="146"/>
        <w:gridCol w:w="370"/>
        <w:gridCol w:w="275"/>
        <w:gridCol w:w="795"/>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Declaration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3, 2018</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15, 2018</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31, 2018</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26, 2018</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15, 2018</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31, 2018</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 2018</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31, 2018</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15, 2018</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22, 2019</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22, 2019</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26, 2019</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 2019</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7, 2019</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21, 2019</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 2019</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31, 2019</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16, 2019</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0.46</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30, 2019</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5, 2019</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26, 2019</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27, 2019</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30, 2019</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12, 2019</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9, 2019</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10, 2019</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23, 2019</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5, 2020</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6, 2020</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 2020</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7, 2020</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8, 2020</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21, 2020</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5, 2020</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6, 2020</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20, 2020</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0.36</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1, 2020</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1, 2020</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12, 2020</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0.38</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4, 2021</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5, 2021</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19, 2021</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0.37</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29, 2021</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30, 2021</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13, 2021</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0.37</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19, 2021</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 2021</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12, 2021</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0.34</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28, 2021</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8, 2021</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22, 2021</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24, 2022</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8, 2022</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22, 2022</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0.27</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28, 2022</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10, 2022</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24, 2022</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0.30</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28, 2022</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9, 2022</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23, 2022</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27, 2022</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8, 2022</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22, 2022</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0.36</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23, 2023</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7, 2023</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21, 2023</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23, 2023</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7, 2023</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21, 2023</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 2023</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15, 2023</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31, 2023</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 2023</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15, 2023</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31, 2023</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2023</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15, 2023</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31, 2023</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2023</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15, 2023</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31, 2023</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 2023</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13, 2023</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28, 2023</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 2023</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13, 2023</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28, 2023</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0.06</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10 — Income Taxes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elected to be treated as a RIC under Subchapter M of the Code starting with its taxable year ended December 31, 2016. The Company currently qualifies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year and it does not anticipate paying any material United States federal income taxes in the future.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Depending on the level of taxable income earned in a tax year, the Company may choose to carry forward such taxable income in excess of current year dividend distributions from such current year taxable income into the next tax year and pay a 4% excise tax on such income, as required. If the Company determines that the estimated current year taxable income will exceed the estimated dividend distributions for the current year from such income, the Company will accrue excise tax on estimated excess taxable income as such taxable income is earned. For the years ended December 31, 2023, 2022, and 2021, the Company recorded an expense of $0.7 million, $0.3 million, and $0.0 million, respectively, for U.S. federal excise tax, which is included in tax expense in the statement of operations. Differences between taxable income and net increase in net assets resulting from operations either can be temporary, meaning they will reverse in the future, or permanent. In accordance with Section 946</w:t>
        <w:noBreakHyphen/>
        <w:t>205</w:t>
        <w:noBreakHyphen/>
        <w:t>45</w:t>
        <w:noBreakHyphen/>
        <w:t xml:space="preserve">3 of the ASC, permanent tax differences are reclassified from accumulated undistributed earnings to paid-in-capital at the end of each year and have no impact on total net assets.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For the years ended December 31, 2023, 2022, and 2021, the Company reclassified for book purposes amounts arising from permanent book/tax differences primarily related to non-deductible excise taxes paid as follows (in thousands):</w:t>
      </w:r>
    </w:p>
    <w:tbl>
      <w:tblPr>
        <w:tblW w:w="5831" w:type="dxa"/>
        <w:jc w:val="left"/>
        <w:tblInd w:w="0" w:type="dxa"/>
        <w:tblLayout w:type="fixed"/>
        <w:tblCellMar>
          <w:top w:w="28" w:type="dxa"/>
          <w:left w:w="28" w:type="dxa"/>
          <w:bottom w:w="28" w:type="dxa"/>
          <w:right w:w="28" w:type="dxa"/>
        </w:tblCellMar>
      </w:tblPr>
      <w:tblGrid>
        <w:gridCol w:w="2626"/>
        <w:gridCol w:w="146"/>
        <w:gridCol w:w="196"/>
        <w:gridCol w:w="146"/>
        <w:gridCol w:w="436"/>
        <w:gridCol w:w="166"/>
        <w:gridCol w:w="146"/>
        <w:gridCol w:w="196"/>
        <w:gridCol w:w="146"/>
        <w:gridCol w:w="436"/>
        <w:gridCol w:w="166"/>
        <w:gridCol w:w="146"/>
        <w:gridCol w:w="196"/>
        <w:gridCol w:w="146"/>
        <w:gridCol w:w="346"/>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68" w:type="dxa"/>
            <w:gridSpan w:val="1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shd w:fill="FFFFFF" w:val="cle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undistributed earnings</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For U.S. federal income tax purposes, distributions paid to stockholders are reported as ordinary income, return of capital, long term capital gains or a combination thereof. The tax character of distributions paid for the years ended December 31, 2023, 2022, and 2021 was as follows (in thousands):</w:t>
      </w:r>
    </w:p>
    <w:tbl>
      <w:tblPr>
        <w:tblW w:w="5461" w:type="dxa"/>
        <w:jc w:val="left"/>
        <w:tblInd w:w="0" w:type="dxa"/>
        <w:tblLayout w:type="fixed"/>
        <w:tblCellMar>
          <w:top w:w="28" w:type="dxa"/>
          <w:left w:w="28" w:type="dxa"/>
          <w:bottom w:w="28" w:type="dxa"/>
          <w:right w:w="28" w:type="dxa"/>
        </w:tblCellMar>
      </w:tblPr>
      <w:tblGrid>
        <w:gridCol w:w="1711"/>
        <w:gridCol w:w="146"/>
        <w:gridCol w:w="196"/>
        <w:gridCol w:w="146"/>
        <w:gridCol w:w="601"/>
        <w:gridCol w:w="146"/>
        <w:gridCol w:w="146"/>
        <w:gridCol w:w="196"/>
        <w:gridCol w:w="146"/>
        <w:gridCol w:w="601"/>
        <w:gridCol w:w="146"/>
        <w:gridCol w:w="146"/>
        <w:gridCol w:w="196"/>
        <w:gridCol w:w="146"/>
        <w:gridCol w:w="601"/>
        <w:gridCol w:w="19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3" w:type="dxa"/>
            <w:gridSpan w:val="1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shd w:fill="FFFFFF" w:val="clear"/>
            <w:vAlign w:val="center"/>
          </w:tcPr>
          <w:p>
            <w:pPr>
              <w:pStyle w:val="TableContents"/>
              <w:bidi w:val="0"/>
              <w:spacing w:before="0" w:after="283"/>
              <w:jc w:val="center"/>
              <w:rPr/>
            </w:pPr>
            <w:r>
              <w:rPr/>
              <w:t> </w:t>
            </w:r>
          </w:p>
        </w:tc>
      </w:tr>
      <w:tr>
        <w:trPr/>
        <w:tc>
          <w:tcPr>
            <w:tcW w:w="17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Ordinary income</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44,943</w:t>
            </w:r>
          </w:p>
        </w:tc>
        <w:tc>
          <w:tcPr>
            <w:tcW w:w="191" w:type="dxa"/>
            <w:tcBorders/>
            <w:shd w:fill="CFF0FC" w:val="clear"/>
            <w:vAlign w:val="center"/>
          </w:tcPr>
          <w:p>
            <w:pPr>
              <w:pStyle w:val="TableContents"/>
              <w:bidi w:val="0"/>
              <w:spacing w:before="0" w:after="283"/>
              <w:jc w:val="left"/>
              <w:rPr/>
            </w:pPr>
            <w:r>
              <w:rPr/>
              <w:t> </w:t>
            </w:r>
          </w:p>
        </w:tc>
      </w:tr>
      <w:tr>
        <w:trPr/>
        <w:tc>
          <w:tcPr>
            <w:tcW w:w="17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capital gain</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7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Return of capital</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sets forth the tax cost basis and the estimated aggregate gross unrealized gain (loss) on investments for federal income tax purposes as of and for the years ended December 31, 2023, 2022 and 2021 (in thousands):</w:t>
      </w:r>
    </w:p>
    <w:tbl>
      <w:tblPr>
        <w:tblW w:w="7216" w:type="dxa"/>
        <w:jc w:val="left"/>
        <w:tblInd w:w="0" w:type="dxa"/>
        <w:tblLayout w:type="fixed"/>
        <w:tblCellMar>
          <w:top w:w="28" w:type="dxa"/>
          <w:left w:w="28" w:type="dxa"/>
          <w:bottom w:w="28" w:type="dxa"/>
          <w:right w:w="28" w:type="dxa"/>
        </w:tblCellMar>
      </w:tblPr>
      <w:tblGrid>
        <w:gridCol w:w="2866"/>
        <w:gridCol w:w="146"/>
        <w:gridCol w:w="196"/>
        <w:gridCol w:w="146"/>
        <w:gridCol w:w="826"/>
        <w:gridCol w:w="166"/>
        <w:gridCol w:w="146"/>
        <w:gridCol w:w="196"/>
        <w:gridCol w:w="146"/>
        <w:gridCol w:w="826"/>
        <w:gridCol w:w="166"/>
        <w:gridCol w:w="146"/>
        <w:gridCol w:w="196"/>
        <w:gridCol w:w="146"/>
        <w:gridCol w:w="691"/>
        <w:gridCol w:w="21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993" w:type="dxa"/>
            <w:gridSpan w:val="1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shd w:fill="FFFFFF" w:val="clear"/>
            <w:vAlign w:val="center"/>
          </w:tcPr>
          <w:p>
            <w:pPr>
              <w:pStyle w:val="TableContents"/>
              <w:bidi w:val="0"/>
              <w:spacing w:before="0" w:after="283"/>
              <w:jc w:val="center"/>
              <w:rPr/>
            </w:pPr>
            <w:r>
              <w:rPr/>
              <w:t> </w:t>
            </w:r>
          </w:p>
        </w:tc>
      </w:tr>
      <w:tr>
        <w:trPr/>
        <w:tc>
          <w:tcPr>
            <w:tcW w:w="2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cost of investments</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1,105,481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1,149,902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726,969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28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on a tax basis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23,598</w:t>
            </w:r>
          </w:p>
        </w:tc>
        <w:tc>
          <w:tcPr>
            <w:tcW w:w="211" w:type="dxa"/>
            <w:tcBorders/>
            <w:shd w:fill="CFF0FC" w:val="clear"/>
            <w:vAlign w:val="center"/>
          </w:tcPr>
          <w:p>
            <w:pPr>
              <w:pStyle w:val="TableContents"/>
              <w:bidi w:val="0"/>
              <w:spacing w:before="0" w:after="283"/>
              <w:jc w:val="left"/>
              <w:rPr/>
            </w:pPr>
            <w:r>
              <w:rPr/>
              <w:t> </w:t>
            </w:r>
          </w:p>
        </w:tc>
      </w:tr>
      <w:tr>
        <w:trPr/>
        <w:tc>
          <w:tcPr>
            <w:tcW w:w="28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a tax basis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gain (loss) on a tax basis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At December 31, 2023, 2022 and 2021, the components of distributable earnings on a tax basis detailed below differ from the amounts reflected in the Company’s Consolidated Statements of Assets and Liabilities by temporary and other book/tax differences, primarily relating to the tax treatment of debt modifications, as follows (in thousands):</w:t>
      </w:r>
    </w:p>
    <w:tbl>
      <w:tblPr>
        <w:tblW w:w="7141" w:type="dxa"/>
        <w:jc w:val="left"/>
        <w:tblInd w:w="0" w:type="dxa"/>
        <w:tblLayout w:type="fixed"/>
        <w:tblCellMar>
          <w:top w:w="28" w:type="dxa"/>
          <w:left w:w="28" w:type="dxa"/>
          <w:bottom w:w="28" w:type="dxa"/>
          <w:right w:w="28" w:type="dxa"/>
        </w:tblCellMar>
      </w:tblPr>
      <w:tblGrid>
        <w:gridCol w:w="3241"/>
        <w:gridCol w:w="146"/>
        <w:gridCol w:w="196"/>
        <w:gridCol w:w="146"/>
        <w:gridCol w:w="661"/>
        <w:gridCol w:w="166"/>
        <w:gridCol w:w="146"/>
        <w:gridCol w:w="196"/>
        <w:gridCol w:w="146"/>
        <w:gridCol w:w="661"/>
        <w:gridCol w:w="166"/>
        <w:gridCol w:w="146"/>
        <w:gridCol w:w="196"/>
        <w:gridCol w:w="146"/>
        <w:gridCol w:w="571"/>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543" w:type="dxa"/>
            <w:gridSpan w:val="1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shd w:fill="FFFFFF" w:val="cle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Undistributed ordinary income</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w:t>
            </w:r>
          </w:p>
        </w:tc>
        <w:tc>
          <w:tcPr>
            <w:tcW w:w="21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Undistributed capital gains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loss carry forwards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(26,726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(2,931</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Late year losses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accumulated losses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gain (loss) on a tax basis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earnings/(deficit) on a tax basis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For tax purposes, net realized capital losses may be carried over to offset future capital gains, if any. Funds are permitted to carry forward capital losses for an indefinite period, and such losses will retain their character as either short-term or long-term capital losses.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years ended December 31, 2023, 2022 and 2021, the Company utilized capital loss carryforward in the amount of $0, $0, and $1.4 million, respectively, to offset realized capital gains.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accounts for income taxes in conformity with ASC Topic 740 — Income Taxes ("ASC 740"). ASC 740 provides guidelines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There were no material uncertain income tax positions at December 31, 2023, December 31, 2022 or December 31, 2021. Although the Company files federal and state tax returns, the Company's major tax jurisdiction is federal. The previous three tax year-ends and the interim tax period since then remain subject to examination by the Internal Revenue Service.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Company does not distribute (or is not deemed to have distributed) each calendar year the sum of  (1) 98% of its net ordinary income for each calendar year, (2) 98.2% of its capital gain net income for the one-year period ending October 31 in that calendar year and (3) any income recognized, but not distributed, in preceding years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Company does not qualify to be treated as a RIC for any taxable year, the Company will be taxed as a regular corporation (a “C corporation”) under subchapter C of the Code for such taxable year. If the Company has previously qualified as a RIC but is subsequently unable to qualify,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by the end of the first year that it intends to requalify. If the Company fails to requalify for a period greater than two taxable years, it may be subject to U.S. federal income tax at corporate tax rates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11 — Financial Highlights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the financial highlights for the years ended December 31, 2016 through 2023 (in thousands, except for per share data and ratios):</w:t>
      </w:r>
    </w:p>
    <w:tbl>
      <w:tblPr>
        <w:tblW w:w="12449" w:type="dxa"/>
        <w:jc w:val="left"/>
        <w:tblInd w:w="0" w:type="dxa"/>
        <w:tblLayout w:type="fixed"/>
        <w:tblCellMar>
          <w:top w:w="28" w:type="dxa"/>
          <w:left w:w="28" w:type="dxa"/>
          <w:bottom w:w="28" w:type="dxa"/>
          <w:right w:w="28" w:type="dxa"/>
        </w:tblCellMar>
      </w:tblPr>
      <w:tblGrid>
        <w:gridCol w:w="1001"/>
        <w:gridCol w:w="146"/>
        <w:gridCol w:w="181"/>
        <w:gridCol w:w="146"/>
        <w:gridCol w:w="586"/>
        <w:gridCol w:w="151"/>
        <w:gridCol w:w="146"/>
        <w:gridCol w:w="146"/>
        <w:gridCol w:w="181"/>
        <w:gridCol w:w="146"/>
        <w:gridCol w:w="586"/>
        <w:gridCol w:w="151"/>
        <w:gridCol w:w="146"/>
        <w:gridCol w:w="146"/>
        <w:gridCol w:w="241"/>
        <w:gridCol w:w="146"/>
        <w:gridCol w:w="586"/>
        <w:gridCol w:w="151"/>
        <w:gridCol w:w="146"/>
        <w:gridCol w:w="146"/>
        <w:gridCol w:w="241"/>
        <w:gridCol w:w="146"/>
        <w:gridCol w:w="586"/>
        <w:gridCol w:w="151"/>
        <w:gridCol w:w="146"/>
        <w:gridCol w:w="146"/>
        <w:gridCol w:w="241"/>
        <w:gridCol w:w="146"/>
        <w:gridCol w:w="586"/>
        <w:gridCol w:w="151"/>
        <w:gridCol w:w="146"/>
        <w:gridCol w:w="146"/>
        <w:gridCol w:w="241"/>
        <w:gridCol w:w="146"/>
        <w:gridCol w:w="586"/>
        <w:gridCol w:w="151"/>
        <w:gridCol w:w="146"/>
        <w:gridCol w:w="146"/>
        <w:gridCol w:w="241"/>
        <w:gridCol w:w="146"/>
        <w:gridCol w:w="586"/>
        <w:gridCol w:w="151"/>
        <w:gridCol w:w="146"/>
        <w:gridCol w:w="146"/>
        <w:gridCol w:w="241"/>
        <w:gridCol w:w="146"/>
        <w:gridCol w:w="556"/>
        <w:gridCol w:w="151"/>
        <w:gridCol w:w="416"/>
      </w:tblGrid>
      <w:tr>
        <w:trPr/>
        <w:tc>
          <w:tcPr>
            <w:tcW w:w="1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02" w:type="dxa"/>
            <w:gridSpan w:val="47"/>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Years Ended December 31,</w:t>
            </w:r>
          </w:p>
        </w:tc>
      </w:tr>
      <w:tr>
        <w:trPr/>
        <w:tc>
          <w:tcPr>
            <w:tcW w:w="1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2016</w:t>
            </w:r>
          </w:p>
        </w:tc>
      </w:tr>
      <w:tr>
        <w:trPr/>
        <w:tc>
          <w:tcPr>
            <w:tcW w:w="100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Per Share Data</w:t>
            </w:r>
            <w:r>
              <w:rPr>
                <w:rFonts w:ascii="Times New Roman" w:hAnsi="Times New Roman"/>
                <w:b/>
                <w:color w:val="000000"/>
                <w:sz w:val="9"/>
              </w:rPr>
              <w:t>(1)</w:t>
            </w:r>
            <w:r>
              <w:rPr>
                <w:rFonts w:ascii="Times New Roman" w:hAnsi="Times New Roman"/>
                <w:b/>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0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r>
      <w:tr>
        <w:trPr/>
        <w:tc>
          <w:tcPr>
            <w:tcW w:w="100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asset value at beginning of period</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51"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ind w:left="0" w:right="0" w:firstLine="100"/>
              <w:jc w:val="left"/>
              <w:rPr/>
            </w:pPr>
            <w:r>
              <w:rPr/>
              <w:t> </w:t>
            </w:r>
          </w:p>
        </w:tc>
      </w:tr>
      <w:tr>
        <w:trPr/>
        <w:tc>
          <w:tcPr>
            <w:tcW w:w="10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Net investment income</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(0.66</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(83.81</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6" w:type="dxa"/>
            <w:tcBorders/>
            <w:shd w:fill="CFF0FC" w:val="clear"/>
            <w:vAlign w:val="center"/>
          </w:tcPr>
          <w:p>
            <w:pPr>
              <w:pStyle w:val="TableContents"/>
              <w:bidi w:val="0"/>
              <w:spacing w:before="0" w:after="283"/>
              <w:ind w:left="0" w:right="0" w:firstLine="100"/>
              <w:jc w:val="left"/>
              <w:rPr/>
            </w:pPr>
            <w:r>
              <w:rPr/>
              <w:t> </w:t>
            </w:r>
          </w:p>
        </w:tc>
      </w:tr>
      <w:tr>
        <w:trPr/>
        <w:tc>
          <w:tcPr>
            <w:tcW w:w="10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Net realized gain (loss)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(0.45</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(0.19</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ind w:left="0" w:right="0" w:firstLine="100"/>
              <w:jc w:val="left"/>
              <w:rPr/>
            </w:pPr>
            <w:r>
              <w:rPr/>
              <w:t> </w:t>
            </w:r>
          </w:p>
        </w:tc>
      </w:tr>
      <w:tr>
        <w:trPr/>
        <w:tc>
          <w:tcPr>
            <w:tcW w:w="10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Net change in unrealized gain (loss)</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from investment operations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(0.52</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(83.82</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6" w:type="dxa"/>
            <w:tcBorders/>
            <w:shd w:fill="FFFFFF" w:val="clear"/>
            <w:vAlign w:val="center"/>
          </w:tcPr>
          <w:p>
            <w:pPr>
              <w:pStyle w:val="TableContents"/>
              <w:bidi w:val="0"/>
              <w:spacing w:before="0" w:after="283"/>
              <w:jc w:val="left"/>
              <w:rPr/>
            </w:pPr>
            <w:r>
              <w:rPr/>
              <w:t> </w:t>
            </w:r>
          </w:p>
        </w:tc>
      </w:tr>
      <w:tr>
        <w:trPr/>
        <w:tc>
          <w:tcPr>
            <w:tcW w:w="10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0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ind w:left="0" w:right="0" w:firstLine="100"/>
              <w:jc w:val="left"/>
              <w:rPr/>
            </w:pPr>
            <w:r>
              <w:rPr/>
              <w:t> </w:t>
            </w:r>
          </w:p>
        </w:tc>
      </w:tr>
      <w:tr>
        <w:trPr/>
        <w:tc>
          <w:tcPr>
            <w:tcW w:w="10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Distributions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(0.75</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ind w:left="0" w:right="0" w:firstLine="100"/>
              <w:jc w:val="left"/>
              <w:rPr/>
            </w:pPr>
            <w:r>
              <w:rPr/>
              <w:t> </w:t>
            </w:r>
          </w:p>
        </w:tc>
      </w:tr>
      <w:tr>
        <w:trPr/>
        <w:tc>
          <w:tcPr>
            <w:tcW w:w="10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Offering costs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(0.21</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ind w:left="0" w:right="0" w:firstLine="100"/>
              <w:jc w:val="left"/>
              <w:rPr/>
            </w:pPr>
            <w:r>
              <w:rPr/>
              <w:t> </w:t>
            </w:r>
          </w:p>
        </w:tc>
      </w:tr>
      <w:tr>
        <w:trPr/>
        <w:tc>
          <w:tcPr>
            <w:tcW w:w="1001" w:type="dxa"/>
            <w:tcBorders/>
            <w:shd w:fill="FFFFFF" w:val="clear"/>
            <w:vAlign w:val="center"/>
          </w:tcPr>
          <w:p>
            <w:pPr>
              <w:pStyle w:val="TableContents"/>
              <w:bidi w:val="0"/>
              <w:spacing w:before="0" w:after="283"/>
              <w:ind w:left="100" w:right="0" w:firstLine="100"/>
              <w:jc w:val="left"/>
              <w:rPr>
                <w:rFonts w:ascii="Times New Roman" w:hAnsi="Times New Roman"/>
                <w:sz w:val="14"/>
              </w:rPr>
            </w:pPr>
            <w:r>
              <w:rPr>
                <w:rFonts w:ascii="Times New Roman" w:hAnsi="Times New Roman"/>
                <w:color w:val="000000"/>
                <w:sz w:val="14"/>
              </w:rPr>
              <w:t xml:space="preserve">Accretion (dilution) </w:t>
            </w:r>
            <w:r>
              <w:rPr>
                <w:rFonts w:ascii="Times New Roman" w:hAnsi="Times New Roman"/>
                <w:color w:val="000000"/>
                <w:sz w:val="9"/>
              </w:rPr>
              <w:t>(2)</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asset value at end of period</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r>
      <w:tr>
        <w:trPr/>
        <w:tc>
          <w:tcPr>
            <w:tcW w:w="100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Ratio/Supplemental Data:</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0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ind w:left="0" w:right="0" w:firstLine="100"/>
              <w:jc w:val="left"/>
              <w:rPr/>
            </w:pPr>
            <w:r>
              <w:rPr/>
              <w:t> </w:t>
            </w:r>
          </w:p>
        </w:tc>
      </w:tr>
      <w:tr>
        <w:trPr/>
        <w:tc>
          <w:tcPr>
            <w:tcW w:w="1001" w:type="dxa"/>
            <w:tcBorders/>
            <w:shd w:fill="FFFFFF" w:val="clear"/>
            <w:vAlign w:val="center"/>
          </w:tcPr>
          <w:p>
            <w:pPr>
              <w:pStyle w:val="TableContents"/>
              <w:bidi w:val="0"/>
              <w:spacing w:before="0" w:after="283"/>
              <w:ind w:left="100" w:right="0" w:firstLine="100"/>
              <w:jc w:val="left"/>
              <w:rPr>
                <w:rFonts w:ascii="Times New Roman" w:hAnsi="Times New Roman"/>
                <w:sz w:val="14"/>
              </w:rPr>
            </w:pPr>
            <w:r>
              <w:rPr>
                <w:rFonts w:ascii="Times New Roman" w:hAnsi="Times New Roman"/>
                <w:color w:val="000000"/>
                <w:sz w:val="14"/>
              </w:rPr>
              <w:t>Total return based on net asset value</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7.67</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7.68</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10.83</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8.39</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41.23</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6"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4"/>
              </w:rPr>
              <w:t>%</w:t>
            </w:r>
          </w:p>
        </w:tc>
      </w:tr>
      <w:tr>
        <w:trPr/>
        <w:tc>
          <w:tcPr>
            <w:tcW w:w="1001" w:type="dxa"/>
            <w:tcBorders/>
            <w:shd w:fill="CFF0FC" w:val="clear"/>
            <w:vAlign w:val="center"/>
          </w:tcPr>
          <w:p>
            <w:pPr>
              <w:pStyle w:val="TableContents"/>
              <w:bidi w:val="0"/>
              <w:spacing w:before="0" w:after="283"/>
              <w:ind w:left="100" w:right="0" w:firstLine="100"/>
              <w:jc w:val="left"/>
              <w:rPr>
                <w:rFonts w:ascii="Times New Roman" w:hAnsi="Times New Roman"/>
                <w:sz w:val="14"/>
              </w:rPr>
            </w:pPr>
            <w:r>
              <w:rPr>
                <w:rFonts w:ascii="Times New Roman" w:hAnsi="Times New Roman"/>
                <w:color w:val="000000"/>
                <w:sz w:val="14"/>
              </w:rPr>
              <w:t>Total return based on market value</w:t>
            </w:r>
            <w:r>
              <w:rPr>
                <w:rFonts w:ascii="Times New Roman" w:hAnsi="Times New Roman"/>
                <w:color w:val="000000"/>
                <w:sz w:val="9"/>
              </w:rPr>
              <w:t>(4)</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24.50</w:t>
            </w:r>
          </w:p>
        </w:tc>
        <w:tc>
          <w:tcPr>
            <w:tcW w:w="151" w:type="dxa"/>
            <w:tcBorders/>
            <w:shd w:fill="CFF0FC" w:val="clear"/>
            <w:vAlign w:val="center"/>
          </w:tcPr>
          <w:p>
            <w:pPr>
              <w:pStyle w:val="TableContents"/>
              <w:bidi w:val="0"/>
              <w:spacing w:before="0" w:after="283"/>
              <w:jc w:val="left"/>
              <w:rPr/>
            </w:pPr>
            <w:r>
              <w:rPr/>
              <w:t> </w:t>
            </w:r>
          </w:p>
        </w:tc>
        <w:tc>
          <w:tcPr>
            <w:tcW w:w="292" w:type="dxa"/>
            <w:gridSpan w:val="2"/>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0.23</w:t>
            </w:r>
          </w:p>
        </w:tc>
        <w:tc>
          <w:tcPr>
            <w:tcW w:w="151" w:type="dxa"/>
            <w:tcBorders/>
            <w:shd w:fill="CFF0FC" w:val="clear"/>
            <w:vAlign w:val="center"/>
          </w:tcPr>
          <w:p>
            <w:pPr>
              <w:pStyle w:val="TableContents"/>
              <w:bidi w:val="0"/>
              <w:spacing w:before="0" w:after="283"/>
              <w:jc w:val="left"/>
              <w:rPr/>
            </w:pPr>
            <w:r>
              <w:rPr/>
              <w:t> </w:t>
            </w:r>
          </w:p>
        </w:tc>
        <w:tc>
          <w:tcPr>
            <w:tcW w:w="292" w:type="dxa"/>
            <w:gridSpan w:val="2"/>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51" w:type="dxa"/>
            <w:tcBorders/>
            <w:shd w:fill="CFF0FC" w:val="clear"/>
            <w:vAlign w:val="center"/>
          </w:tcPr>
          <w:p>
            <w:pPr>
              <w:pStyle w:val="TableContents"/>
              <w:bidi w:val="0"/>
              <w:spacing w:before="0" w:after="283"/>
              <w:jc w:val="right"/>
              <w:rPr/>
            </w:pPr>
            <w:r>
              <w:rPr/>
              <w:t> </w:t>
            </w:r>
          </w:p>
        </w:tc>
        <w:tc>
          <w:tcPr>
            <w:tcW w:w="292"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51" w:type="dxa"/>
            <w:tcBorders/>
            <w:shd w:fill="CFF0FC" w:val="clear"/>
            <w:vAlign w:val="center"/>
          </w:tcPr>
          <w:p>
            <w:pPr>
              <w:pStyle w:val="TableContents"/>
              <w:bidi w:val="0"/>
              <w:spacing w:before="0" w:after="283"/>
              <w:jc w:val="right"/>
              <w:rPr/>
            </w:pPr>
            <w:r>
              <w:rPr/>
              <w:t> </w:t>
            </w:r>
          </w:p>
        </w:tc>
        <w:tc>
          <w:tcPr>
            <w:tcW w:w="292"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51" w:type="dxa"/>
            <w:tcBorders/>
            <w:shd w:fill="CFF0FC" w:val="clear"/>
            <w:vAlign w:val="center"/>
          </w:tcPr>
          <w:p>
            <w:pPr>
              <w:pStyle w:val="TableContents"/>
              <w:bidi w:val="0"/>
              <w:spacing w:before="0" w:after="283"/>
              <w:jc w:val="right"/>
              <w:rPr/>
            </w:pPr>
            <w:r>
              <w:rPr/>
              <w:t> </w:t>
            </w:r>
          </w:p>
        </w:tc>
        <w:tc>
          <w:tcPr>
            <w:tcW w:w="292"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51" w:type="dxa"/>
            <w:tcBorders/>
            <w:shd w:fill="CFF0FC" w:val="clear"/>
            <w:vAlign w:val="center"/>
          </w:tcPr>
          <w:p>
            <w:pPr>
              <w:pStyle w:val="TableContents"/>
              <w:bidi w:val="0"/>
              <w:spacing w:before="0" w:after="283"/>
              <w:jc w:val="right"/>
              <w:rPr/>
            </w:pPr>
            <w:r>
              <w:rPr/>
              <w:t> </w:t>
            </w:r>
          </w:p>
        </w:tc>
        <w:tc>
          <w:tcPr>
            <w:tcW w:w="292"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51" w:type="dxa"/>
            <w:tcBorders/>
            <w:shd w:fill="CFF0FC" w:val="clear"/>
            <w:vAlign w:val="center"/>
          </w:tcPr>
          <w:p>
            <w:pPr>
              <w:pStyle w:val="TableContents"/>
              <w:bidi w:val="0"/>
              <w:spacing w:before="0" w:after="283"/>
              <w:jc w:val="right"/>
              <w:rPr/>
            </w:pPr>
            <w:r>
              <w:rPr/>
              <w:t> </w:t>
            </w:r>
          </w:p>
        </w:tc>
        <w:tc>
          <w:tcPr>
            <w:tcW w:w="292"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02"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51" w:type="dxa"/>
            <w:tcBorders/>
            <w:shd w:fill="CFF0FC" w:val="clear"/>
            <w:vAlign w:val="center"/>
          </w:tcPr>
          <w:p>
            <w:pPr>
              <w:pStyle w:val="TableContents"/>
              <w:bidi w:val="0"/>
              <w:spacing w:before="0" w:after="283"/>
              <w:jc w:val="right"/>
              <w:rPr/>
            </w:pPr>
            <w:r>
              <w:rPr/>
              <w:t> </w:t>
            </w:r>
          </w:p>
        </w:tc>
        <w:tc>
          <w:tcPr>
            <w:tcW w:w="416" w:type="dxa"/>
            <w:tcBorders/>
            <w:shd w:fill="CFF0FC" w:val="clear"/>
            <w:vAlign w:val="center"/>
          </w:tcPr>
          <w:p>
            <w:pPr>
              <w:pStyle w:val="TableContents"/>
              <w:bidi w:val="0"/>
              <w:spacing w:before="0" w:after="283"/>
              <w:ind w:left="0" w:right="0" w:firstLine="100"/>
              <w:jc w:val="left"/>
              <w:rPr/>
            </w:pPr>
            <w:r>
              <w:rPr/>
              <w:t> </w:t>
            </w:r>
          </w:p>
        </w:tc>
      </w:tr>
      <w:tr>
        <w:trPr/>
        <w:tc>
          <w:tcPr>
            <w:tcW w:w="1001" w:type="dxa"/>
            <w:tcBorders/>
            <w:shd w:fill="FFFFFF" w:val="clear"/>
            <w:vAlign w:val="center"/>
          </w:tcPr>
          <w:p>
            <w:pPr>
              <w:pStyle w:val="TableContents"/>
              <w:bidi w:val="0"/>
              <w:spacing w:before="0" w:after="283"/>
              <w:ind w:left="100" w:right="0" w:firstLine="100"/>
              <w:jc w:val="left"/>
              <w:rPr>
                <w:rFonts w:ascii="Times New Roman" w:hAnsi="Times New Roman"/>
                <w:sz w:val="14"/>
              </w:rPr>
            </w:pPr>
            <w:r>
              <w:rPr>
                <w:rFonts w:ascii="Times New Roman" w:hAnsi="Times New Roman"/>
                <w:color w:val="000000"/>
                <w:sz w:val="14"/>
              </w:rPr>
              <w:t>Ratio of net investment income to average net assets</w:t>
            </w:r>
            <w:r>
              <w:rPr>
                <w:rFonts w:ascii="Times New Roman" w:hAnsi="Times New Roman"/>
                <w:color w:val="000000"/>
                <w:sz w:val="9"/>
              </w:rPr>
              <w:t>(5)(6)</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13.62</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10.14</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8.74</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9.44</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12.85</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8.30</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(4.56</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(595.90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6"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4"/>
              </w:rPr>
              <w:t>%</w:t>
            </w:r>
          </w:p>
        </w:tc>
      </w:tr>
      <w:tr>
        <w:trPr/>
        <w:tc>
          <w:tcPr>
            <w:tcW w:w="1001" w:type="dxa"/>
            <w:tcBorders/>
            <w:shd w:fill="CFF0FC" w:val="clear"/>
            <w:vAlign w:val="center"/>
          </w:tcPr>
          <w:p>
            <w:pPr>
              <w:pStyle w:val="TableContents"/>
              <w:bidi w:val="0"/>
              <w:spacing w:before="0" w:after="283"/>
              <w:ind w:left="100" w:right="0" w:firstLine="100"/>
              <w:jc w:val="left"/>
              <w:rPr>
                <w:rFonts w:ascii="Times New Roman" w:hAnsi="Times New Roman"/>
                <w:sz w:val="14"/>
              </w:rPr>
            </w:pPr>
            <w:r>
              <w:rPr>
                <w:rFonts w:ascii="Times New Roman" w:hAnsi="Times New Roman"/>
                <w:color w:val="000000"/>
                <w:sz w:val="14"/>
              </w:rPr>
              <w:t>Ratio of total operating expenses to average net assets</w:t>
            </w:r>
            <w:r>
              <w:rPr>
                <w:rFonts w:ascii="Times New Roman" w:hAnsi="Times New Roman"/>
                <w:color w:val="000000"/>
                <w:sz w:val="9"/>
              </w:rPr>
              <w:t>(5)(6)</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14.96</w:t>
            </w:r>
          </w:p>
        </w:tc>
        <w:tc>
          <w:tcPr>
            <w:tcW w:w="151" w:type="dxa"/>
            <w:tcBorders/>
            <w:shd w:fill="CFF0FC" w:val="clear"/>
            <w:vAlign w:val="center"/>
          </w:tcPr>
          <w:p>
            <w:pPr>
              <w:pStyle w:val="TableContents"/>
              <w:bidi w:val="0"/>
              <w:spacing w:before="0" w:after="283"/>
              <w:jc w:val="left"/>
              <w:rPr/>
            </w:pPr>
            <w:r>
              <w:rPr/>
              <w:t> </w:t>
            </w:r>
          </w:p>
        </w:tc>
        <w:tc>
          <w:tcPr>
            <w:tcW w:w="292" w:type="dxa"/>
            <w:gridSpan w:val="2"/>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8.13</w:t>
            </w:r>
          </w:p>
        </w:tc>
        <w:tc>
          <w:tcPr>
            <w:tcW w:w="151" w:type="dxa"/>
            <w:tcBorders/>
            <w:shd w:fill="CFF0FC" w:val="clear"/>
            <w:vAlign w:val="center"/>
          </w:tcPr>
          <w:p>
            <w:pPr>
              <w:pStyle w:val="TableContents"/>
              <w:bidi w:val="0"/>
              <w:spacing w:before="0" w:after="283"/>
              <w:jc w:val="left"/>
              <w:rPr/>
            </w:pPr>
            <w:r>
              <w:rPr/>
              <w:t> </w:t>
            </w:r>
          </w:p>
        </w:tc>
        <w:tc>
          <w:tcPr>
            <w:tcW w:w="292" w:type="dxa"/>
            <w:gridSpan w:val="2"/>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w:t>
            </w:r>
          </w:p>
        </w:tc>
        <w:tc>
          <w:tcPr>
            <w:tcW w:w="151" w:type="dxa"/>
            <w:tcBorders/>
            <w:shd w:fill="CFF0FC" w:val="clear"/>
            <w:vAlign w:val="center"/>
          </w:tcPr>
          <w:p>
            <w:pPr>
              <w:pStyle w:val="TableContents"/>
              <w:bidi w:val="0"/>
              <w:spacing w:before="0" w:after="283"/>
              <w:jc w:val="left"/>
              <w:rPr/>
            </w:pPr>
            <w:r>
              <w:rPr/>
              <w:t> </w:t>
            </w:r>
          </w:p>
        </w:tc>
        <w:tc>
          <w:tcPr>
            <w:tcW w:w="292" w:type="dxa"/>
            <w:gridSpan w:val="2"/>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4.85</w:t>
            </w:r>
          </w:p>
        </w:tc>
        <w:tc>
          <w:tcPr>
            <w:tcW w:w="151" w:type="dxa"/>
            <w:tcBorders/>
            <w:shd w:fill="CFF0FC" w:val="clear"/>
            <w:vAlign w:val="center"/>
          </w:tcPr>
          <w:p>
            <w:pPr>
              <w:pStyle w:val="TableContents"/>
              <w:bidi w:val="0"/>
              <w:spacing w:before="0" w:after="283"/>
              <w:jc w:val="left"/>
              <w:rPr/>
            </w:pPr>
            <w:r>
              <w:rPr/>
              <w:t> </w:t>
            </w:r>
          </w:p>
        </w:tc>
        <w:tc>
          <w:tcPr>
            <w:tcW w:w="292" w:type="dxa"/>
            <w:gridSpan w:val="2"/>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6.58</w:t>
            </w:r>
          </w:p>
        </w:tc>
        <w:tc>
          <w:tcPr>
            <w:tcW w:w="151" w:type="dxa"/>
            <w:tcBorders/>
            <w:shd w:fill="CFF0FC" w:val="clear"/>
            <w:vAlign w:val="center"/>
          </w:tcPr>
          <w:p>
            <w:pPr>
              <w:pStyle w:val="TableContents"/>
              <w:bidi w:val="0"/>
              <w:spacing w:before="0" w:after="283"/>
              <w:jc w:val="left"/>
              <w:rPr/>
            </w:pPr>
            <w:r>
              <w:rPr/>
              <w:t> </w:t>
            </w:r>
          </w:p>
        </w:tc>
        <w:tc>
          <w:tcPr>
            <w:tcW w:w="292" w:type="dxa"/>
            <w:gridSpan w:val="2"/>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w:t>
            </w:r>
          </w:p>
        </w:tc>
        <w:tc>
          <w:tcPr>
            <w:tcW w:w="151" w:type="dxa"/>
            <w:tcBorders/>
            <w:shd w:fill="CFF0FC" w:val="clear"/>
            <w:vAlign w:val="center"/>
          </w:tcPr>
          <w:p>
            <w:pPr>
              <w:pStyle w:val="TableContents"/>
              <w:bidi w:val="0"/>
              <w:spacing w:before="0" w:after="283"/>
              <w:jc w:val="left"/>
              <w:rPr/>
            </w:pPr>
            <w:r>
              <w:rPr/>
              <w:t> </w:t>
            </w:r>
          </w:p>
        </w:tc>
        <w:tc>
          <w:tcPr>
            <w:tcW w:w="292" w:type="dxa"/>
            <w:gridSpan w:val="2"/>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12.46</w:t>
            </w:r>
          </w:p>
        </w:tc>
        <w:tc>
          <w:tcPr>
            <w:tcW w:w="151" w:type="dxa"/>
            <w:tcBorders/>
            <w:shd w:fill="CFF0FC" w:val="clear"/>
            <w:vAlign w:val="center"/>
          </w:tcPr>
          <w:p>
            <w:pPr>
              <w:pStyle w:val="TableContents"/>
              <w:bidi w:val="0"/>
              <w:spacing w:before="0" w:after="283"/>
              <w:jc w:val="left"/>
              <w:rPr/>
            </w:pPr>
            <w:r>
              <w:rPr/>
              <w:t> </w:t>
            </w:r>
          </w:p>
        </w:tc>
        <w:tc>
          <w:tcPr>
            <w:tcW w:w="292" w:type="dxa"/>
            <w:gridSpan w:val="2"/>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595.90</w:t>
            </w:r>
          </w:p>
        </w:tc>
        <w:tc>
          <w:tcPr>
            <w:tcW w:w="151"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4"/>
              </w:rPr>
              <w:t>%</w:t>
            </w:r>
          </w:p>
        </w:tc>
      </w:tr>
      <w:tr>
        <w:trPr/>
        <w:tc>
          <w:tcPr>
            <w:tcW w:w="1001" w:type="dxa"/>
            <w:tcBorders/>
            <w:shd w:fill="FFFFFF" w:val="clear"/>
            <w:vAlign w:val="center"/>
          </w:tcPr>
          <w:p>
            <w:pPr>
              <w:pStyle w:val="TableContents"/>
              <w:bidi w:val="0"/>
              <w:spacing w:before="0" w:after="283"/>
              <w:ind w:left="100" w:right="0" w:firstLine="100"/>
              <w:jc w:val="left"/>
              <w:rPr>
                <w:rFonts w:ascii="Times New Roman" w:hAnsi="Times New Roman"/>
                <w:sz w:val="14"/>
              </w:rPr>
            </w:pPr>
            <w:r>
              <w:rPr>
                <w:rFonts w:ascii="Times New Roman" w:hAnsi="Times New Roman"/>
                <w:color w:val="000000"/>
                <w:sz w:val="14"/>
              </w:rPr>
              <w:t>Ratio of total operating expenses, excluding incentive fees, to average net assets</w:t>
            </w:r>
            <w:r>
              <w:rPr>
                <w:rFonts w:ascii="Times New Roman" w:hAnsi="Times New Roman"/>
                <w:color w:val="000000"/>
                <w:sz w:val="9"/>
              </w:rPr>
              <w:t>(5)</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11.64</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5.90</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12.46</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595.90</w:t>
            </w:r>
          </w:p>
        </w:tc>
        <w:tc>
          <w:tcPr>
            <w:tcW w:w="151"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4"/>
              </w:rPr>
              <w:t>%</w:t>
            </w:r>
          </w:p>
        </w:tc>
      </w:tr>
      <w:tr>
        <w:trPr/>
        <w:tc>
          <w:tcPr>
            <w:tcW w:w="1001" w:type="dxa"/>
            <w:tcBorders/>
            <w:shd w:fill="CFF0FC" w:val="clear"/>
            <w:vAlign w:val="center"/>
          </w:tcPr>
          <w:p>
            <w:pPr>
              <w:pStyle w:val="TableContents"/>
              <w:bidi w:val="0"/>
              <w:spacing w:before="0" w:after="283"/>
              <w:ind w:left="100" w:right="0" w:firstLine="100"/>
              <w:jc w:val="left"/>
              <w:rPr>
                <w:rFonts w:ascii="Times New Roman" w:hAnsi="Times New Roman"/>
                <w:sz w:val="14"/>
              </w:rPr>
            </w:pPr>
            <w:r>
              <w:rPr>
                <w:rFonts w:ascii="Times New Roman" w:hAnsi="Times New Roman"/>
                <w:color w:val="000000"/>
                <w:sz w:val="14"/>
              </w:rPr>
              <w:t>Ratio of net increase (decrease) in net assets resulting from operations to average net assets</w:t>
            </w:r>
            <w:r>
              <w:rPr>
                <w:rFonts w:ascii="Times New Roman" w:hAnsi="Times New Roman"/>
                <w:color w:val="000000"/>
                <w:sz w:val="9"/>
              </w:rPr>
              <w:t>(5)</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w:t>
            </w:r>
          </w:p>
        </w:tc>
        <w:tc>
          <w:tcPr>
            <w:tcW w:w="151" w:type="dxa"/>
            <w:tcBorders/>
            <w:shd w:fill="CFF0FC" w:val="clear"/>
            <w:vAlign w:val="center"/>
          </w:tcPr>
          <w:p>
            <w:pPr>
              <w:pStyle w:val="TableContents"/>
              <w:bidi w:val="0"/>
              <w:spacing w:before="0" w:after="283"/>
              <w:jc w:val="left"/>
              <w:rPr/>
            </w:pPr>
            <w:r>
              <w:rPr/>
              <w:t> </w:t>
            </w:r>
          </w:p>
        </w:tc>
        <w:tc>
          <w:tcPr>
            <w:tcW w:w="292" w:type="dxa"/>
            <w:gridSpan w:val="2"/>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5.47</w:t>
            </w:r>
          </w:p>
        </w:tc>
        <w:tc>
          <w:tcPr>
            <w:tcW w:w="151" w:type="dxa"/>
            <w:tcBorders/>
            <w:shd w:fill="CFF0FC" w:val="clear"/>
            <w:vAlign w:val="center"/>
          </w:tcPr>
          <w:p>
            <w:pPr>
              <w:pStyle w:val="TableContents"/>
              <w:bidi w:val="0"/>
              <w:spacing w:before="0" w:after="283"/>
              <w:jc w:val="left"/>
              <w:rPr/>
            </w:pPr>
            <w:r>
              <w:rPr/>
              <w:t> </w:t>
            </w:r>
          </w:p>
        </w:tc>
        <w:tc>
          <w:tcPr>
            <w:tcW w:w="292" w:type="dxa"/>
            <w:gridSpan w:val="2"/>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8.97</w:t>
            </w:r>
          </w:p>
        </w:tc>
        <w:tc>
          <w:tcPr>
            <w:tcW w:w="151" w:type="dxa"/>
            <w:tcBorders/>
            <w:shd w:fill="CFF0FC" w:val="clear"/>
            <w:vAlign w:val="center"/>
          </w:tcPr>
          <w:p>
            <w:pPr>
              <w:pStyle w:val="TableContents"/>
              <w:bidi w:val="0"/>
              <w:spacing w:before="0" w:after="283"/>
              <w:jc w:val="left"/>
              <w:rPr/>
            </w:pPr>
            <w:r>
              <w:rPr/>
              <w:t> </w:t>
            </w:r>
          </w:p>
        </w:tc>
        <w:tc>
          <w:tcPr>
            <w:tcW w:w="292" w:type="dxa"/>
            <w:gridSpan w:val="2"/>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11.65</w:t>
            </w:r>
          </w:p>
        </w:tc>
        <w:tc>
          <w:tcPr>
            <w:tcW w:w="151" w:type="dxa"/>
            <w:tcBorders/>
            <w:shd w:fill="CFF0FC" w:val="clear"/>
            <w:vAlign w:val="center"/>
          </w:tcPr>
          <w:p>
            <w:pPr>
              <w:pStyle w:val="TableContents"/>
              <w:bidi w:val="0"/>
              <w:spacing w:before="0" w:after="283"/>
              <w:jc w:val="left"/>
              <w:rPr/>
            </w:pPr>
            <w:r>
              <w:rPr/>
              <w:t> </w:t>
            </w:r>
          </w:p>
        </w:tc>
        <w:tc>
          <w:tcPr>
            <w:tcW w:w="292" w:type="dxa"/>
            <w:gridSpan w:val="2"/>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9.74</w:t>
            </w:r>
          </w:p>
        </w:tc>
        <w:tc>
          <w:tcPr>
            <w:tcW w:w="151" w:type="dxa"/>
            <w:tcBorders/>
            <w:shd w:fill="CFF0FC" w:val="clear"/>
            <w:vAlign w:val="center"/>
          </w:tcPr>
          <w:p>
            <w:pPr>
              <w:pStyle w:val="TableContents"/>
              <w:bidi w:val="0"/>
              <w:spacing w:before="0" w:after="283"/>
              <w:jc w:val="left"/>
              <w:rPr/>
            </w:pPr>
            <w:r>
              <w:rPr/>
              <w:t> </w:t>
            </w:r>
          </w:p>
        </w:tc>
        <w:tc>
          <w:tcPr>
            <w:tcW w:w="292" w:type="dxa"/>
            <w:gridSpan w:val="2"/>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8.34</w:t>
            </w:r>
          </w:p>
        </w:tc>
        <w:tc>
          <w:tcPr>
            <w:tcW w:w="151" w:type="dxa"/>
            <w:tcBorders/>
            <w:shd w:fill="CFF0FC" w:val="clear"/>
            <w:vAlign w:val="center"/>
          </w:tcPr>
          <w:p>
            <w:pPr>
              <w:pStyle w:val="TableContents"/>
              <w:bidi w:val="0"/>
              <w:spacing w:before="0" w:after="283"/>
              <w:jc w:val="left"/>
              <w:rPr/>
            </w:pPr>
            <w:r>
              <w:rPr/>
              <w:t> </w:t>
            </w:r>
          </w:p>
        </w:tc>
        <w:tc>
          <w:tcPr>
            <w:tcW w:w="292" w:type="dxa"/>
            <w:gridSpan w:val="2"/>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92" w:type="dxa"/>
            <w:gridSpan w:val="2"/>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(595.90</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6" w:type="dxa"/>
            <w:tcBorders/>
            <w:shd w:fill="CFF0FC"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4"/>
              </w:rPr>
              <w:t>%</w:t>
            </w:r>
          </w:p>
        </w:tc>
      </w:tr>
      <w:tr>
        <w:trPr/>
        <w:tc>
          <w:tcPr>
            <w:tcW w:w="1001" w:type="dxa"/>
            <w:tcBorders/>
            <w:shd w:fill="FFFFFF" w:val="clear"/>
            <w:vAlign w:val="center"/>
          </w:tcPr>
          <w:p>
            <w:pPr>
              <w:pStyle w:val="TableContents"/>
              <w:bidi w:val="0"/>
              <w:spacing w:before="0" w:after="283"/>
              <w:ind w:left="100" w:right="0" w:firstLine="100"/>
              <w:jc w:val="left"/>
              <w:rPr>
                <w:rFonts w:ascii="Times New Roman" w:hAnsi="Times New Roman"/>
                <w:sz w:val="14"/>
              </w:rPr>
            </w:pPr>
            <w:r>
              <w:rPr>
                <w:rFonts w:ascii="Times New Roman" w:hAnsi="Times New Roman"/>
                <w:color w:val="000000"/>
                <w:sz w:val="14"/>
              </w:rPr>
              <w:t>Portfolio turnover rate</w:t>
            </w:r>
            <w:r>
              <w:rPr>
                <w:rFonts w:ascii="Times New Roman" w:hAnsi="Times New Roman"/>
                <w:color w:val="000000"/>
                <w:sz w:val="9"/>
              </w:rPr>
              <w:t>(7)</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18.61</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19.17</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52.05</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26.31</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35.72</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14.08</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206.80</w:t>
            </w:r>
          </w:p>
        </w:tc>
        <w:tc>
          <w:tcPr>
            <w:tcW w:w="151" w:type="dxa"/>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51" w:type="dxa"/>
            <w:tcBorders/>
            <w:shd w:fill="FFFFFF" w:val="clear"/>
            <w:vAlign w:val="center"/>
          </w:tcPr>
          <w:p>
            <w:pPr>
              <w:pStyle w:val="TableContents"/>
              <w:bidi w:val="0"/>
              <w:spacing w:before="0" w:after="283"/>
              <w:jc w:val="right"/>
              <w:rPr/>
            </w:pPr>
            <w:r>
              <w:rPr/>
              <w:t> </w:t>
            </w:r>
          </w:p>
        </w:tc>
        <w:tc>
          <w:tcPr>
            <w:tcW w:w="416" w:type="dxa"/>
            <w:tcBorders/>
            <w:shd w:fill="FFFFFF" w:val="clear"/>
            <w:vAlign w:val="center"/>
          </w:tcPr>
          <w:p>
            <w:pPr>
              <w:pStyle w:val="TableContents"/>
              <w:bidi w:val="0"/>
              <w:spacing w:before="0" w:after="283"/>
              <w:ind w:left="0" w:right="0" w:firstLine="100"/>
              <w:jc w:val="left"/>
              <w:rPr/>
            </w:pPr>
            <w:r>
              <w:rPr/>
              <w:t> </w:t>
            </w:r>
          </w:p>
        </w:tc>
      </w:tr>
      <w:tr>
        <w:trPr/>
        <w:tc>
          <w:tcPr>
            <w:tcW w:w="1001"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0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ind w:left="0" w:right="0" w:firstLine="100"/>
              <w:jc w:val="left"/>
              <w:rPr/>
            </w:pPr>
            <w:r>
              <w:rPr/>
              <w:t> </w:t>
            </w:r>
          </w:p>
        </w:tc>
      </w:tr>
      <w:tr>
        <w:trPr/>
        <w:tc>
          <w:tcPr>
            <w:tcW w:w="10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Net assets at beginning of period</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576,052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606,195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466,244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376,313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167,369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127,040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51"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ind w:left="0" w:right="0" w:firstLine="100"/>
              <w:jc w:val="left"/>
              <w:rPr/>
            </w:pPr>
            <w:r>
              <w:rPr/>
              <w:t> </w:t>
            </w:r>
          </w:p>
        </w:tc>
      </w:tr>
      <w:tr>
        <w:trPr/>
        <w:tc>
          <w:tcPr>
            <w:tcW w:w="10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Net assets at end of period</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547,071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576,052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606,195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466,244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376,313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167,369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127,040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3,477</w:t>
            </w:r>
          </w:p>
        </w:tc>
        <w:tc>
          <w:tcPr>
            <w:tcW w:w="151"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ind w:left="0" w:right="0" w:firstLine="100"/>
              <w:jc w:val="left"/>
              <w:rPr/>
            </w:pPr>
            <w:r>
              <w:rPr/>
              <w:t> </w:t>
            </w:r>
          </w:p>
        </w:tc>
      </w:tr>
      <w:tr>
        <w:trPr/>
        <w:tc>
          <w:tcPr>
            <w:tcW w:w="10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Weighted average net assets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574,594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589,669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508,836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403,188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283,774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141,046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40,389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w:t>
            </w:r>
          </w:p>
        </w:tc>
        <w:tc>
          <w:tcPr>
            <w:tcW w:w="151"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ind w:left="0" w:right="0" w:firstLine="100"/>
              <w:jc w:val="left"/>
              <w:rPr/>
            </w:pPr>
            <w:r>
              <w:rPr/>
              <w:t> </w:t>
            </w:r>
          </w:p>
        </w:tc>
      </w:tr>
      <w:tr>
        <w:trPr/>
        <w:tc>
          <w:tcPr>
            <w:tcW w:w="10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Weighted average shares outstanding for the period, basic</w:t>
            </w:r>
          </w:p>
        </w:tc>
        <w:tc>
          <w:tcPr>
            <w:tcW w:w="146" w:type="dxa"/>
            <w:tcBorders/>
            <w:shd w:fill="CFF0FC" w:val="clear"/>
            <w:vAlign w:val="center"/>
          </w:tcPr>
          <w:p>
            <w:pPr>
              <w:pStyle w:val="TableContents"/>
              <w:bidi w:val="0"/>
              <w:spacing w:before="0" w:after="283"/>
              <w:jc w:val="left"/>
              <w:rPr/>
            </w:pPr>
            <w:r>
              <w:rPr/>
              <w:t> </w:t>
            </w:r>
          </w:p>
        </w:tc>
        <w:tc>
          <w:tcPr>
            <w:tcW w:w="913" w:type="dxa"/>
            <w:gridSpan w:val="3"/>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40,509,269</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3" w:type="dxa"/>
            <w:gridSpan w:val="3"/>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40,971,242</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73" w:type="dxa"/>
            <w:gridSpan w:val="3"/>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34,183,358</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73" w:type="dxa"/>
            <w:gridSpan w:val="3"/>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27,617,425</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73" w:type="dxa"/>
            <w:gridSpan w:val="3"/>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18,701,021</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73" w:type="dxa"/>
            <w:gridSpan w:val="3"/>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9,300,960</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73" w:type="dxa"/>
            <w:gridSpan w:val="3"/>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2,795,274</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43" w:type="dxa"/>
            <w:gridSpan w:val="3"/>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10,774</w:t>
            </w:r>
          </w:p>
        </w:tc>
        <w:tc>
          <w:tcPr>
            <w:tcW w:w="151" w:type="dxa"/>
            <w:tcBorders/>
            <w:shd w:fill="CFF0FC" w:val="clear"/>
            <w:vAlign w:val="center"/>
          </w:tcPr>
          <w:p>
            <w:pPr>
              <w:pStyle w:val="TableContents"/>
              <w:bidi w:val="0"/>
              <w:spacing w:before="0" w:after="283"/>
              <w:jc w:val="right"/>
              <w:rPr/>
            </w:pPr>
            <w:r>
              <w:rPr/>
              <w:t> </w:t>
            </w:r>
          </w:p>
        </w:tc>
        <w:tc>
          <w:tcPr>
            <w:tcW w:w="416"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All per share activity, excluding dividends, is calculated based on the weighted-average shares outstanding for the relevant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Accretion (dilution) represents the effect of issuance of common stock and repurchase of treasury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Total return based on net asset value is calculated as the change in net asset value per share during the period plus dividends per share, divided by the beginning net asset values per share.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Total return based on market value is calculated as the change in market value per share during the period plus dividends per share, divided by the beginning market value per share. For the periods 2021 and prior, total return based on market value is not applicable as the Company was not yet public for the entirety of the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ratios are calculated based on weighted average net assets for the relevant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ratio includes incentive fees and as incentive fees are performance driven, the amount expensed in future periods may vary significantly and is dependent on overall investment performance, early terminations, scheduled prepayments and other liquidity events.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portfolio turnover rate for the period is calculated by taking the lesser of investment portfolio purchases or sales during the period, divided by the average investment portfolio value during the period.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12 —  Subsequent Events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evaluated events subsequent to December 31, 2023 through March 7, 2024, the date the consolidated financial statements were issued.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Effective January 1, 2024, the Company placed one loan to Mingle Healthcare Solutions, Inc. on non-accrual status, representing an outstanding principal of $4.3 million at a fair market value of $3.8 million as of December 31, 2023. The loan comprised 0.37% of the total fair value of the investment portfolio, excluding U.S. Treasury Bills, as of December 31, 2023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February 1, 2024, the Company’s board of directors declared an ordinary distribution of $0.40 per share and a supplemental distribution of $0.07 per share for stockholders of record as of February 12, 2024, payable on February 28, 2024.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February 14, 2024, the Company received a partial prepayment of $7.1 million from MarleySpoon SE on its senior secured loan.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7, 2024, the Company and Cadma Capital Partners LLC entered into a Limited Liability Company Agreement to co-manage Runway-Cadma I LLC (the "Joint Venture"). The Joint Venture is expected to invest in various types of investments, including, but not limited to, first and second lien senior secured term loans, including delayed draw and multi-tranche loans, and secured revolving credit facilities.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left"/>
        <w:rPr>
          <w:rFonts w:ascii="Times New Roman" w:hAnsi="Times New Roman"/>
          <w:b/>
          <w:color w:val="000000"/>
          <w:sz w:val="20"/>
        </w:rPr>
      </w:pPr>
      <w:bookmarkStart w:id="25" w:name="item9changesinanddisagreementswithaccoun"/>
      <w:bookmarkEnd w:id="25"/>
      <w:r>
        <w:rPr>
          <w:rFonts w:ascii="Times New Roman" w:hAnsi="Times New Roman"/>
          <w:b/>
          <w:color w:val="000000"/>
          <w:sz w:val="20"/>
        </w:rPr>
        <w:t>Item 9. Changes in and Disagreements with Accountants on Accounting and Financial Disclosure.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40"/>
        <w:jc w:val="left"/>
        <w:rPr>
          <w:rFonts w:ascii="Times New Roman" w:hAnsi="Times New Roman"/>
          <w:b/>
          <w:color w:val="000000"/>
          <w:sz w:val="20"/>
        </w:rPr>
      </w:pPr>
      <w:bookmarkStart w:id="26" w:name="item9acontrolsandprocedures_793054"/>
      <w:bookmarkEnd w:id="26"/>
      <w:r>
        <w:rPr>
          <w:rFonts w:ascii="Times New Roman" w:hAnsi="Times New Roman"/>
          <w:b/>
          <w:color w:val="000000"/>
          <w:sz w:val="20"/>
        </w:rPr>
        <w:t>Item 9A. Controls and Procedures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w:t>
        <w:noBreakHyphen/>
        <w:t>15(e) and Rule 15d-15(e)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Management’s Report on Internal Control over Financial Reporting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w:t>
        <w:noBreakHyphen/>
        <w:t>15(f) and 15d</w:t>
        <w:noBreakHyphen/>
        <w:t>15(f) of the Exchange Act). The Company’s internal control over financial reporting is a process designed under the supervision of its Chief Executive Officer (Principal Executive Officer) and Chief Financial Officer and Treasurer (Principal Financial Officer) and effected by the Company’s Board of Directors, management and other personnel, to provide reasonable assurance regarding the reliability of financial reporting and the preparation of its consolidated financial statements for external reporting purposes in accordance with U.S. GAAP.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internal control over financial reporting includes policies and procedures that pertain to the maintenance of records that, in reasonable detail, accurately and fairly reflect transactions and dispositions of the Company’s assets; provide reasonable assurance that transactions are recorded as necessary to permit preparation of consolidated financial statements in accordance with U.S. GAAP, and that receipts and expenditures of the Company are being made only in accordance with authorizations of management and the directors; and provide reasonable assurance regarding prevention or timely detection of unauthorized acquisition, use or disposition of the Company’s assets that could have a material effect on its consolidated financial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Management conducted an evaluation of the effectiveness of the Company’s internal control over financial reporting as of December 31, 2023 based on the framework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Based on this assessment, management concluded that the Company’s internal control over financial reporting as of December 31, 2023 was effective.</w:t>
      </w:r>
    </w:p>
    <w:p>
      <w:pPr>
        <w:pStyle w:val="TextBody"/>
        <w:bidi w:val="0"/>
        <w:jc w:val="both"/>
        <w:rPr>
          <w:rFonts w:ascii="Times New Roman" w:hAnsi="Times New Roman"/>
          <w:color w:val="000000"/>
          <w:sz w:val="20"/>
        </w:rPr>
      </w:pPr>
      <w:r>
        <w:rPr>
          <w:rFonts w:ascii="Times New Roman" w:hAnsi="Times New Roman"/>
          <w:color w:val="000000"/>
          <w:sz w:val="20"/>
        </w:rPr>
        <w:t>This annual report does not include an attestation report of the Company’s registered public accounting firm due to an exemption for emerging growth companies under the JOBS Act.</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that occurred during the year ended December 31, 2023 that have materially affected, or are reasonably likely to materially affect, our internal control over financial reporting.</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bookmarkStart w:id="27" w:name="item9botherinformation_645796"/>
      <w:bookmarkEnd w:id="27"/>
      <w:r>
        <w:rPr>
          <w:rFonts w:ascii="Times New Roman" w:hAnsi="Times New Roman"/>
          <w:b/>
          <w:color w:val="000000"/>
          <w:sz w:val="20"/>
        </w:rPr>
        <w:t>Item 9B. Other Information</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(a) Fees and Expenses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following information is intended to assist you in understanding the costs and expenses that an investor in our common stock will bear directly or indirectly. We caution you that some of the percentages indicated in the table below are estimates and may vary. Except where the context suggests otherwise, whenever this Annual Report on Form 10-K contains a reference to fees or expenses paid by "you," "us," or "the Company," or that "we" will pay for expenses, stockholders will indirectly bear such fees or expenses as investors in us. </w:t>
      </w:r>
    </w:p>
    <w:tbl>
      <w:tblPr>
        <w:tblW w:w="7772" w:type="dxa"/>
        <w:jc w:val="left"/>
        <w:tblInd w:w="0" w:type="dxa"/>
        <w:tblLayout w:type="fixed"/>
        <w:tblCellMar>
          <w:top w:w="28" w:type="dxa"/>
          <w:left w:w="28" w:type="dxa"/>
          <w:bottom w:w="28" w:type="dxa"/>
          <w:right w:w="28" w:type="dxa"/>
        </w:tblCellMar>
      </w:tblPr>
      <w:tblGrid>
        <w:gridCol w:w="5761"/>
        <w:gridCol w:w="346"/>
        <w:gridCol w:w="146"/>
        <w:gridCol w:w="511"/>
        <w:gridCol w:w="146"/>
        <w:gridCol w:w="241"/>
        <w:gridCol w:w="621"/>
      </w:tblGrid>
      <w:tr>
        <w:trPr/>
        <w:tc>
          <w:tcPr>
            <w:tcW w:w="57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576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 transaction expenses:</w:t>
            </w:r>
          </w:p>
        </w:tc>
        <w:tc>
          <w:tcPr>
            <w:tcW w:w="346" w:type="dxa"/>
            <w:tcBorders/>
            <w:shd w:fill="CFF0FC" w:val="clear"/>
            <w:vAlign w:val="center"/>
          </w:tcPr>
          <w:p>
            <w:pPr>
              <w:pStyle w:val="TableContents"/>
              <w:bidi w:val="0"/>
              <w:spacing w:before="0" w:after="283"/>
              <w:jc w:val="left"/>
              <w:rPr/>
            </w:pPr>
            <w:r>
              <w:rPr/>
              <w:t> </w:t>
            </w:r>
          </w:p>
        </w:tc>
        <w:tc>
          <w:tcPr>
            <w:tcW w:w="657"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2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621" w:type="dxa"/>
            <w:tcBorders/>
            <w:shd w:fill="CFF0FC" w:val="clear"/>
            <w:vAlign w:val="center"/>
          </w:tcPr>
          <w:p>
            <w:pPr>
              <w:pStyle w:val="TableContents"/>
              <w:bidi w:val="0"/>
              <w:spacing w:before="0" w:after="283"/>
              <w:ind w:left="0" w:right="0" w:firstLine="100"/>
              <w:jc w:val="center"/>
              <w:rPr/>
            </w:pPr>
            <w:r>
              <w:rPr/>
              <w:t> </w:t>
            </w:r>
          </w:p>
        </w:tc>
      </w:tr>
      <w:tr>
        <w:trPr/>
        <w:tc>
          <w:tcPr>
            <w:tcW w:w="576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Sales load (as a percentage of offering price)</w:t>
            </w:r>
          </w:p>
        </w:tc>
        <w:tc>
          <w:tcPr>
            <w:tcW w:w="3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21" w:type="dxa"/>
            <w:tcBorders/>
            <w:shd w:fill="FFFFFF" w:val="clear"/>
            <w:vAlign w:val="center"/>
          </w:tcPr>
          <w:p>
            <w:pPr>
              <w:pStyle w:val="TableContents"/>
              <w:bidi w:val="0"/>
              <w:spacing w:before="0" w:after="283"/>
              <w:ind w:left="0" w:right="0" w:firstLine="100"/>
              <w:jc w:val="left"/>
              <w:rPr>
                <w:rFonts w:ascii="Times New Roman" w:hAnsi="Times New Roman"/>
                <w:color w:val="000000"/>
                <w:sz w:val="11"/>
              </w:rPr>
            </w:pPr>
            <w:r>
              <w:rPr>
                <w:rFonts w:ascii="Times New Roman" w:hAnsi="Times New Roman"/>
                <w:color w:val="000000"/>
                <w:sz w:val="11"/>
              </w:rPr>
              <w:t>(1)</w:t>
            </w:r>
          </w:p>
        </w:tc>
      </w:tr>
      <w:tr>
        <w:trPr/>
        <w:tc>
          <w:tcPr>
            <w:tcW w:w="5761"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Offering expenses (as a percentage of offering price)</w:t>
            </w:r>
          </w:p>
        </w:tc>
        <w:tc>
          <w:tcPr>
            <w:tcW w:w="3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21" w:type="dxa"/>
            <w:tcBorders/>
            <w:shd w:fill="CFF0FC" w:val="clear"/>
            <w:vAlign w:val="center"/>
          </w:tcPr>
          <w:p>
            <w:pPr>
              <w:pStyle w:val="TableContents"/>
              <w:bidi w:val="0"/>
              <w:spacing w:before="0" w:after="283"/>
              <w:ind w:left="0" w:right="0" w:firstLine="100"/>
              <w:jc w:val="left"/>
              <w:rPr>
                <w:rFonts w:ascii="Times New Roman" w:hAnsi="Times New Roman"/>
                <w:color w:val="000000"/>
                <w:sz w:val="11"/>
              </w:rPr>
            </w:pPr>
            <w:r>
              <w:rPr>
                <w:rFonts w:ascii="Times New Roman" w:hAnsi="Times New Roman"/>
                <w:color w:val="000000"/>
                <w:sz w:val="11"/>
              </w:rPr>
              <w:t>(2)</w:t>
            </w:r>
          </w:p>
        </w:tc>
      </w:tr>
      <w:tr>
        <w:trPr/>
        <w:tc>
          <w:tcPr>
            <w:tcW w:w="576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 reinvestment plan expenses</w:t>
            </w:r>
          </w:p>
        </w:tc>
        <w:tc>
          <w:tcPr>
            <w:tcW w:w="346" w:type="dxa"/>
            <w:tcBorders/>
            <w:shd w:fill="FFFFFF" w:val="cle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21" w:type="dxa"/>
            <w:tcBorders/>
            <w:shd w:fill="FFFFFF" w:val="clear"/>
            <w:vAlign w:val="center"/>
          </w:tcPr>
          <w:p>
            <w:pPr>
              <w:pStyle w:val="TableContents"/>
              <w:bidi w:val="0"/>
              <w:spacing w:before="0" w:after="283"/>
              <w:ind w:left="0" w:right="0" w:firstLine="200"/>
              <w:jc w:val="left"/>
              <w:rPr>
                <w:rFonts w:ascii="Times New Roman" w:hAnsi="Times New Roman"/>
                <w:color w:val="000000"/>
                <w:sz w:val="11"/>
              </w:rPr>
            </w:pPr>
            <w:r>
              <w:rPr>
                <w:rFonts w:ascii="Times New Roman" w:hAnsi="Times New Roman"/>
                <w:color w:val="000000"/>
                <w:sz w:val="11"/>
              </w:rPr>
              <w:t>(3)</w:t>
            </w:r>
          </w:p>
        </w:tc>
      </w:tr>
      <w:tr>
        <w:trPr/>
        <w:tc>
          <w:tcPr>
            <w:tcW w:w="5761" w:type="dxa"/>
            <w:tcBorders/>
            <w:shd w:fill="CFF0FC" w:val="cle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stockholder transaction expenses (as a percentage of offering price)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21" w:type="dxa"/>
            <w:tcBorders/>
            <w:shd w:fill="CFF0FC" w:val="clear"/>
            <w:vAlign w:val="center"/>
          </w:tcPr>
          <w:p>
            <w:pPr>
              <w:pStyle w:val="TableContents"/>
              <w:bidi w:val="0"/>
              <w:spacing w:before="0" w:after="283"/>
              <w:jc w:val="left"/>
              <w:rPr/>
            </w:pPr>
            <w:r>
              <w:rPr/>
              <w:t> </w:t>
            </w:r>
          </w:p>
        </w:tc>
      </w:tr>
      <w:tr>
        <w:trPr/>
        <w:tc>
          <w:tcPr>
            <w:tcW w:w="576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Annual expenses (as a percentage of net assets attributable to common stock):</w:t>
            </w:r>
          </w:p>
        </w:tc>
        <w:tc>
          <w:tcPr>
            <w:tcW w:w="3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center"/>
              <w:rPr/>
            </w:pPr>
            <w:r>
              <w:rPr/>
              <w:t> </w:t>
            </w:r>
          </w:p>
        </w:tc>
        <w:tc>
          <w:tcPr>
            <w:tcW w:w="621" w:type="dxa"/>
            <w:tcBorders/>
            <w:shd w:fill="FFFFFF" w:val="clear"/>
            <w:vAlign w:val="center"/>
          </w:tcPr>
          <w:p>
            <w:pPr>
              <w:pStyle w:val="TableContents"/>
              <w:bidi w:val="0"/>
              <w:spacing w:before="0" w:after="283"/>
              <w:ind w:left="0" w:right="0" w:firstLine="100"/>
              <w:jc w:val="left"/>
              <w:rPr/>
            </w:pPr>
            <w:r>
              <w:rPr/>
              <w:t> </w:t>
            </w:r>
          </w:p>
        </w:tc>
      </w:tr>
      <w:tr>
        <w:trPr/>
        <w:tc>
          <w:tcPr>
            <w:tcW w:w="5761"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Management Fee payable under the Advisory Agreement</w:t>
            </w:r>
          </w:p>
        </w:tc>
        <w:tc>
          <w:tcPr>
            <w:tcW w:w="3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21" w:type="dxa"/>
            <w:tcBorders/>
            <w:shd w:fill="CFF0FC" w:val="clear"/>
            <w:vAlign w:val="center"/>
          </w:tcPr>
          <w:p>
            <w:pPr>
              <w:pStyle w:val="TableContents"/>
              <w:bidi w:val="0"/>
              <w:spacing w:before="0" w:after="283"/>
              <w:ind w:left="0" w:right="0" w:firstLine="100"/>
              <w:jc w:val="left"/>
              <w:rPr>
                <w:rFonts w:ascii="Times New Roman" w:hAnsi="Times New Roman"/>
                <w:color w:val="000000"/>
                <w:sz w:val="11"/>
              </w:rPr>
            </w:pPr>
            <w:r>
              <w:rPr>
                <w:rFonts w:ascii="Times New Roman" w:hAnsi="Times New Roman"/>
                <w:color w:val="000000"/>
                <w:sz w:val="11"/>
              </w:rPr>
              <w:t>(4) (8)</w:t>
            </w:r>
          </w:p>
        </w:tc>
      </w:tr>
      <w:tr>
        <w:trPr/>
        <w:tc>
          <w:tcPr>
            <w:tcW w:w="576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Incentive Fee payable under the Advisory Agreement</w:t>
            </w:r>
          </w:p>
        </w:tc>
        <w:tc>
          <w:tcPr>
            <w:tcW w:w="3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21" w:type="dxa"/>
            <w:tcBorders/>
            <w:shd w:fill="FFFFFF" w:val="clear"/>
            <w:vAlign w:val="center"/>
          </w:tcPr>
          <w:p>
            <w:pPr>
              <w:pStyle w:val="TableContents"/>
              <w:bidi w:val="0"/>
              <w:spacing w:before="0" w:after="283"/>
              <w:ind w:left="0" w:right="0" w:firstLine="100"/>
              <w:jc w:val="left"/>
              <w:rPr>
                <w:rFonts w:ascii="Times New Roman" w:hAnsi="Times New Roman"/>
                <w:color w:val="000000"/>
                <w:sz w:val="11"/>
              </w:rPr>
            </w:pPr>
            <w:r>
              <w:rPr>
                <w:rFonts w:ascii="Times New Roman" w:hAnsi="Times New Roman"/>
                <w:color w:val="000000"/>
                <w:sz w:val="11"/>
              </w:rPr>
              <w:t>(5) (8)</w:t>
            </w:r>
          </w:p>
        </w:tc>
      </w:tr>
      <w:tr>
        <w:trPr/>
        <w:tc>
          <w:tcPr>
            <w:tcW w:w="5761"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payments and fees paid on borrowed funds</w:t>
            </w:r>
          </w:p>
        </w:tc>
        <w:tc>
          <w:tcPr>
            <w:tcW w:w="3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21" w:type="dxa"/>
            <w:tcBorders/>
            <w:shd w:fill="CFF0FC" w:val="clear"/>
            <w:vAlign w:val="center"/>
          </w:tcPr>
          <w:p>
            <w:pPr>
              <w:pStyle w:val="TableContents"/>
              <w:bidi w:val="0"/>
              <w:spacing w:before="0" w:after="283"/>
              <w:ind w:left="0" w:right="0" w:firstLine="100"/>
              <w:jc w:val="left"/>
              <w:rPr>
                <w:rFonts w:ascii="Times New Roman" w:hAnsi="Times New Roman"/>
                <w:color w:val="000000"/>
                <w:sz w:val="11"/>
              </w:rPr>
            </w:pPr>
            <w:r>
              <w:rPr>
                <w:rFonts w:ascii="Times New Roman" w:hAnsi="Times New Roman"/>
                <w:color w:val="000000"/>
                <w:sz w:val="11"/>
              </w:rPr>
              <w:t>(6) (8)</w:t>
            </w:r>
          </w:p>
        </w:tc>
      </w:tr>
      <w:tr>
        <w:trPr/>
        <w:tc>
          <w:tcPr>
            <w:tcW w:w="576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expenses</w:t>
            </w:r>
          </w:p>
        </w:tc>
        <w:tc>
          <w:tcPr>
            <w:tcW w:w="346" w:type="dxa"/>
            <w:tcBorders/>
            <w:shd w:fill="FFFFFF" w:val="cle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21" w:type="dxa"/>
            <w:tcBorders/>
            <w:shd w:fill="FFFFFF" w:val="clear"/>
            <w:vAlign w:val="center"/>
          </w:tcPr>
          <w:p>
            <w:pPr>
              <w:pStyle w:val="TableContents"/>
              <w:bidi w:val="0"/>
              <w:spacing w:before="0" w:after="283"/>
              <w:ind w:left="0" w:right="0" w:firstLine="200"/>
              <w:jc w:val="left"/>
              <w:rPr>
                <w:rFonts w:ascii="Times New Roman" w:hAnsi="Times New Roman"/>
                <w:color w:val="000000"/>
                <w:sz w:val="11"/>
              </w:rPr>
            </w:pPr>
            <w:r>
              <w:rPr>
                <w:rFonts w:ascii="Times New Roman" w:hAnsi="Times New Roman"/>
                <w:color w:val="000000"/>
                <w:sz w:val="11"/>
              </w:rPr>
              <w:t>(7) (8)</w:t>
            </w:r>
          </w:p>
        </w:tc>
      </w:tr>
      <w:tr>
        <w:trPr/>
        <w:tc>
          <w:tcPr>
            <w:tcW w:w="5761" w:type="dxa"/>
            <w:tcBorders/>
            <w:shd w:fill="CFF0FC" w:val="cle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annual expenses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16.86</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21"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 the event that the securities are sold to or through underwriters, a related prospectus will disclose the applicable sales load (underwriting discount or commission).</w:t>
      </w:r>
    </w:p>
    <w:p>
      <w:pPr>
        <w:pStyle w:val="TextBody"/>
        <w:bidi w:val="0"/>
        <w:spacing w:before="10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00" w:after="283"/>
        <w:jc w:val="left"/>
        <w:rPr>
          <w:rFonts w:ascii="Times New Roman" w:hAnsi="Times New Roman"/>
          <w:color w:val="000000"/>
          <w:sz w:val="16"/>
        </w:rPr>
      </w:pPr>
      <w:r>
        <w:rPr>
          <w:rFonts w:ascii="Times New Roman" w:hAnsi="Times New Roman"/>
          <w:color w:val="000000"/>
          <w:sz w:val="16"/>
        </w:rPr>
        <w:t>A related prospectus will disclose the estimated amount of offering expenses, the offering price and the estimated amount of offering expenses borne by the Company as a percentage of the offering price.</w:t>
      </w:r>
    </w:p>
    <w:p>
      <w:pPr>
        <w:pStyle w:val="TextBody"/>
        <w:bidi w:val="0"/>
        <w:spacing w:before="10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00" w:after="283"/>
        <w:jc w:val="left"/>
        <w:rPr>
          <w:rFonts w:ascii="Times New Roman" w:hAnsi="Times New Roman"/>
          <w:color w:val="000000"/>
          <w:sz w:val="16"/>
        </w:rPr>
      </w:pPr>
      <w:r>
        <w:rPr>
          <w:rFonts w:ascii="Times New Roman" w:hAnsi="Times New Roman"/>
          <w:color w:val="000000"/>
          <w:sz w:val="16"/>
        </w:rPr>
        <w:t>The expenses of the Dividend Reinvestment Plan are included in "other expenses" in the table above. For additional information, refer to "Note 9 – Net Assets."</w:t>
      </w:r>
    </w:p>
    <w:p>
      <w:pPr>
        <w:pStyle w:val="TextBody"/>
        <w:bidi w:val="0"/>
        <w:spacing w:before="10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100" w:after="283"/>
        <w:jc w:val="left"/>
        <w:rPr>
          <w:rFonts w:ascii="Times New Roman" w:hAnsi="Times New Roman"/>
          <w:color w:val="000000"/>
          <w:sz w:val="16"/>
        </w:rPr>
      </w:pPr>
      <w:r>
        <w:rPr>
          <w:rFonts w:ascii="Times New Roman" w:hAnsi="Times New Roman"/>
          <w:color w:val="000000"/>
          <w:sz w:val="16"/>
        </w:rPr>
        <w:t>Assumes the base management fee will be an amount equal to 0.375% (1.50% annualized) of our average daily Gross Assets during the most recently completed calendar quarter. For additional information, refer to "Note 3 – Related Party Agreements and Transactions."</w:t>
      </w:r>
    </w:p>
    <w:p>
      <w:pPr>
        <w:pStyle w:val="TextBody"/>
        <w:bidi w:val="0"/>
        <w:spacing w:before="100" w:after="283"/>
        <w:jc w:val="left"/>
        <w:rPr>
          <w:rFonts w:ascii="Times New Roman" w:hAnsi="Times New Roman"/>
          <w:color w:val="000000"/>
          <w:sz w:val="16"/>
        </w:rPr>
      </w:pPr>
      <w:r>
        <w:rPr>
          <w:rFonts w:ascii="Times New Roman" w:hAnsi="Times New Roman"/>
          <w:color w:val="000000"/>
          <w:sz w:val="16"/>
        </w:rPr>
        <w:t>(5)</w:t>
      </w:r>
    </w:p>
    <w:p>
      <w:pPr>
        <w:pStyle w:val="TextBody"/>
        <w:bidi w:val="0"/>
        <w:spacing w:before="100" w:after="283"/>
        <w:jc w:val="left"/>
        <w:rPr>
          <w:rFonts w:ascii="Times New Roman" w:hAnsi="Times New Roman"/>
          <w:color w:val="000000"/>
          <w:sz w:val="16"/>
        </w:rPr>
      </w:pPr>
      <w:r>
        <w:rPr>
          <w:rFonts w:ascii="Times New Roman" w:hAnsi="Times New Roman"/>
          <w:color w:val="000000"/>
          <w:sz w:val="16"/>
        </w:rPr>
        <w:t>The incentive fee, which provides RGC with a share of the income that RGC generates for us, consists of an Investment Income Fee and a Capital Gains Fee. For additional information, refer to "Note 3 – Related Party Agreements and Transactions."</w:t>
      </w:r>
    </w:p>
    <w:p>
      <w:pPr>
        <w:pStyle w:val="TextBody"/>
        <w:bidi w:val="0"/>
        <w:spacing w:before="100" w:after="283"/>
        <w:jc w:val="left"/>
        <w:rPr>
          <w:rFonts w:ascii="Times New Roman" w:hAnsi="Times New Roman"/>
          <w:color w:val="000000"/>
          <w:sz w:val="16"/>
        </w:rPr>
      </w:pPr>
      <w:r>
        <w:rPr>
          <w:rFonts w:ascii="Times New Roman" w:hAnsi="Times New Roman"/>
          <w:color w:val="000000"/>
          <w:sz w:val="16"/>
        </w:rPr>
        <w:t>(6)</w:t>
      </w:r>
    </w:p>
    <w:p>
      <w:pPr>
        <w:pStyle w:val="TextBody"/>
        <w:bidi w:val="0"/>
        <w:spacing w:before="100" w:after="283"/>
        <w:jc w:val="left"/>
        <w:rPr>
          <w:rFonts w:ascii="Times New Roman" w:hAnsi="Times New Roman"/>
          <w:color w:val="000000"/>
          <w:sz w:val="16"/>
        </w:rPr>
      </w:pPr>
      <w:r>
        <w:rPr>
          <w:rFonts w:ascii="Times New Roman" w:hAnsi="Times New Roman"/>
          <w:color w:val="000000"/>
          <w:sz w:val="16"/>
        </w:rPr>
        <w:t>Interest payments on borrowed funds represents an estimate of our annualized interest expense based on borrowings under the Credit Agreement. The assumed weighted average interest rate on our total debt outstanding was 7.86%. We may borrow additional funds from time to time to make investments to the extent we determine that the economic situation is conducive to doing so. We may also issue debt securities or preferred stock, subject to our compliance with applicable requirements under the 1940 Act. For additional information, refer to "Note 7 – Borrowings."</w:t>
      </w:r>
    </w:p>
    <w:p>
      <w:pPr>
        <w:pStyle w:val="TextBody"/>
        <w:bidi w:val="0"/>
        <w:spacing w:before="100" w:after="283"/>
        <w:jc w:val="left"/>
        <w:rPr>
          <w:rFonts w:ascii="Times New Roman" w:hAnsi="Times New Roman"/>
          <w:color w:val="000000"/>
          <w:sz w:val="16"/>
        </w:rPr>
      </w:pPr>
      <w:r>
        <w:rPr>
          <w:rFonts w:ascii="Times New Roman" w:hAnsi="Times New Roman"/>
          <w:color w:val="000000"/>
          <w:sz w:val="16"/>
        </w:rPr>
        <w:t>(7)</w:t>
      </w:r>
    </w:p>
    <w:p>
      <w:pPr>
        <w:pStyle w:val="TextBody"/>
        <w:bidi w:val="0"/>
        <w:spacing w:before="100" w:after="283"/>
        <w:jc w:val="left"/>
        <w:rPr>
          <w:rFonts w:ascii="Times New Roman" w:hAnsi="Times New Roman"/>
          <w:color w:val="000000"/>
          <w:sz w:val="16"/>
        </w:rPr>
      </w:pPr>
      <w:r>
        <w:rPr>
          <w:rFonts w:ascii="Times New Roman" w:hAnsi="Times New Roman"/>
          <w:color w:val="000000"/>
          <w:sz w:val="16"/>
        </w:rPr>
        <w:t>Includes our overhead and other expenses, such as payments under the Investment Management Agreement for certain expenses incurred by the Adviser and Administration Agreement for certain expenses incurred by the Administrator. For additional information, refer to "Note 3 – Related Party Agreements and Transaction." We based these expenses on estimated amounts for the current fiscal year.</w:t>
      </w:r>
    </w:p>
    <w:p>
      <w:pPr>
        <w:pStyle w:val="TextBody"/>
        <w:bidi w:val="0"/>
        <w:spacing w:before="100" w:after="160"/>
        <w:jc w:val="left"/>
        <w:rPr>
          <w:rFonts w:ascii="Times New Roman" w:hAnsi="Times New Roman"/>
          <w:color w:val="000000"/>
          <w:sz w:val="16"/>
        </w:rPr>
      </w:pPr>
      <w:r>
        <w:rPr>
          <w:rFonts w:ascii="Times New Roman" w:hAnsi="Times New Roman"/>
          <w:color w:val="000000"/>
          <w:sz w:val="16"/>
        </w:rPr>
        <w:t>(8)</w:t>
      </w:r>
    </w:p>
    <w:p>
      <w:pPr>
        <w:pStyle w:val="TextBody"/>
        <w:bidi w:val="0"/>
        <w:spacing w:before="100" w:after="160"/>
        <w:jc w:val="left"/>
        <w:rPr>
          <w:rFonts w:ascii="Times New Roman" w:hAnsi="Times New Roman"/>
          <w:color w:val="000000"/>
          <w:sz w:val="16"/>
        </w:rPr>
      </w:pPr>
      <w:r>
        <w:rPr>
          <w:rFonts w:ascii="Times New Roman" w:hAnsi="Times New Roman"/>
          <w:color w:val="000000"/>
          <w:sz w:val="16"/>
        </w:rPr>
        <w:t>Estimated.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Income Incentive Fee, we pay RGC each quarter an incentive fee with respect to our Pre-Incentive Fee NII. The Income Incentive Fee is calculated and payable quarterly in arrears based on the Pre-Incentive Fee NII for the immediately preceding fiscal quarter. Payments based on Pre-Incentive Fee NII will be based on the Pre-Incentive Fee NII earned for the quarter. Pre-Incentive Fee NII, expressed as a rate of return on the value of our net assets (defined as total assets less liabilities) at the end of the immediately preceding fiscal quarter, will be compared to a "hurdle rate" of 2.0% per quarter (8.0% annualized). We will pay RGC an Income Incentive Fee with respect to our Pre-Incentive Fee NII in each calendar quarter as follows: (1) no Income Incentive Fee in any calendar quarter in which our Pre-Incentive Fee NII does not exceed the hurdle rate of 2.0%; (2) 80% of our Pre-Incentive Fee NII with respect to that portion of such Pre-Incentive Fee NII, if any, that exceeds the hurdle rate but is less than 2.667% in any calendar quarter (10.668% annualized) (the portion of our Pre-Incentive Fee NII that exceeds the hurdle but is less than 2.667% is referred to as the "catch-up"; the "catch-up" is meant to provide RGC with 20.0% of our Pre-Incentive Fee NII as if a hurdle did not apply if our Pre-Incentive Fee NII exceeds 2.667% in any calendar quarter (10.668% annualized)); and (3) 20.0% of the amount of our Pre-Incentive Fee NII, if any, that exceeds 2.667% in any calendar quarter (10.668% annualized) payable to RGC (once the hurdle is reached and the catch-up is achieved, 20.0% of all Pre-Incentive Fee NII thereafter is allocated to RGC). Under the Capital Gains Fee, we will pay RGC, as of the end of each calendar year, 20.0% of our aggregate cumulative realized capital gains, if any, from the date of our election to be regulated as a BDC through the end of that calendar year, computed net of our aggregate cumulative realized capital losses and aggregate cumulative unrealized capital depreciation through the end of such year, less the aggregate amount of any previously paid Capital Gains Fee. For additional information, refer to "Note 3 - Related Party Agreements and Transactions."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sz w:val="20"/>
        </w:rPr>
      </w:pPr>
      <w:r>
        <w:rPr>
          <w:rFonts w:ascii="Times New Roman" w:hAnsi="Times New Roman"/>
          <w:b/>
          <w:color w:val="000000"/>
          <w:sz w:val="20"/>
        </w:rPr>
        <w:t>Example</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Transaction expenses are included in the following example.</w:t>
      </w:r>
    </w:p>
    <w:tbl>
      <w:tblPr>
        <w:tblW w:w="10205" w:type="dxa"/>
        <w:jc w:val="left"/>
        <w:tblInd w:w="0" w:type="dxa"/>
        <w:tblLayout w:type="fixed"/>
        <w:tblCellMar>
          <w:top w:w="28" w:type="dxa"/>
          <w:left w:w="28" w:type="dxa"/>
          <w:bottom w:w="28" w:type="dxa"/>
          <w:right w:w="28" w:type="dxa"/>
        </w:tblCellMar>
      </w:tblPr>
      <w:tblGrid>
        <w:gridCol w:w="5468"/>
        <w:gridCol w:w="246"/>
        <w:gridCol w:w="256"/>
        <w:gridCol w:w="153"/>
        <w:gridCol w:w="397"/>
        <w:gridCol w:w="146"/>
        <w:gridCol w:w="146"/>
        <w:gridCol w:w="196"/>
        <w:gridCol w:w="164"/>
        <w:gridCol w:w="422"/>
        <w:gridCol w:w="146"/>
        <w:gridCol w:w="146"/>
        <w:gridCol w:w="256"/>
        <w:gridCol w:w="164"/>
        <w:gridCol w:w="422"/>
        <w:gridCol w:w="146"/>
        <w:gridCol w:w="146"/>
        <w:gridCol w:w="256"/>
        <w:gridCol w:w="154"/>
        <w:gridCol w:w="540"/>
        <w:gridCol w:w="235"/>
      </w:tblGrid>
      <w:tr>
        <w:trPr/>
        <w:tc>
          <w:tcPr>
            <w:tcW w:w="54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468"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256" w:type="dxa"/>
            <w:tcBorders/>
            <w:shd w:fill="FFFFFF" w:val="clear"/>
            <w:vAlign w:val="center"/>
          </w:tcPr>
          <w:p>
            <w:pPr>
              <w:pStyle w:val="TableContents"/>
              <w:bidi w:val="0"/>
              <w:spacing w:before="0" w:after="283"/>
              <w:ind w:left="100" w:right="0" w:firstLine="100"/>
              <w:jc w:val="left"/>
              <w:rPr/>
            </w:pPr>
            <w:r>
              <w:rPr/>
              <w:t> </w:t>
            </w:r>
          </w:p>
        </w:tc>
        <w:tc>
          <w:tcPr>
            <w:tcW w:w="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6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 years</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You would pay the following expenses on a $1,000 investment, assuming a 5% annual return from realized capital gains</w:t>
            </w:r>
          </w:p>
        </w:tc>
        <w:tc>
          <w:tcPr>
            <w:tcW w:w="2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3"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4"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64"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4"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w:t>
            </w:r>
          </w:p>
        </w:tc>
        <w:tc>
          <w:tcPr>
            <w:tcW w:w="235" w:type="dxa"/>
            <w:tcBorders/>
            <w:shd w:fill="CFF0FC" w:val="cle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Incentive Fee under the Advisory Agreement is unlikely to be significant assuming a 5% annual return, the example assumes that the 5% annual return will be generated entirely through the realization of capital gains on our assets and, as a result, will trigger the payment of the Capital Gains Fee under the Advisory Agreement. The Income Incentive Fee under the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Income Incentive Fee of a material amount, our expenses, and returns to our investors, would be higher. In addition, while the example assumes reinvestment of all dividends and distributions at net asset value, if our Board authorizes and we declare a cash dividend, participants in our Dividend Reinvestment Plan who have not otherwise elected to receive cash will receive a number of shares of our common stock, determined by dividing the total dollar amount of the dividend payable to a participant by the market price per share of our common stock at the close of trading on the valuation date for the dividend. Refer to "Note 9 - Net Assets" for additional information regarding our Dividend Reinvestment Plan.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This example and the expenses in the table above should not be considered a representation of our future expenses, and actual expenses (including the cost of debt, if any, and other expenses) may be greater or less than those shown. </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(b) Rule 10b5-1 Disclosure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For the period covered by this annual report on Form 10-K, no director or officer of the Company has entered into any (i) contract, instruction or written plan for the purchase or sale of securities of the registrant intended to satisfy the affirmative defense conditions of Rule 10b5-1(c) under the Exchange Act or (ii) any non-Rule 10b5-1 trading arrangement.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Company has adopted insider trading policies and procedures governing the purchase, sale, and disposition of the Company's securities by officers and directors of the Company that are reasonably designed to promote compliance with insider trading laws, rules and regulations. </w:t>
      </w:r>
    </w:p>
    <w:p>
      <w:pPr>
        <w:pStyle w:val="TextBody"/>
        <w:bidi w:val="0"/>
        <w:spacing w:before="360" w:after="240"/>
        <w:jc w:val="both"/>
        <w:rPr>
          <w:rFonts w:ascii="Times New Roman" w:hAnsi="Times New Roman"/>
          <w:b/>
          <w:color w:val="000000"/>
          <w:sz w:val="20"/>
        </w:rPr>
      </w:pPr>
      <w:bookmarkStart w:id="28" w:name="item9cdisclosureregardingforeignjurisdic"/>
      <w:bookmarkEnd w:id="28"/>
      <w:r>
        <w:rPr>
          <w:rFonts w:ascii="Times New Roman" w:hAnsi="Times New Roman"/>
          <w:b/>
          <w:color w:val="000000"/>
          <w:sz w:val="20"/>
        </w:rPr>
        <w:t>Item 9C. Disclosure Regarding Foreign Jurisdictions that Prevent Inspection</w:t>
      </w:r>
    </w:p>
    <w:p>
      <w:pPr>
        <w:pStyle w:val="TextBody"/>
        <w:bidi w:val="0"/>
        <w:spacing w:before="60" w:after="240"/>
        <w:jc w:val="both"/>
        <w:rPr>
          <w:rFonts w:ascii="Times New Roman" w:hAnsi="Times New Roman"/>
          <w:color w:val="000000"/>
          <w:sz w:val="20"/>
        </w:rPr>
      </w:pPr>
      <w:r>
        <w:rPr>
          <w:rFonts w:ascii="Times New Roman" w:hAnsi="Times New Roman"/>
          <w:color w:val="000000"/>
          <w:sz w:val="20"/>
        </w:rPr>
        <w:t>None.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terms "we," "us," the "Company" and "our" refers to Runway Growth Finance Corp. </w:t>
      </w:r>
    </w:p>
    <w:p>
      <w:pPr>
        <w:pStyle w:val="TextBody"/>
        <w:bidi w:val="0"/>
        <w:spacing w:before="240" w:after="283"/>
        <w:jc w:val="left"/>
        <w:rPr>
          <w:rFonts w:ascii="Times New Roman" w:hAnsi="Times New Roman"/>
          <w:b/>
          <w:color w:val="000000"/>
          <w:sz w:val="20"/>
        </w:rPr>
      </w:pPr>
      <w:bookmarkStart w:id="29" w:name="item10directors_officers_corp_gov"/>
      <w:bookmarkEnd w:id="29"/>
      <w:r>
        <w:rPr>
          <w:rFonts w:ascii="Times New Roman" w:hAnsi="Times New Roman"/>
          <w:b/>
          <w:color w:val="000000"/>
          <w:sz w:val="20"/>
        </w:rPr>
        <w:t>Item 10. Directors, Executive Officers, and Corporate Governance</w:t>
      </w:r>
    </w:p>
    <w:p>
      <w:pPr>
        <w:pStyle w:val="TextBody"/>
        <w:bidi w:val="0"/>
        <w:spacing w:before="240" w:after="240"/>
        <w:jc w:val="left"/>
        <w:rPr>
          <w:rFonts w:ascii="Times New Roman" w:hAnsi="Times New Roman"/>
          <w:sz w:val="20"/>
        </w:rPr>
      </w:pPr>
      <w:r>
        <w:rPr>
          <w:rFonts w:ascii="Times New Roman" w:hAnsi="Times New Roman"/>
          <w:b/>
          <w:color w:val="000000"/>
          <w:sz w:val="20"/>
        </w:rPr>
        <w:t>Board Composition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Our business and affairs are managed under the direction of our Board of Directors (the “Board”). Pursuant to our articles of amendment and restatement (the “Articles of Amendment and Restatement”), the number of directors is set at three unless otherwise designated by the Board pursuant to our bylaws. In accordance with our bylaws, the Board has designated the number of directors to be five, three of whom are not “interested persons” of the Company, the Adviser, or our respective affiliates, as defined in Section 2(a)(19) of the Investment Company Act of 1940, as amended (the “1940 Act”) (the “Independent Directors”). The Board is divided into three classes of directors serving staggered, three-year terms. Each director holds office for the term to which he or she is elected and until his or her successor is duly elected and qualifies.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each annual meeting of stockholders, the successors to the class of directors whose terms expire at such meeting will be elected to hold office for a term expiring at the annual meeting of stockholders held in the third year following the year of their election and until their successors have been duly elected and qualify or any director’s earlier resignation, death, or removal. The term of our Class I directors will expire at the 2026 annual meeting of stockholders, the term of our Class II directors will expire at the 2024 annual meeting of stockholders, and the term of our Class III directors will expire at the 2025 annual meeting of stockholders. The current composition of our Board is described below.</w:t>
      </w:r>
    </w:p>
    <w:p>
      <w:pPr>
        <w:pStyle w:val="TextBody"/>
        <w:bidi w:val="0"/>
        <w:spacing w:before="360" w:after="240"/>
        <w:jc w:val="both"/>
        <w:rPr>
          <w:rFonts w:ascii="Times New Roman" w:hAnsi="Times New Roman"/>
          <w:sz w:val="20"/>
        </w:rPr>
      </w:pPr>
      <w:r>
        <w:rPr>
          <w:rFonts w:ascii="Times New Roman" w:hAnsi="Times New Roman"/>
          <w:b/>
          <w:color w:val="000000"/>
          <w:sz w:val="20"/>
        </w:rPr>
        <w:t>Independent Directors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accordance with the rules of Nasdaq, the Board annually determines the independence of each director. No director is considered independent unless the Board has determined that he or she has no material relationship with the Company. The Company monitors the status of its directors and officers through the activities of the Nominating and Corporate Governance Committee and through a questionnaire to be completed by each director no less frequently than annually, with updates periodically if information provided in the most recent questionnaire has changed.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order to evaluate the materiality of any such relationship, the Board uses the definition of director independence set forth in the Nasdaq listing rules. Section 5605 provides that a director of a BDC shall be considered to be independent if he or she is not an “interested person” of the Company, as defined in Section 2(a)(19) of the 1940 Act. Section 2(a)(19) of the 1940 Act defines an “interested person” to include, among other things, any person who has, or within the last two years had, a material business or professional relationship with the Company or Runway Growth Capital, LLC (the </w:t>
        <w:br/>
        <w:t>Adviser”).</w:t>
      </w:r>
    </w:p>
    <w:p>
      <w:pPr>
        <w:pStyle w:val="TextBody"/>
        <w:bidi w:val="0"/>
        <w:jc w:val="both"/>
        <w:rPr>
          <w:rFonts w:ascii="Times New Roman" w:hAnsi="Times New Roman"/>
          <w:color w:val="000000"/>
          <w:sz w:val="20"/>
        </w:rPr>
      </w:pPr>
      <w:r>
        <w:rPr>
          <w:rFonts w:ascii="Times New Roman" w:hAnsi="Times New Roman"/>
          <w:color w:val="000000"/>
          <w:sz w:val="20"/>
        </w:rPr>
        <w:t>The Board has determined that the following directors are independent: Mr. Engel, Mr. Kovacs and Ms. Persily. Based upon information requested from each such director concerning his or her background, employment and affiliations, the Board has affirmatively determined that none of the independent directors has a material business or professional relationship with the Company or its affiliates, other than in his or her capacity as a member of the Board or any committee thereof.</w:t>
      </w:r>
    </w:p>
    <w:p>
      <w:pPr>
        <w:pStyle w:val="TextBody"/>
        <w:bidi w:val="0"/>
        <w:spacing w:before="360" w:after="240"/>
        <w:jc w:val="both"/>
        <w:rPr>
          <w:rFonts w:ascii="Times New Roman" w:hAnsi="Times New Roman"/>
          <w:sz w:val="20"/>
        </w:rPr>
      </w:pPr>
      <w:r>
        <w:rPr>
          <w:rFonts w:ascii="Times New Roman" w:hAnsi="Times New Roman"/>
          <w:b/>
          <w:color w:val="000000"/>
          <w:sz w:val="20"/>
        </w:rPr>
        <w:t>Interested Directors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Mr. Spreng and Mr. Share are considered “interested persons” (as defined in the 1940 Act) of the Company. Mr. Spreng is an “interested person” of the Company as defined in Section 2(a)(19) of the 1940 Act because he has served as President and Chief Executive Officer of the Company and is the Chief Executive Officer and Chief Investment Officer for the Adviser. Mr. Share is an “interested person” (as defined in the 1940 Act) of the Company because he is the nominee of OCM Growth Holdings, LLC (“OCM Growth”), a majority shareholder of the Company, to the Board, and because he serves on the board of managers and investment committee of the Adviser.</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120"/>
        <w:jc w:val="both"/>
        <w:rPr>
          <w:rFonts w:ascii="Times New Roman" w:hAnsi="Times New Roman"/>
          <w:sz w:val="20"/>
        </w:rPr>
      </w:pPr>
      <w:r>
        <w:rPr>
          <w:rFonts w:ascii="Times New Roman" w:hAnsi="Times New Roman"/>
          <w:b/>
          <w:color w:val="000000"/>
          <w:sz w:val="20"/>
        </w:rPr>
        <w:t>Biographical Information of Directors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918"/>
        <w:gridCol w:w="146"/>
        <w:gridCol w:w="1254"/>
        <w:gridCol w:w="146"/>
        <w:gridCol w:w="2352"/>
        <w:gridCol w:w="146"/>
        <w:gridCol w:w="912"/>
        <w:gridCol w:w="146"/>
        <w:gridCol w:w="1272"/>
        <w:gridCol w:w="146"/>
        <w:gridCol w:w="2767"/>
      </w:tblGrid>
      <w:tr>
        <w:trPr/>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Name, Address and Age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Position(s) Held with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Occupation(s) During the Past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Term of Office and Length of Time Served</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 Companies in Fund Complex Overseen by Director</w:t>
            </w:r>
            <w:r>
              <w:rPr>
                <w:rFonts w:ascii="Times New Roman" w:hAnsi="Times New Roman"/>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Directorships Held by Director During Past Five Years</w:t>
            </w:r>
          </w:p>
        </w:tc>
      </w:tr>
      <w:tr>
        <w:trPr/>
        <w:tc>
          <w:tcPr>
            <w:tcW w:w="10205" w:type="dxa"/>
            <w:gridSpan w:val="11"/>
            <w:tcBorders/>
            <w:shd w:fill="CCEEFF" w:val="cle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Independent Directors</w:t>
            </w:r>
          </w:p>
        </w:tc>
      </w:tr>
      <w:tr>
        <w:trPr/>
        <w:tc>
          <w:tcPr>
            <w:tcW w:w="91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 xml:space="preserve">John F. Engel, </w:t>
              <w:br/>
              <w:t>64</w:t>
            </w:r>
          </w:p>
        </w:tc>
        <w:tc>
          <w:tcPr>
            <w:tcW w:w="146" w:type="dxa"/>
            <w:tcBorders/>
            <w:shd w:fill="FFFFFF" w:val="clear"/>
            <w:vAlign w:val="center"/>
          </w:tcPr>
          <w:p>
            <w:pPr>
              <w:pStyle w:val="TableContents"/>
              <w:bidi w:val="0"/>
              <w:spacing w:before="0" w:after="283"/>
              <w:jc w:val="center"/>
              <w:rPr/>
            </w:pPr>
            <w:r>
              <w:rPr/>
              <w:t> </w:t>
            </w:r>
          </w:p>
        </w:tc>
        <w:tc>
          <w:tcPr>
            <w:tcW w:w="125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w:t>
            </w:r>
          </w:p>
        </w:tc>
        <w:tc>
          <w:tcPr>
            <w:tcW w:w="146" w:type="dxa"/>
            <w:tcBorders/>
            <w:shd w:fill="FFFFFF" w:val="clear"/>
            <w:vAlign w:val="center"/>
          </w:tcPr>
          <w:p>
            <w:pPr>
              <w:pStyle w:val="TableContents"/>
              <w:bidi w:val="0"/>
              <w:spacing w:before="0" w:after="283"/>
              <w:jc w:val="center"/>
              <w:rPr/>
            </w:pPr>
            <w:r>
              <w:rPr/>
              <w:t> </w:t>
            </w:r>
          </w:p>
        </w:tc>
        <w:tc>
          <w:tcPr>
            <w:tcW w:w="23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Retired; co-founder of Jackson Springs Management Partners, LLC in 2019 (consulting)</w:t>
            </w:r>
          </w:p>
        </w:tc>
        <w:tc>
          <w:tcPr>
            <w:tcW w:w="146" w:type="dxa"/>
            <w:tcBorders/>
            <w:shd w:fill="FFFFFF" w:val="clear"/>
            <w:vAlign w:val="center"/>
          </w:tcPr>
          <w:p>
            <w:pPr>
              <w:pStyle w:val="TableContents"/>
              <w:bidi w:val="0"/>
              <w:spacing w:before="0" w:after="283"/>
              <w:jc w:val="center"/>
              <w:rPr/>
            </w:pPr>
            <w:r>
              <w:rPr/>
              <w:t> </w:t>
            </w:r>
          </w:p>
        </w:tc>
        <w:tc>
          <w:tcPr>
            <w:tcW w:w="91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II director since 2022; term expires 2024</w:t>
            </w:r>
          </w:p>
        </w:tc>
        <w:tc>
          <w:tcPr>
            <w:tcW w:w="146" w:type="dxa"/>
            <w:tcBorders/>
            <w:shd w:fill="FFFFFF" w:val="clear"/>
            <w:vAlign w:val="center"/>
          </w:tcPr>
          <w:p>
            <w:pPr>
              <w:pStyle w:val="TableContents"/>
              <w:bidi w:val="0"/>
              <w:spacing w:before="0" w:after="283"/>
              <w:jc w:val="center"/>
              <w:rPr/>
            </w:pPr>
            <w:r>
              <w:rPr/>
              <w:t> </w:t>
            </w:r>
          </w:p>
        </w:tc>
        <w:tc>
          <w:tcPr>
            <w:tcW w:w="127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center"/>
              <w:rPr/>
            </w:pPr>
            <w:r>
              <w:rPr/>
              <w:t> </w:t>
            </w:r>
          </w:p>
        </w:tc>
        <w:tc>
          <w:tcPr>
            <w:tcW w:w="2767"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None.</w:t>
            </w:r>
          </w:p>
        </w:tc>
      </w:tr>
      <w:tr>
        <w:trPr/>
        <w:tc>
          <w:tcPr>
            <w:tcW w:w="918"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 xml:space="preserve">Gary Kovacs, </w:t>
              <w:br/>
              <w:t>60</w:t>
            </w:r>
          </w:p>
        </w:tc>
        <w:tc>
          <w:tcPr>
            <w:tcW w:w="146" w:type="dxa"/>
            <w:tcBorders/>
            <w:shd w:fill="CCEEFF" w:val="clear"/>
            <w:vAlign w:val="center"/>
          </w:tcPr>
          <w:p>
            <w:pPr>
              <w:pStyle w:val="TableContents"/>
              <w:bidi w:val="0"/>
              <w:spacing w:before="0" w:after="283"/>
              <w:jc w:val="center"/>
              <w:rPr/>
            </w:pPr>
            <w:r>
              <w:rPr/>
              <w:t> </w:t>
            </w:r>
          </w:p>
        </w:tc>
        <w:tc>
          <w:tcPr>
            <w:tcW w:w="1254"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w:t>
            </w:r>
          </w:p>
        </w:tc>
        <w:tc>
          <w:tcPr>
            <w:tcW w:w="146" w:type="dxa"/>
            <w:tcBorders/>
            <w:shd w:fill="CCEEFF" w:val="clear"/>
            <w:vAlign w:val="center"/>
          </w:tcPr>
          <w:p>
            <w:pPr>
              <w:pStyle w:val="TableContents"/>
              <w:bidi w:val="0"/>
              <w:spacing w:before="0" w:after="283"/>
              <w:jc w:val="center"/>
              <w:rPr/>
            </w:pPr>
            <w:r>
              <w:rPr/>
              <w:t> </w:t>
            </w:r>
          </w:p>
        </w:tc>
        <w:tc>
          <w:tcPr>
            <w:tcW w:w="2352"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Executive Officer of Accela, Inc. (technology solutions)</w:t>
            </w:r>
          </w:p>
        </w:tc>
        <w:tc>
          <w:tcPr>
            <w:tcW w:w="146" w:type="dxa"/>
            <w:tcBorders/>
            <w:shd w:fill="CCEEFF" w:val="clear"/>
            <w:vAlign w:val="center"/>
          </w:tcPr>
          <w:p>
            <w:pPr>
              <w:pStyle w:val="TableContents"/>
              <w:bidi w:val="0"/>
              <w:spacing w:before="0" w:after="283"/>
              <w:jc w:val="center"/>
              <w:rPr/>
            </w:pPr>
            <w:r>
              <w:rPr/>
              <w:t> </w:t>
            </w:r>
          </w:p>
        </w:tc>
        <w:tc>
          <w:tcPr>
            <w:tcW w:w="912"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I director since 2016; term expires 2026</w:t>
            </w:r>
          </w:p>
        </w:tc>
        <w:tc>
          <w:tcPr>
            <w:tcW w:w="146" w:type="dxa"/>
            <w:tcBorders/>
            <w:shd w:fill="CCEEFF" w:val="clear"/>
            <w:vAlign w:val="center"/>
          </w:tcPr>
          <w:p>
            <w:pPr>
              <w:pStyle w:val="TableContents"/>
              <w:bidi w:val="0"/>
              <w:spacing w:before="0" w:after="283"/>
              <w:jc w:val="center"/>
              <w:rPr/>
            </w:pPr>
            <w:r>
              <w:rPr/>
              <w:t> </w:t>
            </w:r>
          </w:p>
        </w:tc>
        <w:tc>
          <w:tcPr>
            <w:tcW w:w="1272"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46" w:type="dxa"/>
            <w:tcBorders/>
            <w:shd w:fill="CCEEFF" w:val="clear"/>
            <w:vAlign w:val="center"/>
          </w:tcPr>
          <w:p>
            <w:pPr>
              <w:pStyle w:val="TableContents"/>
              <w:bidi w:val="0"/>
              <w:spacing w:before="0" w:after="283"/>
              <w:jc w:val="center"/>
              <w:rPr/>
            </w:pPr>
            <w:r>
              <w:rPr/>
              <w:t> </w:t>
            </w:r>
          </w:p>
        </w:tc>
        <w:tc>
          <w:tcPr>
            <w:tcW w:w="2767" w:type="dxa"/>
            <w:tcBorders/>
            <w:shd w:fill="CCEE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Desire to Learn (D2L); ePhox Corporation; Sensory, Inc.; Make-a-Wish Foundation (Bay Area Chapter)</w:t>
            </w:r>
          </w:p>
        </w:tc>
      </w:tr>
      <w:tr>
        <w:trPr/>
        <w:tc>
          <w:tcPr>
            <w:tcW w:w="91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 xml:space="preserve">Julie Persily, </w:t>
              <w:br/>
              <w:t>58</w:t>
            </w:r>
          </w:p>
        </w:tc>
        <w:tc>
          <w:tcPr>
            <w:tcW w:w="146"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w:t>
            </w:r>
          </w:p>
        </w:tc>
        <w:tc>
          <w:tcPr>
            <w:tcW w:w="146" w:type="dxa"/>
            <w:tcBorders/>
            <w:shd w:fill="FFFFFF" w:val="clear"/>
            <w:vAlign w:val="center"/>
          </w:tcPr>
          <w:p>
            <w:pPr>
              <w:pStyle w:val="TableContents"/>
              <w:bidi w:val="0"/>
              <w:spacing w:before="0" w:after="283"/>
              <w:jc w:val="left"/>
              <w:rPr/>
            </w:pPr>
            <w:r>
              <w:rPr/>
              <w:t> </w:t>
            </w:r>
          </w:p>
        </w:tc>
        <w:tc>
          <w:tcPr>
            <w:tcW w:w="23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Retired</w:t>
            </w:r>
          </w:p>
        </w:tc>
        <w:tc>
          <w:tcPr>
            <w:tcW w:w="146"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II director since 2017; term expires 2024</w:t>
            </w:r>
          </w:p>
        </w:tc>
        <w:tc>
          <w:tcPr>
            <w:tcW w:w="146"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276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StepStone Private Credit Fund LLC (business development company); Investcorp Credit Management BDC, Inc. (Nasdaq: ICMB) (business development company); SEACOR Marine Holdings Inc. (NYSE: SMHI) (marine and support transportation services)</w:t>
            </w:r>
          </w:p>
        </w:tc>
      </w:tr>
      <w:tr>
        <w:trPr/>
        <w:tc>
          <w:tcPr>
            <w:tcW w:w="10205" w:type="dxa"/>
            <w:gridSpan w:val="11"/>
            <w:tcBorders/>
            <w:shd w:fill="CCEEFF" w:val="cle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b/>
                <w:color w:val="000000"/>
                <w:sz w:val="16"/>
              </w:rPr>
              <w:t>Interested Directors</w:t>
            </w:r>
            <w:r>
              <w:rPr>
                <w:rFonts w:ascii="Times New Roman" w:hAnsi="Times New Roman"/>
                <w:b/>
                <w:color w:val="000000"/>
                <w:sz w:val="11"/>
              </w:rPr>
              <w:t>(3)</w:t>
            </w:r>
          </w:p>
        </w:tc>
      </w:tr>
      <w:tr>
        <w:trPr/>
        <w:tc>
          <w:tcPr>
            <w:tcW w:w="91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 xml:space="preserve">R. David Spreng, </w:t>
              <w:br/>
              <w:t>62</w:t>
            </w:r>
          </w:p>
        </w:tc>
        <w:tc>
          <w:tcPr>
            <w:tcW w:w="146" w:type="dxa"/>
            <w:tcBorders/>
            <w:shd w:fill="FFFFFF" w:val="clear"/>
            <w:vAlign w:val="center"/>
          </w:tcPr>
          <w:p>
            <w:pPr>
              <w:pStyle w:val="TableContents"/>
              <w:bidi w:val="0"/>
              <w:spacing w:before="0" w:after="283"/>
              <w:jc w:val="center"/>
              <w:rPr/>
            </w:pPr>
            <w:r>
              <w:rPr/>
              <w:t> </w:t>
            </w:r>
          </w:p>
        </w:tc>
        <w:tc>
          <w:tcPr>
            <w:tcW w:w="125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 President and Chief Executive Officer (currently on medical leave)</w:t>
            </w:r>
          </w:p>
        </w:tc>
        <w:tc>
          <w:tcPr>
            <w:tcW w:w="146" w:type="dxa"/>
            <w:tcBorders/>
            <w:shd w:fill="FFFFFF" w:val="clear"/>
            <w:vAlign w:val="center"/>
          </w:tcPr>
          <w:p>
            <w:pPr>
              <w:pStyle w:val="TableContents"/>
              <w:bidi w:val="0"/>
              <w:spacing w:before="0" w:after="283"/>
              <w:jc w:val="center"/>
              <w:rPr/>
            </w:pPr>
            <w:r>
              <w:rPr/>
              <w:t> </w:t>
            </w:r>
          </w:p>
        </w:tc>
        <w:tc>
          <w:tcPr>
            <w:tcW w:w="23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President and Chief Executive Officer of Runway Growth Finance Corp. since 2022; Chief Executive Officer and Chief Investment Officer of Runway Growth Capital, LLC since 2015</w:t>
            </w:r>
          </w:p>
        </w:tc>
        <w:tc>
          <w:tcPr>
            <w:tcW w:w="146" w:type="dxa"/>
            <w:tcBorders/>
            <w:shd w:fill="FFFFFF" w:val="clear"/>
            <w:vAlign w:val="center"/>
          </w:tcPr>
          <w:p>
            <w:pPr>
              <w:pStyle w:val="TableContents"/>
              <w:bidi w:val="0"/>
              <w:spacing w:before="0" w:after="283"/>
              <w:jc w:val="center"/>
              <w:rPr/>
            </w:pPr>
            <w:r>
              <w:rPr/>
              <w:t> </w:t>
            </w:r>
          </w:p>
        </w:tc>
        <w:tc>
          <w:tcPr>
            <w:tcW w:w="91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III director since 2015; term expires 2025</w:t>
            </w:r>
          </w:p>
        </w:tc>
        <w:tc>
          <w:tcPr>
            <w:tcW w:w="146" w:type="dxa"/>
            <w:tcBorders/>
            <w:shd w:fill="FFFFFF" w:val="clear"/>
            <w:vAlign w:val="center"/>
          </w:tcPr>
          <w:p>
            <w:pPr>
              <w:pStyle w:val="TableContents"/>
              <w:bidi w:val="0"/>
              <w:spacing w:before="0" w:after="283"/>
              <w:jc w:val="center"/>
              <w:rPr/>
            </w:pPr>
            <w:r>
              <w:rPr/>
              <w:t> </w:t>
            </w:r>
          </w:p>
        </w:tc>
        <w:tc>
          <w:tcPr>
            <w:tcW w:w="127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center"/>
              <w:rPr/>
            </w:pPr>
            <w:r>
              <w:rPr/>
              <w:t> </w:t>
            </w:r>
          </w:p>
        </w:tc>
        <w:tc>
          <w:tcPr>
            <w:tcW w:w="2767"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Wine Forum LLC; Rose &amp; Arrow Vineyards LLC</w:t>
            </w:r>
          </w:p>
        </w:tc>
      </w:tr>
      <w:tr>
        <w:trPr/>
        <w:tc>
          <w:tcPr>
            <w:tcW w:w="918"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 xml:space="preserve">Gregory Share, </w:t>
              <w:br/>
              <w:t>50</w:t>
            </w:r>
          </w:p>
        </w:tc>
        <w:tc>
          <w:tcPr>
            <w:tcW w:w="146"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w:t>
            </w:r>
          </w:p>
        </w:tc>
        <w:tc>
          <w:tcPr>
            <w:tcW w:w="146" w:type="dxa"/>
            <w:tcBorders/>
            <w:shd w:fill="CCEEFF" w:val="clear"/>
            <w:vAlign w:val="center"/>
          </w:tcPr>
          <w:p>
            <w:pPr>
              <w:pStyle w:val="TableContents"/>
              <w:bidi w:val="0"/>
              <w:spacing w:before="0" w:after="283"/>
              <w:jc w:val="center"/>
              <w:rPr/>
            </w:pPr>
            <w:r>
              <w:rPr/>
              <w:t> </w:t>
            </w:r>
          </w:p>
        </w:tc>
        <w:tc>
          <w:tcPr>
            <w:tcW w:w="2352"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Managing Director in Oaktree’s Global Opportunities Group since 2021 (investment vehicle); partner at Moelis &amp; Company’s Moelis Capital Partners from March 2015 to December 2020 (private equity)</w:t>
            </w:r>
          </w:p>
        </w:tc>
        <w:tc>
          <w:tcPr>
            <w:tcW w:w="146" w:type="dxa"/>
            <w:tcBorders/>
            <w:shd w:fill="CCEEFF" w:val="clear"/>
            <w:vAlign w:val="center"/>
          </w:tcPr>
          <w:p>
            <w:pPr>
              <w:pStyle w:val="TableContents"/>
              <w:bidi w:val="0"/>
              <w:spacing w:before="0" w:after="283"/>
              <w:jc w:val="center"/>
              <w:rPr/>
            </w:pPr>
            <w:r>
              <w:rPr/>
              <w:t> </w:t>
            </w:r>
          </w:p>
        </w:tc>
        <w:tc>
          <w:tcPr>
            <w:tcW w:w="912"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III director since 2023; term expires 2025</w:t>
            </w:r>
          </w:p>
        </w:tc>
        <w:tc>
          <w:tcPr>
            <w:tcW w:w="146" w:type="dxa"/>
            <w:tcBorders/>
            <w:shd w:fill="CCEEFF" w:val="clear"/>
            <w:vAlign w:val="center"/>
          </w:tcPr>
          <w:p>
            <w:pPr>
              <w:pStyle w:val="TableContents"/>
              <w:bidi w:val="0"/>
              <w:spacing w:before="0" w:after="283"/>
              <w:jc w:val="center"/>
              <w:rPr/>
            </w:pPr>
            <w:r>
              <w:rPr/>
              <w:t> </w:t>
            </w:r>
          </w:p>
        </w:tc>
        <w:tc>
          <w:tcPr>
            <w:tcW w:w="1272"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46" w:type="dxa"/>
            <w:tcBorders/>
            <w:shd w:fill="CCEEFF" w:val="clear"/>
            <w:vAlign w:val="center"/>
          </w:tcPr>
          <w:p>
            <w:pPr>
              <w:pStyle w:val="TableContents"/>
              <w:bidi w:val="0"/>
              <w:spacing w:before="0" w:after="283"/>
              <w:jc w:val="center"/>
              <w:rPr/>
            </w:pPr>
            <w:r>
              <w:rPr/>
              <w:t> </w:t>
            </w:r>
          </w:p>
        </w:tc>
        <w:tc>
          <w:tcPr>
            <w:tcW w:w="2767"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Kinsale Capital Group Inc. (specialty insurance company); Velocity Risk Holdings, LLC (insurance); Morse Group Inc. (project development); Investorflow Inc. (investor services)</w:t>
            </w:r>
          </w:p>
        </w:tc>
      </w:tr>
    </w:tbl>
    <w:p>
      <w:pPr>
        <w:pStyle w:val="TextBody"/>
        <w:pBdr>
          <w:bottom w:val="single" w:sz="6" w:space="1" w:color="000000"/>
        </w:pBdr>
        <w:bidi w:val="0"/>
        <w:jc w:val="left"/>
        <w:rPr/>
      </w:pPr>
      <w:r>
        <w:rPr/>
        <w:t> </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(1)</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The address for each of our directors is c/o Runway Growth Finance Corp., 205 N. Michigan Ave., Suite 4200, Chicago, IL 60601.</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(2)</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Each director will hold office until his or her successor is duly elected and qualified.</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(3)</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Such directors are considered an “interested person” of the Company as defined in Section 2(a)(19) of the 1940 Act. Mr. Spreng is an “interested person” because he is the President and Chief Executive Officer of the Company and the Chief Executive Officer and Chief Investment Officer of the Adviser. Mr. Share is an “interested person” because he is the nominee of OCM Growth, a 40.7% shareholder of the Company, to the Board and because he serves on the board of managers and investment committee of the Adviser.</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(4)</w:t>
      </w:r>
    </w:p>
    <w:p>
      <w:pPr>
        <w:pStyle w:val="TextBody"/>
        <w:bidi w:val="0"/>
        <w:spacing w:before="120" w:after="283"/>
        <w:jc w:val="both"/>
        <w:rPr>
          <w:color w:val="000000"/>
        </w:rPr>
      </w:pPr>
      <w:r>
        <w:rPr>
          <w:color w:val="000000"/>
        </w:rPr>
        <w:t>“</w:t>
      </w:r>
      <w:r>
        <w:rPr>
          <w:rFonts w:ascii="Times New Roman" w:hAnsi="Times New Roman"/>
          <w:color w:val="000000"/>
          <w:sz w:val="17"/>
        </w:rPr>
        <w:t xml:space="preserve">Fund Complex” refers only to the Company. </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R. David Spreng </w:t>
      </w:r>
      <w:r>
        <w:rPr>
          <w:rFonts w:ascii="Times New Roman" w:hAnsi="Times New Roman"/>
          <w:color w:val="000000"/>
          <w:sz w:val="20"/>
        </w:rPr>
        <w:t>is our President, Chief Executive Officer and Chairman of the Board. Currently, Mr. Spreng is currently out on medical leave. Mr. Spreng is also the founder, Chief Executive Officer and Chief Investment Officer of Runway Growth Capital LLC, our external investment adviser (the “Adviser”). Mr. Spreng has over 25 years of experience as a venture capitalist and ten years as a growth-debt lender. Mr. Spreng also previously served as a Partner of Decathlon Capital Partners, which he co-founded in 2010 as a provider of growth capital for established companies. He also served as Managing Partner of Crescendo Ventures, which he co-founded in 1998 as a venture capital firm focused on early-stage investments in the technology, digital media and technology-enabled service markets. He founded IAI Ventures in 1994, before which he served as Vice President and then Senior Vice President of Investment Advisers Inc., a $20 billion diversified asset management firm from 1989 to 1994. Mr. Spreng served on the board and as chairman of the Government Affairs Committee of the National Venture Capital Association from 2005 to 2009. He served as an advisory board member of the Silicon Valley Executive Network from 2007 to 2012 and as a member of the Silicon Valley Executive Network from 2007 to 2015. Mr. Spreng has been an active member of the World Economic Forum community since 2005, including as a frequent panelist in Davos, as a member of the Technology Pioneers Selection Committee, the Steering Committee for Entrepreneurship and Successful Growth Strategies, and as an adviser to the Alternative Investments 2020 and Mainstreaming Impact Investing initiatives. Mr. Spreng currently serves on the board of directors of a number of private companies. In addition, Mr. Spreng has served on the board of directors of eleven public companies. Mr. Spreng is a graduate, with distinction, of the University of Minnesota.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Board has concluded that Mr. Spreng’s experience in managerial positions in investment management, venture capital and direct growth-debt lending provides the Board valuable industry-specific knowledge and expertise on these and other matters, thus qualifying him to serve as a member of the Board.</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83"/>
        <w:jc w:val="both"/>
        <w:rPr>
          <w:rFonts w:ascii="Times New Roman" w:hAnsi="Times New Roman"/>
          <w:sz w:val="20"/>
        </w:rPr>
      </w:pPr>
      <w:r>
        <w:rPr>
          <w:rFonts w:ascii="Times New Roman" w:hAnsi="Times New Roman"/>
          <w:b/>
          <w:i/>
          <w:color w:val="000000"/>
          <w:sz w:val="20"/>
        </w:rPr>
        <w:t>John F. Engel</w:t>
      </w:r>
      <w:r>
        <w:rPr>
          <w:rFonts w:ascii="Times New Roman" w:hAnsi="Times New Roman"/>
          <w:color w:val="000000"/>
          <w:sz w:val="20"/>
        </w:rPr>
        <w:t xml:space="preserve"> has served as a member of the Board since 2022 and is the Chair of the Compensation Committee and a member of the Nominating and Corporate Governance Committee and the Audit Committee. Mr. Engel is a co-founder and partner of Jackson Springs Management Partners, LLC, a management firm that provides strategic advice and capital to help closely-held businesses pursue their strategic and financial objectives. Prior to co-founding Jackson Springs Management Partners, LLC in 2019, Mr. Engel served as a consultant and adviser to various executives of start-up companies and large not-for-profit companies from 2016 to 2019. From 1996 until his retirement in 2015, Mr. Engel was employed by Accenture, a global professional services company with leading capabilities in digital, cloud and security, where he served in a variety of client-facing and leadership roles for twenty years, including Managing Partner and Executive Partner for several key strategies. Mr. Engel holds an M.B.A. from the University of Chicago Booth School of Business and a B.S. in Accounting and Business Management from the University of Michigan.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Board has concluded that Mr. Engel’s extensive investment banking and management consulting experience provides the Board with knowledge and expertise on these and other matters, thus qualifying him to serve as a member of the Board. </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Gary Kovacs </w:t>
      </w:r>
      <w:r>
        <w:rPr>
          <w:rFonts w:ascii="Times New Roman" w:hAnsi="Times New Roman"/>
          <w:color w:val="000000"/>
          <w:sz w:val="20"/>
        </w:rPr>
        <w:t>has served as a member of the Board since 2016 and is a member of the Audit Committee and Compensation Committee and Chair of the Nominating and Corporate Governance Committee. Mr. Kovacs has served as Chief Executive Officer of Accela, Inc., a provider of technology solutions, since December 2018. Prior to joining Accela, Mr. Kovacs served as managing director of AVG Technologies N.V.’s management board and as Chief Executive Officer of AVG from 2013 to December 2016. Prior to joining AVG, Mr. Kovacs served as Chief Executive Officer of Mozilla Corporation from 2010 to 2013. Prior to joining Mozilla, Mr. Kovacs held senior leadership roles as Senior Vice President of Markets, Solutions &amp; Products at Sybase through to the acquisition by SAP, and as General Manager and Vice President of Mobile &amp; Devices at Macromedia and Adobe. Previously, he led Zi Corporation, a public company specializing in embedded software and services for mobile and consumer devices. Before founding Zi Corporation, Mr. Kovacs spent 10 years at IBM in leadership positions in product management, sales, marketing and operations within the global software division. Mr. Kovacs graduated from the University of Calgary, in Canada, with his Bachelor of Commerce and an MBA with distinction. Mr. Kovacs serves on the advisory board of DocuSign, and the board of directors of Desire to Learn (D2L), ePhox Corporation, Sensory, Inc. and Make-a-Wish Foundation (Bay Area Chapter). He is also a member of the University of Calgary Management Advisory Council.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Board has concluded that Mr. Kovacs’ extensive leadership experience in the technology industry qualifies him to serve as a member of the Board.</w:t>
      </w:r>
    </w:p>
    <w:p>
      <w:pPr>
        <w:pStyle w:val="TextBody"/>
        <w:bidi w:val="0"/>
        <w:spacing w:before="240" w:after="240"/>
        <w:jc w:val="both"/>
        <w:rPr>
          <w:rFonts w:ascii="Times New Roman" w:hAnsi="Times New Roman"/>
          <w:sz w:val="20"/>
        </w:rPr>
      </w:pPr>
      <w:r>
        <w:rPr>
          <w:rFonts w:ascii="Times New Roman" w:hAnsi="Times New Roman"/>
          <w:b/>
          <w:i/>
          <w:color w:val="000000"/>
          <w:sz w:val="20"/>
        </w:rPr>
        <w:t xml:space="preserve">Julie Persily </w:t>
      </w:r>
      <w:r>
        <w:rPr>
          <w:rFonts w:ascii="Times New Roman" w:hAnsi="Times New Roman"/>
          <w:color w:val="000000"/>
          <w:sz w:val="20"/>
        </w:rPr>
        <w:t>has served as a member of the Board since 2017 and is Acting Chair of the Board, Lead Independent Director, Chair of the Audit Committee and a member of the Nominating and Corporate Governance Committee and the Compensation Committee. Ms. Persily has also served as a member of the board of directors of Investcorp Credit Management BDC, Inc. (f/k/a CM Finance Inc.) (Nasdaq: ICMB), a business development company (a "BDC"), since 2013; SEACOR Marine Holdings Inc. (NYSE: SMHI), a global marine and support transportation services company, since April 2018; and Stepstone Private Credit Fund LLC, a BDC, since 2023. Ms. Persily retired in 2011 after serving as the Co-Head of Leveraged Finance and Capital Markets of Nomura Securities North America, a unit of Nomura Holdings Inc. (NYSE: NMR), a securities and investment banking company, since July 2010. Ms. Persily previously served in various capacities at Citigroup Inc. (NYSE: C), a financial services company, including as the Co-Head of Leveraged Finance Group from December 2006 to November 2008, the Head of Acquisition Finance Group from December 2001 to November 2006 and as Managing Director from July 1999 to November 2001. From 1990 to 1999, Ms. Persily served in various capacities including as a Managing Director, Leveraged Finance at BT Securities Corp., a financial services company and a subsidiary of Bankers Trust Corp., which was acquired by Deutsche Bank in April 1999. From 1987 to 1989, Ms. Persily served as an analyst at Drexel Burnham Lambert, a securities and investment banking company. Ms. Persily received a B.A. in psychology and economics from Columbia College and a M.B.A. in financing and accounting from Columbia Business School.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has concluded that Ms. Persily’s extensive experience with structuring, negotiating and marketing senior loans and high-yield and mezzanine financings brings important and valuable skills to the Board.</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sz w:val="20"/>
        </w:rPr>
      </w:pPr>
      <w:r>
        <w:rPr>
          <w:rFonts w:ascii="Times New Roman" w:hAnsi="Times New Roman"/>
          <w:b/>
          <w:i/>
          <w:color w:val="000000"/>
          <w:sz w:val="20"/>
        </w:rPr>
        <w:t>Gregory M. Share</w:t>
      </w:r>
      <w:r>
        <w:rPr>
          <w:rFonts w:ascii="Times New Roman" w:hAnsi="Times New Roman"/>
          <w:color w:val="000000"/>
          <w:sz w:val="20"/>
        </w:rPr>
        <w:t xml:space="preserve"> has served as a member of the Board since August 2023. Mr. Share is a managing director in Oaktree’s Global Opportunities group in Los Angeles. He joined the firm in 2021 from Ambina Partners, investing primarily in U.S.-based private software and financial services companies. Prior thereto, Mr. Share was a partner at Moelis &amp; Company’s Moelis Capital Partners. Before that, he served as a managing director in private equity at Fortress Investment Group. Mr. Share began his career at Lazard Freres &amp; Co. as an analyst in mergers &amp; acquisitions before moving on to Madison Dearborn Partners, first as an associate, and then as a vice president. He received a B.S. in economics magna cum laude from the Wharton School of the University of Pennsylvania with a dual concentration in finance and decision science. Mr. Share is a CFA charterholder.</w:t>
      </w:r>
    </w:p>
    <w:p>
      <w:pPr>
        <w:pStyle w:val="TextBody"/>
        <w:bidi w:val="0"/>
        <w:jc w:val="both"/>
        <w:rPr>
          <w:rFonts w:ascii="Times New Roman" w:hAnsi="Times New Roman"/>
          <w:color w:val="000000"/>
          <w:sz w:val="20"/>
        </w:rPr>
      </w:pPr>
      <w:r>
        <w:rPr>
          <w:rFonts w:ascii="Times New Roman" w:hAnsi="Times New Roman"/>
          <w:color w:val="000000"/>
          <w:sz w:val="20"/>
        </w:rPr>
        <w:t xml:space="preserve">The Board has concluded that Mr. Share’s extensive investment and management experience provides the Board with knowledge and expertise on these and other matters, thus qualifying him to serve as a member of the Board. </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Biographical Information of Executive Officers Who Are Not Directors</w:t>
      </w:r>
    </w:p>
    <w:tbl>
      <w:tblPr>
        <w:tblW w:w="10107" w:type="dxa"/>
        <w:jc w:val="left"/>
        <w:tblInd w:w="0" w:type="dxa"/>
        <w:tblLayout w:type="fixed"/>
        <w:tblCellMar>
          <w:top w:w="28" w:type="dxa"/>
          <w:left w:w="28" w:type="dxa"/>
          <w:bottom w:w="28" w:type="dxa"/>
          <w:right w:w="28" w:type="dxa"/>
        </w:tblCellMar>
      </w:tblPr>
      <w:tblGrid>
        <w:gridCol w:w="1676"/>
        <w:gridCol w:w="146"/>
        <w:gridCol w:w="391"/>
        <w:gridCol w:w="146"/>
        <w:gridCol w:w="6406"/>
        <w:gridCol w:w="146"/>
        <w:gridCol w:w="1196"/>
      </w:tblGrid>
      <w:tr>
        <w:trPr/>
        <w:tc>
          <w:tcPr>
            <w:tcW w:w="1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1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Name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Officer Since</w:t>
            </w:r>
          </w:p>
        </w:tc>
      </w:tr>
      <w:tr>
        <w:trPr/>
        <w:tc>
          <w:tcPr>
            <w:tcW w:w="167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Thomas B. Raterman</w:t>
            </w:r>
          </w:p>
        </w:tc>
        <w:tc>
          <w:tcPr>
            <w:tcW w:w="146" w:type="dxa"/>
            <w:tcBorders/>
            <w:shd w:fill="CCEEFF" w:val="clear"/>
            <w:vAlign w:val="center"/>
          </w:tcPr>
          <w:p>
            <w:pPr>
              <w:pStyle w:val="TableContents"/>
              <w:bidi w:val="0"/>
              <w:spacing w:before="0" w:after="283"/>
              <w:jc w:val="center"/>
              <w:rPr/>
            </w:pPr>
            <w:r>
              <w:rPr/>
              <w:t> </w:t>
            </w:r>
          </w:p>
        </w:tc>
        <w:tc>
          <w:tcPr>
            <w:tcW w:w="391"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64</w:t>
            </w:r>
          </w:p>
        </w:tc>
        <w:tc>
          <w:tcPr>
            <w:tcW w:w="146" w:type="dxa"/>
            <w:tcBorders/>
            <w:shd w:fill="CCEEFF" w:val="clear"/>
            <w:vAlign w:val="center"/>
          </w:tcPr>
          <w:p>
            <w:pPr>
              <w:pStyle w:val="TableContents"/>
              <w:bidi w:val="0"/>
              <w:spacing w:before="0" w:after="283"/>
              <w:jc w:val="center"/>
              <w:rPr/>
            </w:pPr>
            <w:r>
              <w:rPr/>
              <w:t> </w:t>
            </w:r>
          </w:p>
        </w:tc>
        <w:tc>
          <w:tcPr>
            <w:tcW w:w="640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Acting President, Chief Operating Officer, Chief Financial Officer, Treasurer and Secretary</w:t>
            </w:r>
          </w:p>
        </w:tc>
        <w:tc>
          <w:tcPr>
            <w:tcW w:w="146"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2015</w:t>
            </w:r>
          </w:p>
        </w:tc>
      </w:tr>
      <w:tr>
        <w:trPr/>
        <w:tc>
          <w:tcPr>
            <w:tcW w:w="16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Greg Greifeld</w:t>
            </w:r>
          </w:p>
        </w:tc>
        <w:tc>
          <w:tcPr>
            <w:tcW w:w="146"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w:t>
            </w:r>
          </w:p>
        </w:tc>
        <w:tc>
          <w:tcPr>
            <w:tcW w:w="146" w:type="dxa"/>
            <w:tcBorders/>
            <w:shd w:fill="FFFFFF" w:val="clear"/>
            <w:vAlign w:val="center"/>
          </w:tcPr>
          <w:p>
            <w:pPr>
              <w:pStyle w:val="TableContents"/>
              <w:bidi w:val="0"/>
              <w:spacing w:before="0" w:after="283"/>
              <w:jc w:val="center"/>
              <w:rPr/>
            </w:pPr>
            <w:r>
              <w:rPr/>
              <w:t> </w:t>
            </w:r>
          </w:p>
        </w:tc>
        <w:tc>
          <w:tcPr>
            <w:tcW w:w="64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Acting Chief Executive Officer</w:t>
            </w:r>
          </w:p>
        </w:tc>
        <w:tc>
          <w:tcPr>
            <w:tcW w:w="146"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2023</w:t>
            </w:r>
          </w:p>
        </w:tc>
      </w:tr>
      <w:tr>
        <w:trPr/>
        <w:tc>
          <w:tcPr>
            <w:tcW w:w="167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Colleen Corwell</w:t>
            </w:r>
          </w:p>
        </w:tc>
        <w:tc>
          <w:tcPr>
            <w:tcW w:w="146" w:type="dxa"/>
            <w:tcBorders/>
            <w:shd w:fill="CCEEFF" w:val="clear"/>
            <w:vAlign w:val="center"/>
          </w:tcPr>
          <w:p>
            <w:pPr>
              <w:pStyle w:val="TableContents"/>
              <w:bidi w:val="0"/>
              <w:spacing w:before="0" w:after="283"/>
              <w:jc w:val="center"/>
              <w:rPr/>
            </w:pPr>
            <w:r>
              <w:rPr/>
              <w:t> </w:t>
            </w:r>
          </w:p>
        </w:tc>
        <w:tc>
          <w:tcPr>
            <w:tcW w:w="391"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55</w:t>
            </w:r>
          </w:p>
        </w:tc>
        <w:tc>
          <w:tcPr>
            <w:tcW w:w="146" w:type="dxa"/>
            <w:tcBorders/>
            <w:shd w:fill="CCEEFF" w:val="clear"/>
            <w:vAlign w:val="center"/>
          </w:tcPr>
          <w:p>
            <w:pPr>
              <w:pStyle w:val="TableContents"/>
              <w:bidi w:val="0"/>
              <w:spacing w:before="0" w:after="283"/>
              <w:jc w:val="center"/>
              <w:rPr/>
            </w:pPr>
            <w:r>
              <w:rPr/>
              <w:t> </w:t>
            </w:r>
          </w:p>
        </w:tc>
        <w:tc>
          <w:tcPr>
            <w:tcW w:w="640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Compliance Officer</w:t>
            </w:r>
          </w:p>
        </w:tc>
        <w:tc>
          <w:tcPr>
            <w:tcW w:w="146"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r>
    </w:tbl>
    <w:p>
      <w:pPr>
        <w:pStyle w:val="TextBody"/>
        <w:bidi w:val="0"/>
        <w:spacing w:before="120" w:after="283"/>
        <w:jc w:val="both"/>
        <w:rPr>
          <w:rFonts w:ascii="Times New Roman" w:hAnsi="Times New Roman"/>
          <w:color w:val="000000"/>
          <w:sz w:val="17"/>
        </w:rPr>
      </w:pPr>
      <w:r>
        <w:rPr>
          <w:rFonts w:ascii="Times New Roman" w:hAnsi="Times New Roman"/>
          <w:color w:val="000000"/>
          <w:sz w:val="17"/>
        </w:rPr>
        <w:t>(1)</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The address for each of our directors is c/o Runway Growth Finance Corp., 205 N. Michigan Ave., Suite 4200, Chicago, IL 60601.</w:t>
      </w:r>
    </w:p>
    <w:p>
      <w:pPr>
        <w:pStyle w:val="TextBody"/>
        <w:bidi w:val="0"/>
        <w:spacing w:before="240" w:after="240"/>
        <w:jc w:val="both"/>
        <w:rPr>
          <w:rFonts w:ascii="Times New Roman" w:hAnsi="Times New Roman"/>
          <w:sz w:val="20"/>
        </w:rPr>
      </w:pPr>
      <w:r>
        <w:rPr>
          <w:rFonts w:ascii="Times New Roman" w:hAnsi="Times New Roman"/>
          <w:b/>
          <w:i/>
          <w:color w:val="000000"/>
          <w:sz w:val="20"/>
        </w:rPr>
        <w:t xml:space="preserve">Thomas B. Raterman </w:t>
      </w:r>
      <w:r>
        <w:rPr>
          <w:rFonts w:ascii="Times New Roman" w:hAnsi="Times New Roman"/>
          <w:color w:val="000000"/>
          <w:sz w:val="20"/>
        </w:rPr>
        <w:t>has served as our Chief Financial Officer, Treasurer and Secretary, and as the Chief Financial Officer of Runway Growth Capital LLC since 2015, as well as our Chief Operating Officer since 2021 and Acting President since 2023. Mr. Raterman formerly served as Director, Chief Operating Officer and Chief Financial Officer of GSV Financial Group from February 2011 to December 2016. Mr. Raterman has more than 30 years of corporate finance, investment banking, private equity and financial executive management experience with rapidly growing entrepreneurial companies. Mr. Raterman also served as chairman and Chief Executive Officer of a boutique financial advisory firm, InterOcean Financial Group LLC, and its wholly-owned subsidiaries from March 2006 to August 2009, where he led the day-to-day operations of InterOcean Financial Group’s merchant banking and private equity business. In addition, he was co-founder and served as Chief Financial Officer, Executive Vice President and Central Region Manager of LKQ Corporation from February 1998 to February 2001. During his tenure, LKQ completed 31 acquisitions and grew to $225 million in revenue. Today LKQ Corporation is publicly traded (Nasdaq: LKQX) with annual revenue of $11.6 billion in 2020 and current market capitalization of $15.2 billion. Mr. Raterman also served as a Vice President of Flynn Enterprises, Inc., a family office and venture capital and consulting firm, from June 1995 to February 2001. Earlier in his career, Mr. Raterman worked at several leading commercial lending firms including GE Capital, Continental Illinois National Bank and Security Pacific Bank. Mr. Raterman earned a Masters of Management with a concentration in Finance from Northwestern University Kellogg Graduate School of Management and a Bachelor of Science from Miami University in Oxford, Ohio.</w:t>
      </w:r>
    </w:p>
    <w:p>
      <w:pPr>
        <w:pStyle w:val="TextBody"/>
        <w:bidi w:val="0"/>
        <w:spacing w:before="0" w:after="240"/>
        <w:jc w:val="both"/>
        <w:rPr>
          <w:rFonts w:ascii="Times New Roman" w:hAnsi="Times New Roman"/>
          <w:sz w:val="20"/>
        </w:rPr>
      </w:pPr>
      <w:r>
        <w:rPr>
          <w:rFonts w:ascii="Times New Roman" w:hAnsi="Times New Roman"/>
          <w:b/>
          <w:i/>
          <w:color w:val="000000"/>
          <w:sz w:val="20"/>
        </w:rPr>
        <w:t xml:space="preserve">Greg Greifeld </w:t>
      </w:r>
      <w:r>
        <w:rPr>
          <w:rFonts w:ascii="Times New Roman" w:hAnsi="Times New Roman"/>
          <w:color w:val="000000"/>
          <w:sz w:val="20"/>
        </w:rPr>
        <w:t>has served as our Acting Chief Executive Officer since 2023. Mr. Greifeld also simultaneously serves as Managing Director, Deputy Chief Investment Officer and Head of Credit at Runway Growth Capital LLC. Following multiple consultant assignments for Runway Growth Capital LLC during 2016, Mr. Greifeld formally joined Runway Growth Capital LLC in January 2017. Mr. Greifeld has served on the Adviser’s investment committee since 2018. Prior to this time, Mr. Greifeld worked for HPS Investment Partners, a $33 billion global alternative investment firm with a focus on directly originated credit (formerly Highbridge Principal Strategies), as a member of the Offices of the CFO/COO with wide ranging responsibilities in portfolio oversight, investor reporting, valuation and fund financing. Additionally, prior to HPS, Mr. Greifeld held roles in several departments at J.P. Morgan, including Technology, Media and Telecom Investment Banking and the Special Investments Group, a Merchant Banking Division of the Chief Investment Office.</w:t>
      </w:r>
    </w:p>
    <w:p>
      <w:pPr>
        <w:pStyle w:val="TextBody"/>
        <w:bidi w:val="0"/>
        <w:jc w:val="both"/>
        <w:rPr>
          <w:rFonts w:ascii="Times New Roman" w:hAnsi="Times New Roman"/>
          <w:sz w:val="20"/>
        </w:rPr>
      </w:pPr>
      <w:r>
        <w:rPr>
          <w:rFonts w:ascii="Times New Roman" w:hAnsi="Times New Roman"/>
          <w:b/>
          <w:i/>
          <w:color w:val="000000"/>
          <w:sz w:val="20"/>
        </w:rPr>
        <w:t xml:space="preserve">Colleen Corwell </w:t>
      </w:r>
      <w:r>
        <w:rPr>
          <w:rFonts w:ascii="Times New Roman" w:hAnsi="Times New Roman"/>
          <w:color w:val="000000"/>
          <w:sz w:val="20"/>
        </w:rPr>
        <w:t xml:space="preserve">has served as our Chief Compliance Officer since 2022. Ms. Corwell is a Managing Director at Kroll Associates, Inc. ("Kroll"), and performs her functions as Chief Compliance Officer under the terms of an agreement between the Company and Kroll. She may be from time to time engaged to serve as the Chief Compliance Officer for other BDCs, SEC registered investment advisers, and other funds or managers pursuant to her employment with Kroll. Prior to joining Kroll, Ms. Corwell was a Director at ACA Group. Prior to joining ACA, Ms. Corwell was a Director at Alaric Compliance Services, serving as outsourced CCO for various firms. She also served as Chief Compliance Officer &amp; Risk Manager for Clarion Partners, LLC (formerly ING Group N.A.) broker-dealer, and as the Deputy Chief Compliance Officer for the RIA. She also held senior level compliance roles at Capital One Bank and Ameriprise Financial, and served as the Chief Compliance Officer for Taylor Companies, LLC, a private global investment bank. Ms. Corwell is a CAMS certified member of the Association of Anti-Money Laundering Specialists (ACAMS). Ms. Corwell holds a B.A. from the College of William and Mary, and an M.B.A. from Touro University.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pPr>
      <w:r>
        <w:rPr/>
        <w:t> </w:t>
      </w:r>
    </w:p>
    <w:p>
      <w:pPr>
        <w:pStyle w:val="TextBody"/>
        <w:bidi w:val="0"/>
        <w:spacing w:before="360" w:after="240"/>
        <w:jc w:val="both"/>
        <w:rPr>
          <w:rFonts w:ascii="Times New Roman" w:hAnsi="Times New Roman"/>
          <w:sz w:val="20"/>
        </w:rPr>
      </w:pPr>
      <w:r>
        <w:rPr>
          <w:rFonts w:ascii="Times New Roman" w:hAnsi="Times New Roman"/>
          <w:b/>
          <w:color w:val="000000"/>
          <w:sz w:val="20"/>
        </w:rPr>
        <w:t>Board Meetings and Attendance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 xml:space="preserve">The Board met nine times during 2023. Each incumbent director attended at least 75% of the aggregate number of meetings of the Board and of the respective committees on which he or she served (during the periods that he or she served). The Board’s standing committees are set forth below under “ — </w:t>
      </w:r>
      <w:r>
        <w:rPr>
          <w:rFonts w:ascii="Times New Roman" w:hAnsi="Times New Roman"/>
          <w:i/>
          <w:color w:val="000000"/>
          <w:sz w:val="20"/>
        </w:rPr>
        <w:t>Committees of the Board of Directors</w:t>
      </w:r>
      <w:r>
        <w:rPr>
          <w:rFonts w:ascii="Times New Roman" w:hAnsi="Times New Roman"/>
          <w:color w:val="000000"/>
          <w:sz w:val="20"/>
        </w:rPr>
        <w:t>”. We require each director to make a diligent effort to attend all Board and committee meetings, as well as each annual meeting of stockholders. Two current directors attended the Annual Meeting in 2023.</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Board Leadership Structure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monitors and performs an oversight role with respect to our business and affairs, including with respect to investment practices and performance, compliance with regulatory requirements and the services, expenses and performance of service providers to us. Among other things, the Board approves the appointment of our Adviser and officers, reviews and monitors the services and activities performed by our Adviser and executive officers and approves the engagement, and reviews the performance of, our independent public accounting firm.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our bylaws, the Board may designate a Chair to preside over the meetings of the Board and meetings of the stockholders and to perform such other duties as may be assigned to him or her by the Board. We do not have a fixed policy as to whether the Chair of the Board should be an Independent Director, and believe that we should maintain the flexibility to select the Chair and reorganize the leadership structure, from time to time, based on the criteria that is in the Company’s and our stockholders’ best interests at such times.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Presently, Julie Persily, an Independent Director, serves as the Acting Chair of the Board and Lead Independent Director. Prior to Ms. Persily’s appointment as Acting Chair of the Board, R. David Spreng served as the Chair of the Board. Mr. Spreng is an “interested person” of the Company as defined in Section 2(a)(19) of the 1940 Act because he is the President and Chief Executive Officer of the Company, and the Chief Executive Officer and Chief Investment Officer of the Adviser. Our view is that we are best served through this leadership structure, as Ms. Persily’s familiarity with the Company and extensive knowledge of the financial services industry provide expertise to the Board.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corporate governance policies include regular meetings of the Independent Directors in executive session without the presence of interested directors and management, the establishment of an Audit Committee, a Nominating and Corporate Governance Committee and a Compensation Committee, each of which is comprised solely of Independent Directors, and the appointment of a Chief Compliance Officer, with whom the Independent Directors meet regularly without the presence of interested directors and other members of management, for administering our compliance policies and procedures.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recognize that different board leadership structures are appropriate for companies in different situations. We intend to re-examine our corporate governance policies on an ongoing basis to ensure that they continue to meet our needs.</w:t>
      </w:r>
    </w:p>
    <w:p>
      <w:pPr>
        <w:pStyle w:val="TextBody"/>
        <w:bidi w:val="0"/>
        <w:spacing w:before="360" w:after="240"/>
        <w:jc w:val="left"/>
        <w:rPr>
          <w:rFonts w:ascii="Times New Roman" w:hAnsi="Times New Roman"/>
          <w:sz w:val="20"/>
        </w:rPr>
      </w:pPr>
      <w:r>
        <w:rPr>
          <w:rFonts w:ascii="Times New Roman" w:hAnsi="Times New Roman"/>
          <w:b/>
          <w:color w:val="000000"/>
          <w:sz w:val="20"/>
        </w:rPr>
        <w:t>Board’s Role in Risk Oversight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performs its risk oversight function primarily through (a) its three standing committees, which report to the entire Board and are comprised solely of Independent Directors, and (b) active monitoring of our Chief Compliance Officer and our compliance policies and procedures.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As described below in more detail under “ — </w:t>
      </w:r>
      <w:r>
        <w:rPr>
          <w:rFonts w:ascii="Times New Roman" w:hAnsi="Times New Roman"/>
          <w:i/>
          <w:color w:val="000000"/>
          <w:sz w:val="20"/>
        </w:rPr>
        <w:t>Committees of the Board of Directors</w:t>
      </w:r>
      <w:r>
        <w:rPr>
          <w:rFonts w:ascii="Times New Roman" w:hAnsi="Times New Roman"/>
          <w:color w:val="000000"/>
          <w:sz w:val="20"/>
        </w:rPr>
        <w:t>,” the Audit Committee and Nominating and Corporate Governance Committee assist the Board in fulfilling its risk oversight responsibilities. The Audit Committee’s risk oversight responsibilities include overseeing the Company’s accounting and financial reporting processes, systems of internal controls regarding finance and accounting, audits of the Company’s financial statements and establishing guidelines and making recommendations to the Board regarding the valuation of our investments. The Nominating and Corporate Governance Committee’s risk oversight responsibilities include selecting, researching and nominating directors for election by our stockholders, developing and recommending to the Board a set of corporate governance principles and overseeing the evaluation of the Board and our management.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also performs its risk oversight responsibilities with the assistance of the Chief Compliance Officer. The Board annually reviews a written report from the Chief Compliance Officer discussing the adequacy and effectiveness of the compliance policies and procedures of the Company and its service providers. The Chief Compliance Officer’s annual report will address, at a minimum, (a) the operation of the compliance policies and procedures of the Company and its service providers since the last report; (b) any material changes to such policies and procedures since the last report; (c) any recommendations for material changes to such policies and procedures as a result of the Chief Compliance Officer’s annual review; and (d) any compliance matter that has occurred since the date of the last report about which the Board would reasonably need to know to oversee our compliance activities and risks. In addition, the Chief Compliance Officer will meet separately in executive session with the Independent Directors at least once each year.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believe that the Board’s role in risk oversight is effective, and appropriate given the extensive regulation to which we are already subject as a BDC. As a BDC, we are required to comply with certain regulatory requirements that control the levels of risk in our business and operations. For example, our ability to incur indebtedness is limited such that our asset coverage must equal at least 150% immediately after each time we incur indebtedness, we generally have to invest at least 70% of our gross assets in “qualifying assets” and we are not generally permitted to invest in any portfolio company in which one of our affiliates currently has an investment.</w:t>
      </w:r>
    </w:p>
    <w:p>
      <w:pPr>
        <w:pStyle w:val="TextBody"/>
        <w:bidi w:val="0"/>
        <w:jc w:val="both"/>
        <w:rPr>
          <w:rFonts w:ascii="Times New Roman" w:hAnsi="Times New Roman"/>
          <w:color w:val="000000"/>
          <w:sz w:val="20"/>
        </w:rPr>
      </w:pPr>
      <w:r>
        <w:rPr>
          <w:rFonts w:ascii="Times New Roman" w:hAnsi="Times New Roman"/>
          <w:color w:val="000000"/>
          <w:sz w:val="20"/>
        </w:rPr>
        <w:t>We recognize that different board roles in risk oversight are appropriate for companies in different situations. We intend to re-examine the manners in which the Board administers its oversight function on an ongoing basis to ensure that they continue to meet our needs.</w:t>
      </w:r>
    </w:p>
    <w:p>
      <w:pPr>
        <w:pStyle w:val="TextBody"/>
        <w:bidi w:val="0"/>
        <w:spacing w:before="360" w:after="240"/>
        <w:jc w:val="both"/>
        <w:rPr>
          <w:rFonts w:ascii="Times New Roman" w:hAnsi="Times New Roman"/>
          <w:sz w:val="20"/>
        </w:rPr>
      </w:pPr>
      <w:r>
        <w:rPr>
          <w:rFonts w:ascii="Times New Roman" w:hAnsi="Times New Roman"/>
          <w:b/>
          <w:color w:val="000000"/>
          <w:sz w:val="20"/>
        </w:rPr>
        <w:t>Board Diversity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Nasdaq Listing Rule 5605(f) (the “Diverse Board Representation Rule”) requires each Nasdaq-listed company, subject to certain exceptions, to have at least one director who self-identifies as female and to have at least one director who self-identifies as Black or African American, Hispanic or Latinx, Asian, Native American or Alaska Native, Native Hawaiian or Pacific Islander, two or more races or ethnicities, or as LGBTQ+, or to explain why the company does not have at least two directors on its board who self-identify in the categories listed above.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Nasdaq Listing Rule 5606 (the “Board Diversity Disclosure Rule”) requires each Nasdaq-listed company, subject to certain exceptions, to provide statistical information about the company’s board of directors, in a uniform format, related to each director’s self-identified gender, race, and self-identification as LGBTQ+. We are not required to fully comply with the Diverse Board Representation Rule until 2025. However, in the matrix below, we have provided the statistical information required by the Board Diversity Disclosure Rule.</w:t>
      </w:r>
    </w:p>
    <w:tbl>
      <w:tblPr>
        <w:tblW w:w="9664" w:type="dxa"/>
        <w:jc w:val="left"/>
        <w:tblInd w:w="0" w:type="dxa"/>
        <w:tblLayout w:type="fixed"/>
        <w:tblCellMar>
          <w:top w:w="28" w:type="dxa"/>
          <w:left w:w="28" w:type="dxa"/>
          <w:bottom w:w="28" w:type="dxa"/>
          <w:right w:w="28" w:type="dxa"/>
        </w:tblCellMar>
      </w:tblPr>
      <w:tblGrid>
        <w:gridCol w:w="5101"/>
        <w:gridCol w:w="146"/>
        <w:gridCol w:w="631"/>
        <w:gridCol w:w="146"/>
        <w:gridCol w:w="466"/>
        <w:gridCol w:w="146"/>
        <w:gridCol w:w="961"/>
        <w:gridCol w:w="146"/>
        <w:gridCol w:w="192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966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BOARD DIVERSITY MATRIX (as of March 7, 2024)</w:t>
            </w:r>
          </w:p>
        </w:tc>
      </w:tr>
      <w:tr>
        <w:trPr/>
        <w:tc>
          <w:tcPr>
            <w:tcW w:w="5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Total Number of Directors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w:t>
            </w:r>
          </w:p>
        </w:tc>
      </w:tr>
      <w:tr>
        <w:trPr/>
        <w:tc>
          <w:tcPr>
            <w:tcW w:w="5101"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Female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Non-Binary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Did Not Disclose Gender</w:t>
            </w:r>
          </w:p>
        </w:tc>
      </w:tr>
      <w:tr>
        <w:trPr/>
        <w:tc>
          <w:tcPr>
            <w:tcW w:w="9664" w:type="dxa"/>
            <w:gridSpan w:val="9"/>
            <w:tcBorders/>
            <w:shd w:fill="FFFFFF" w:val="clear"/>
            <w:vAlign w:val="center"/>
          </w:tcPr>
          <w:p>
            <w:pPr>
              <w:pStyle w:val="TableContents"/>
              <w:bidi w:val="0"/>
              <w:spacing w:before="0" w:after="283"/>
              <w:ind w:left="0" w:right="0" w:firstLine="100"/>
              <w:jc w:val="both"/>
              <w:rPr>
                <w:rFonts w:ascii="Times New Roman" w:hAnsi="Times New Roman"/>
                <w:b/>
                <w:color w:val="000000"/>
                <w:sz w:val="16"/>
              </w:rPr>
            </w:pPr>
            <w:r>
              <w:rPr>
                <w:rFonts w:ascii="Times New Roman" w:hAnsi="Times New Roman"/>
                <w:b/>
                <w:color w:val="000000"/>
                <w:sz w:val="16"/>
              </w:rPr>
              <w:t>Part I: Gender Identity</w:t>
            </w:r>
          </w:p>
        </w:tc>
      </w:tr>
      <w:tr>
        <w:trPr/>
        <w:tc>
          <w:tcPr>
            <w:tcW w:w="5101"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Directors</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CCEEFF" w:val="clear"/>
            <w:vAlign w:val="center"/>
          </w:tcPr>
          <w:p>
            <w:pPr>
              <w:pStyle w:val="TableContents"/>
              <w:bidi w:val="0"/>
              <w:spacing w:before="0" w:after="283"/>
              <w:jc w:val="left"/>
              <w:rPr/>
            </w:pPr>
            <w:r>
              <w:rPr/>
              <w:t> </w:t>
            </w:r>
          </w:p>
        </w:tc>
        <w:tc>
          <w:tcPr>
            <w:tcW w:w="1921"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r>
      <w:tr>
        <w:trPr/>
        <w:tc>
          <w:tcPr>
            <w:tcW w:w="9664" w:type="dxa"/>
            <w:gridSpan w:val="9"/>
            <w:tcBorders/>
            <w:shd w:fill="FFFFFF" w:val="cle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Part II: Demographic Background</w:t>
            </w:r>
          </w:p>
        </w:tc>
      </w:tr>
      <w:tr>
        <w:trPr/>
        <w:tc>
          <w:tcPr>
            <w:tcW w:w="5101"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African American or Black</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CCEEFF" w:val="clear"/>
            <w:vAlign w:val="center"/>
          </w:tcPr>
          <w:p>
            <w:pPr>
              <w:pStyle w:val="TableContents"/>
              <w:bidi w:val="0"/>
              <w:spacing w:before="0" w:after="283"/>
              <w:jc w:val="left"/>
              <w:rPr/>
            </w:pPr>
            <w:r>
              <w:rPr/>
              <w:t> </w:t>
            </w:r>
          </w:p>
        </w:tc>
        <w:tc>
          <w:tcPr>
            <w:tcW w:w="1921" w:type="dxa"/>
            <w:tcBorders/>
            <w:shd w:fill="CCEE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0</w:t>
            </w:r>
          </w:p>
        </w:tc>
      </w:tr>
      <w:tr>
        <w:trPr/>
        <w:tc>
          <w:tcPr>
            <w:tcW w:w="51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Alaskan Native or Native American</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FFFFFF" w:val="clear"/>
            <w:vAlign w:val="center"/>
          </w:tcPr>
          <w:p>
            <w:pPr>
              <w:pStyle w:val="TableContents"/>
              <w:bidi w:val="0"/>
              <w:spacing w:before="0" w:after="283"/>
              <w:jc w:val="left"/>
              <w:rPr/>
            </w:pPr>
            <w:r>
              <w:rPr/>
              <w:t> </w:t>
            </w:r>
          </w:p>
        </w:tc>
        <w:tc>
          <w:tcPr>
            <w:tcW w:w="1921"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0</w:t>
            </w:r>
          </w:p>
        </w:tc>
      </w:tr>
      <w:tr>
        <w:trPr/>
        <w:tc>
          <w:tcPr>
            <w:tcW w:w="5101"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Asian</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CCEEFF" w:val="clear"/>
            <w:vAlign w:val="center"/>
          </w:tcPr>
          <w:p>
            <w:pPr>
              <w:pStyle w:val="TableContents"/>
              <w:bidi w:val="0"/>
              <w:spacing w:before="0" w:after="283"/>
              <w:jc w:val="left"/>
              <w:rPr/>
            </w:pPr>
            <w:r>
              <w:rPr/>
              <w:t> </w:t>
            </w:r>
          </w:p>
        </w:tc>
        <w:tc>
          <w:tcPr>
            <w:tcW w:w="1921" w:type="dxa"/>
            <w:tcBorders/>
            <w:shd w:fill="CCEE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0</w:t>
            </w:r>
          </w:p>
        </w:tc>
      </w:tr>
      <w:tr>
        <w:trPr/>
        <w:tc>
          <w:tcPr>
            <w:tcW w:w="51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Hispanic or Latinx</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FFFFFF" w:val="clear"/>
            <w:vAlign w:val="center"/>
          </w:tcPr>
          <w:p>
            <w:pPr>
              <w:pStyle w:val="TableContents"/>
              <w:bidi w:val="0"/>
              <w:spacing w:before="0" w:after="283"/>
              <w:jc w:val="left"/>
              <w:rPr/>
            </w:pPr>
            <w:r>
              <w:rPr/>
              <w:t> </w:t>
            </w:r>
          </w:p>
        </w:tc>
        <w:tc>
          <w:tcPr>
            <w:tcW w:w="1921"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0</w:t>
            </w:r>
          </w:p>
        </w:tc>
      </w:tr>
      <w:tr>
        <w:trPr/>
        <w:tc>
          <w:tcPr>
            <w:tcW w:w="5101"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Native Hawaiian or Pacific Islander</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CCEEFF" w:val="clear"/>
            <w:vAlign w:val="center"/>
          </w:tcPr>
          <w:p>
            <w:pPr>
              <w:pStyle w:val="TableContents"/>
              <w:bidi w:val="0"/>
              <w:spacing w:before="0" w:after="283"/>
              <w:jc w:val="left"/>
              <w:rPr/>
            </w:pPr>
            <w:r>
              <w:rPr/>
              <w:t> </w:t>
            </w:r>
          </w:p>
        </w:tc>
        <w:tc>
          <w:tcPr>
            <w:tcW w:w="1921" w:type="dxa"/>
            <w:tcBorders/>
            <w:shd w:fill="CCEE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0</w:t>
            </w:r>
          </w:p>
        </w:tc>
      </w:tr>
      <w:tr>
        <w:trPr/>
        <w:tc>
          <w:tcPr>
            <w:tcW w:w="51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White</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FFFFFF" w:val="clear"/>
            <w:vAlign w:val="center"/>
          </w:tcPr>
          <w:p>
            <w:pPr>
              <w:pStyle w:val="TableContents"/>
              <w:bidi w:val="0"/>
              <w:spacing w:before="0" w:after="283"/>
              <w:jc w:val="left"/>
              <w:rPr/>
            </w:pPr>
            <w:r>
              <w:rPr/>
              <w:t> </w:t>
            </w:r>
          </w:p>
        </w:tc>
        <w:tc>
          <w:tcPr>
            <w:tcW w:w="1921"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0</w:t>
            </w:r>
          </w:p>
        </w:tc>
      </w:tr>
      <w:tr>
        <w:trPr/>
        <w:tc>
          <w:tcPr>
            <w:tcW w:w="5101"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Two or More Races or Ethnicities</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CCEEFF" w:val="clear"/>
            <w:vAlign w:val="center"/>
          </w:tcPr>
          <w:p>
            <w:pPr>
              <w:pStyle w:val="TableContents"/>
              <w:bidi w:val="0"/>
              <w:spacing w:before="0" w:after="283"/>
              <w:jc w:val="left"/>
              <w:rPr/>
            </w:pPr>
            <w:r>
              <w:rPr/>
              <w:t> </w:t>
            </w:r>
          </w:p>
        </w:tc>
        <w:tc>
          <w:tcPr>
            <w:tcW w:w="1921" w:type="dxa"/>
            <w:tcBorders/>
            <w:shd w:fill="CCEE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0</w:t>
            </w:r>
          </w:p>
        </w:tc>
      </w:tr>
      <w:tr>
        <w:trPr/>
        <w:tc>
          <w:tcPr>
            <w:tcW w:w="51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LGBTQ+</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FFFFFF" w:val="clear"/>
            <w:vAlign w:val="center"/>
          </w:tcPr>
          <w:p>
            <w:pPr>
              <w:pStyle w:val="TableContents"/>
              <w:bidi w:val="0"/>
              <w:spacing w:before="0" w:after="283"/>
              <w:jc w:val="left"/>
              <w:rPr/>
            </w:pPr>
            <w:r>
              <w:rPr/>
              <w:t> </w:t>
            </w:r>
          </w:p>
        </w:tc>
        <w:tc>
          <w:tcPr>
            <w:tcW w:w="1921"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0</w:t>
            </w:r>
          </w:p>
        </w:tc>
      </w:tr>
      <w:tr>
        <w:trPr/>
        <w:tc>
          <w:tcPr>
            <w:tcW w:w="5101"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Did Not Disclose Demographic Background</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c>
          <w:tcPr>
            <w:tcW w:w="146" w:type="dxa"/>
            <w:tcBorders/>
            <w:shd w:fill="CCEEFF" w:val="clear"/>
            <w:vAlign w:val="center"/>
          </w:tcPr>
          <w:p>
            <w:pPr>
              <w:pStyle w:val="TableContents"/>
              <w:bidi w:val="0"/>
              <w:spacing w:before="0" w:after="283"/>
              <w:jc w:val="left"/>
              <w:rPr/>
            </w:pPr>
            <w:r>
              <w:rPr/>
              <w:t> </w:t>
            </w:r>
          </w:p>
        </w:tc>
        <w:tc>
          <w:tcPr>
            <w:tcW w:w="1921"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r>
      <w:tr>
        <w:trPr/>
        <w:tc>
          <w:tcPr>
            <w:tcW w:w="510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NTD:</w:t>
            </w:r>
            <w:r>
              <w:rPr>
                <w:rFonts w:ascii="Times New Roman" w:hAnsi="Times New Roman"/>
                <w:color w:val="000000"/>
                <w:sz w:val="16"/>
              </w:rPr>
              <w:t> To be updated as needed based on D&amp;O questionnaire responses.</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Committees of the Board of Directors</w:t>
      </w:r>
    </w:p>
    <w:p>
      <w:pPr>
        <w:pStyle w:val="TextBody"/>
        <w:bidi w:val="0"/>
        <w:jc w:val="both"/>
        <w:rPr>
          <w:rFonts w:ascii="Times New Roman" w:hAnsi="Times New Roman"/>
          <w:sz w:val="20"/>
        </w:rPr>
      </w:pPr>
      <w:r>
        <w:rPr>
          <w:rFonts w:ascii="Times New Roman" w:hAnsi="Times New Roman"/>
          <w:color w:val="000000"/>
          <w:sz w:val="20"/>
        </w:rPr>
        <w:t xml:space="preserve">The Board has established an Audit Committee, a Nominating and Corporate Governance Committee and a Compensation Committee and may establish additional committees in the future. Each of the Audit Committee, the Nominating and Corporate Governance Committee and the Compensation Committee operate pursuant to a charter, each of which is available under the “Documents &amp; Charters” section of our website at </w:t>
      </w:r>
      <w:r>
        <w:rPr>
          <w:rFonts w:ascii="Times New Roman" w:hAnsi="Times New Roman"/>
          <w:i/>
          <w:color w:val="000000"/>
          <w:sz w:val="20"/>
        </w:rPr>
        <w:t>https://investors.runwaygrowth.com/corporate-governance/governance-overview</w:t>
      </w:r>
      <w:r>
        <w:rPr>
          <w:rFonts w:ascii="Times New Roman" w:hAnsi="Times New Roman"/>
          <w:color w:val="000000"/>
          <w:sz w:val="20"/>
        </w:rPr>
        <w:t>, and is also available in print to any stockholder who requests a copy.</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Audit Committee</w:t>
      </w:r>
    </w:p>
    <w:p>
      <w:pPr>
        <w:pStyle w:val="TextBody"/>
        <w:bidi w:val="0"/>
        <w:jc w:val="both"/>
        <w:rPr>
          <w:rFonts w:ascii="Times New Roman" w:hAnsi="Times New Roman"/>
          <w:color w:val="000000"/>
          <w:sz w:val="20"/>
        </w:rPr>
      </w:pPr>
      <w:r>
        <w:rPr>
          <w:rFonts w:ascii="Times New Roman" w:hAnsi="Times New Roman"/>
          <w:color w:val="000000"/>
          <w:sz w:val="20"/>
        </w:rPr>
        <w:t>The members of our Audit Committee are Ms. Persily, Mr. Engel and Mr. Kovacs, each of whom is not considered an “interested person” of the Company for purposes of the 1940 Act and the Nasdaq Global Select Market corporate governance regulations. Ms. Persily serves as Chair of the Audit Committee. The Board has determined that Ms. Persily is an “audit committee financial expert” as that term is defined under Item 407 of Regulation S-K, as promulgated under the Securities Exchange Act of 1934, as amended (the “Exchange Act”). Ms. Persily, Mr. Engel and Mr. Kovacs meet the current independence and experience requirements of Rule 10A-3 of the Exchange Act. The Audit Committee operates pursuant to a charter approved by the Board, which sets forth the responsibilities of the Audit Committee. The Audit Committee’s responsibilities include establishing guidelines and making recommendations to the Board regarding the valuation of our loans and investments, selecting our independent registered public accounting firm, reviewing with such independent registered public accounting firm the planning, scope and results of their audit of our financial statements, pre-approving the fees for services performed, reviewing with the independent registered public accounting firm the adequacy of internal control systems, reviewing our annual financial statements, overseeing internal audit staff and periodic filings and receiving our audit reports and financial statements. The Audit Committee held eight meetings in 2023.</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Nominating and Corporate Governance Committee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Nominating and Corporate Governance Committee operates pursuant to a charter approved by the Board. The members of the Nominating and Corporate Governance Committee are Mr. Kovacs, Mr. Engel and Ms. Persily, each of whom is considered independent under the rules of the Nasdaq Global Select Market and is not an “interested person” (as defined in the 1940 Act) of the Company. Mr. Kovacs serves as Chair of the Nominating and Corporate Governance Committee. The Nominating and Corporate Governance Committee is responsible for selecting, researching and nominating directors for election by our stockholders, selecting nominees to fill vacancies on the Board or a committee thereof, developing and recommending to the Board a set of corporate governance principles and overseeing the evaluation of the Board and our management. The Nominating and Corporate Governance Committee may consider nominating an individual recommended by a stockholder for election as a director if such stockholder complies with the advance notice provisions of our bylaws.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Nominating and Corporate Governance Committee seeks candidates who possess the background, skills and expertise to make a significant contribution to the Board, the Company and its stockholders. In considering possible candidates for election as a director, the Nominating and Corporate Governance Committee takes into account, in addition to such other factors as it deems relevant, the desirability of selecting directors who: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of high character and integrity;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accomplished in their respective fields, with superior credentials and recognition;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have relevant expertise and experience upon which to be able to offer advice and guidance to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have sufficient time available to devote to our affairs;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able to work with the other members of the Board and contribute to our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 represent the long-term interests of our stockholders as a whole;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selected such that the Board represents a range of backgrounds and experience.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Nominating and Corporate Governance Committee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Nominating and Corporate Governance Committee generally conceptualizes diversity expansively to include, without limitation,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concepts such as race, gender, national origin, differences of viewpoint, professional experience, education, skill and other qualities that contribute to the Board, when identifying and recommending director nominees. The Nominating and Corporate Governance Committee believes that the inclusion of diversity as one of many factors considered in selecting director nominees is consistent with the Nominating and Corporate Governance Committee’s goal of creating a board of directors that best serves our needs and the interests of our stockholders. In addition, as part of the Board’s annual-self assessment, the members of our Nominating and Corporate Governance Committee will evaluate the membership of the Board and whether the Board maintains satisfactory policies regarding membership selection. The Nominating and Corporate Governance Committee held one meeting in 2023.</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Compensation Committee</w:t>
      </w:r>
    </w:p>
    <w:p>
      <w:pPr>
        <w:pStyle w:val="TextBody"/>
        <w:bidi w:val="0"/>
        <w:jc w:val="both"/>
        <w:rPr>
          <w:rFonts w:ascii="Times New Roman" w:hAnsi="Times New Roman"/>
          <w:color w:val="000000"/>
          <w:sz w:val="20"/>
        </w:rPr>
      </w:pPr>
      <w:r>
        <w:rPr>
          <w:rFonts w:ascii="Times New Roman" w:hAnsi="Times New Roman"/>
          <w:color w:val="000000"/>
          <w:sz w:val="20"/>
        </w:rPr>
        <w:t>The members of our Compensation Committee are Mr. Engel, Mr. Kovacs and Ms. Persily, each of whom is not considered an “interested person” (as defined in the 1940 Act) of the Company for purposes of the Nasdaq corporate governance requirements and rules and regulations of the SEC, including the compensation committee requirements of the Nasdaq Listing Rule 5605(d) and Rule 5605(a)(2). Mr. Engel serves as Chair of the Compensation Committee. In accordance with its written charter adopted by the Board, the Compensation Committee is responsible for determining, or recommending to the Board for determination, the compensation, if any, of our Chief Executive Officer and all other executive officers. The Compensation Committee also assists the Board with matters related to compensation generally, except with respect to compensation of the directors. As none of our executive officers currently is compensated by us, the Compensation Committee will not produce and/or review a report on executive compensation practices. The Compensation Committee held one meeting in 2023.</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Communication with the Board of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Stockholders with questions about us are encouraged to contact Thomas B. Raterman, Corporate Secretary, 205 N. Michigan Ave, Suite 4200, Chicago IL 60601 (312) 281-6270. However, if stockholders believe that their questions have not been addressed, they may communicate with the Board directly by sending their communications to Runway Growth Finance Corp. Board of Directors, 205 N. Michigan Ave, Suite 4200, Chicago IL 60601. Stockholders should indicate clearly the director or directors to whom the communication is being sent so that each communication may be forwarded directly to the appropriate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communications involving accounting, internal accounting controls and auditing matters, possible violations of, or non-compliance with, applicable legal and regulatory requirements or policies, or retaliatory acts against anyone who makes such a complaint or assists in the investigation of such a complaint, will be referred to the Audit Committee.</w:t>
      </w:r>
    </w:p>
    <w:p>
      <w:pPr>
        <w:pStyle w:val="TextBody"/>
        <w:bidi w:val="0"/>
        <w:jc w:val="both"/>
        <w:rPr>
          <w:rFonts w:ascii="Times New Roman" w:hAnsi="Times New Roman"/>
          <w:color w:val="000000"/>
          <w:sz w:val="20"/>
        </w:rPr>
      </w:pPr>
      <w:r>
        <w:rPr>
          <w:rFonts w:ascii="Times New Roman" w:hAnsi="Times New Roman"/>
          <w:color w:val="000000"/>
          <w:sz w:val="20"/>
        </w:rPr>
        <w:t>The acceptance and forwarding of a communication to any director does not imply that the director owes or assumes any fiduciary duty to the person submitting the communication, all such duties being only as prescribed by applicable law.</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jc w:val="both"/>
        <w:rPr>
          <w:rFonts w:ascii="Times New Roman" w:hAnsi="Times New Roman"/>
          <w:sz w:val="20"/>
        </w:rPr>
      </w:pPr>
      <w:r>
        <w:rPr>
          <w:rFonts w:ascii="Times New Roman" w:hAnsi="Times New Roman"/>
          <w:color w:val="000000"/>
          <w:sz w:val="20"/>
        </w:rPr>
        <w:t xml:space="preserve">We have adopted a code of business conduct and ethics which applies to, among others, our senior officers, including our Chief Executive Officer and our Chief Financial Officer, as well as any of our other officers, directors and employees. Our code of business conduct and ethics is available on our website at </w:t>
      </w:r>
      <w:r>
        <w:rPr>
          <w:rFonts w:ascii="Times New Roman" w:hAnsi="Times New Roman"/>
          <w:i/>
          <w:color w:val="000000"/>
          <w:sz w:val="20"/>
        </w:rPr>
        <w:t>https://investors.runwaygrowth.com/corporate-governance/governance-overview.</w:t>
      </w:r>
      <w:r>
        <w:rPr>
          <w:rFonts w:ascii="Times New Roman" w:hAnsi="Times New Roman"/>
          <w:color w:val="000000"/>
          <w:sz w:val="20"/>
        </w:rPr>
        <w:t xml:space="preserve"> We will report any material amendments to or waivers of a required provision of our code of business conduct and ethics on our website and/or in a current report on Form 8-K.</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Insider Trading Policies</w:t>
      </w:r>
    </w:p>
    <w:p>
      <w:pPr>
        <w:pStyle w:val="TextBody"/>
        <w:bidi w:val="0"/>
        <w:jc w:val="both"/>
        <w:rPr>
          <w:rFonts w:ascii="Times New Roman" w:hAnsi="Times New Roman"/>
          <w:color w:val="000000"/>
          <w:sz w:val="20"/>
        </w:rPr>
      </w:pPr>
      <w:r>
        <w:rPr>
          <w:rFonts w:ascii="Times New Roman" w:hAnsi="Times New Roman"/>
          <w:color w:val="000000"/>
          <w:sz w:val="20"/>
        </w:rPr>
        <w:t>We have adopted insider trading policies and procedures governing the purchase, sale, and disposition of our securities by our officers and directors that are reasonably designed to promote compliance with insider trading laws, rules and regulations. Our insider trading policy is attached as an exhibit to this annual report on Form 10-K.</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Hedging, Speculative Trading and Pledging of Securities</w:t>
      </w:r>
    </w:p>
    <w:p>
      <w:pPr>
        <w:pStyle w:val="TextBody"/>
        <w:bidi w:val="0"/>
        <w:jc w:val="both"/>
        <w:rPr>
          <w:rFonts w:ascii="Times New Roman" w:hAnsi="Times New Roman"/>
          <w:color w:val="000000"/>
          <w:sz w:val="20"/>
        </w:rPr>
      </w:pPr>
      <w:r>
        <w:rPr>
          <w:rFonts w:ascii="Times New Roman" w:hAnsi="Times New Roman"/>
          <w:color w:val="000000"/>
          <w:sz w:val="20"/>
        </w:rPr>
        <w:t>Our insider trading policy prohibits our directors, executive officers and employees from engaging in any short-term trading, short sales and other speculative transactions involving our securities, including buying or selling puts or calls or other derivative securities based on our securities. In addition, such persons are prohibited under our insider trading policy from (i) entering into hedging or monetization transactions (such as zero-cost collars and forward-sale contracts) or similar arrangements, except in circumstances that are pre-approved by our chief compliance officer, and (ii) pledging our securities in a margin account or as collateral for a loan, except that our securities may be pledged as collateral for a loan (not including margin debt) if such person clearly demonstrates the financial capacity to repay the loan without resort to the pledged securities and such transaction is pre-approved by our chief compliance officer.</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Delinquent Section 16(a) Reports</w:t>
      </w:r>
    </w:p>
    <w:p>
      <w:pPr>
        <w:pStyle w:val="TextBody"/>
        <w:bidi w:val="0"/>
        <w:jc w:val="both"/>
        <w:rPr>
          <w:rFonts w:ascii="Times New Roman" w:hAnsi="Times New Roman"/>
          <w:color w:val="000000"/>
          <w:sz w:val="20"/>
        </w:rPr>
      </w:pPr>
      <w:r>
        <w:rPr>
          <w:rFonts w:ascii="Times New Roman" w:hAnsi="Times New Roman"/>
          <w:color w:val="000000"/>
          <w:sz w:val="20"/>
        </w:rPr>
        <w:t>Section 16(a) of the Exchange Act requires directors, certain officers and ten percent stockholders to file reports of ownership and changes in ownership with the SEC. Based upon a review of filings with the SEC, we believe that all reports for the Company’s officers, directors and ten percent stockholders that were required to be filed under Section 16 of the Exchange Act were timely filed for 2023.</w:t>
      </w:r>
    </w:p>
    <w:p>
      <w:pPr>
        <w:pStyle w:val="TextBody"/>
        <w:bidi w:val="0"/>
        <w:spacing w:before="360" w:after="240"/>
        <w:jc w:val="left"/>
        <w:rPr>
          <w:rFonts w:ascii="Times New Roman" w:hAnsi="Times New Roman"/>
          <w:b/>
          <w:color w:val="000000"/>
          <w:sz w:val="20"/>
        </w:rPr>
      </w:pPr>
      <w:bookmarkStart w:id="30" w:name="item11executive_compensation"/>
      <w:bookmarkEnd w:id="30"/>
      <w:r>
        <w:rPr>
          <w:rFonts w:ascii="Times New Roman" w:hAnsi="Times New Roman"/>
          <w:b/>
          <w:color w:val="000000"/>
          <w:sz w:val="20"/>
        </w:rPr>
        <w:t>Item 11. Executive Compensation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do not currently have any employees and do not expect to have any employees. Services necessary for our business are provided by individuals who are employees of the Adviser, Runway Administrator Services, LLC, our administrator (the “Administrator”), or their affiliates, pursuant to the terms of our existing investment advisory agreement with the Adviser (the “Advisory Agreement”), and the administration agreement with the Administrator (the “Administration Agreement”), as applicable. Our day-to-day investment and administrative operations are managed by the Adviser and the Administrator. Most of the services necessary for the origination and administration of our investment portfolio are provided by investment professionals employed by the Adviser, the Administrator or their affiliates. Colleen Corwell, our Chief Compliance Officer, has been appointed pursuant to an agreement between the Company and Kroll, and is compensated by Kroll.</w:t>
      </w:r>
    </w:p>
    <w:p>
      <w:pPr>
        <w:pStyle w:val="TextBody"/>
        <w:bidi w:val="0"/>
        <w:spacing w:before="0" w:after="240"/>
        <w:jc w:val="both"/>
        <w:rPr>
          <w:rFonts w:ascii="Times New Roman" w:hAnsi="Times New Roman"/>
          <w:sz w:val="20"/>
        </w:rPr>
      </w:pPr>
      <w:r>
        <w:rPr>
          <w:rFonts w:ascii="Times New Roman" w:hAnsi="Times New Roman"/>
          <w:color w:val="000000"/>
          <w:sz w:val="20"/>
        </w:rPr>
        <w:t>None of our executive officers receive direct compensation from us. We reimburse the Administrator the allocable portion of the compensation paid by the Administrator (or its affiliates) to our Chief Compliance Officer and Chief Financial Officer (based on the percentage of time such individuals devote, on an estimated basis, to our business and affairs). Certain of our executive officers and other members of the Adviser’s investment committee, including Mr. Spreng and Mr. Raterman, through their ownership interest in or management positions with the Adviser, may be entitled to a portion of any profits earned by the Adviser, which includes any fees payable to the Adviser under the terms of the Advisory Agreement, less expenses incurred by the Adviser in performing its services under the Advisory Agreement. See “</w:t>
      </w:r>
      <w:r>
        <w:rPr>
          <w:rFonts w:ascii="Times New Roman" w:hAnsi="Times New Roman"/>
          <w:i/>
          <w:color w:val="000000"/>
          <w:sz w:val="20"/>
        </w:rPr>
        <w:t>Certain Relationships and Related Transactions</w:t>
      </w:r>
      <w:r>
        <w:rPr>
          <w:rFonts w:ascii="Times New Roman" w:hAnsi="Times New Roman"/>
          <w:color w:val="000000"/>
          <w:sz w:val="20"/>
        </w:rPr>
        <w:t>” in Part III, Item 13 in this annual report on Form 10-K below.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entered into indemnification agreements with our directors and executive officers. The indemnification agreements are intended to provide our directors and executive officers the maximum indemnification permitted under Maryland law and the 1940 Act. Each indemnification agreement provides that we shall indemnify the director or executive officer who is a party to the agreement, or an “Indemnitee,” including the advancement of legal expenses, if, by reason of his or her corporate status, the Indemnitee is, or is threatened to be, made a party to or a witness in any threatened, pending, or completed proceeding, to the maximum extent permitted by Maryland law and the 1940 Act.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Compensation of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sets forth the compensation received by our directors for the year ended December 31, 2023. No compensation is paid to our directors who are “interested persons,” as such term is defined in Section 2(a)(19) of the 1940 Act, for their service as directors.</w:t>
      </w:r>
    </w:p>
    <w:tbl>
      <w:tblPr>
        <w:tblW w:w="7273" w:type="dxa"/>
        <w:jc w:val="left"/>
        <w:tblInd w:w="0" w:type="dxa"/>
        <w:tblLayout w:type="fixed"/>
        <w:tblCellMar>
          <w:top w:w="28" w:type="dxa"/>
          <w:left w:w="28" w:type="dxa"/>
          <w:bottom w:w="28" w:type="dxa"/>
          <w:right w:w="28" w:type="dxa"/>
        </w:tblCellMar>
      </w:tblPr>
      <w:tblGrid>
        <w:gridCol w:w="1726"/>
        <w:gridCol w:w="246"/>
        <w:gridCol w:w="432"/>
        <w:gridCol w:w="322"/>
        <w:gridCol w:w="1525"/>
        <w:gridCol w:w="146"/>
        <w:gridCol w:w="146"/>
        <w:gridCol w:w="455"/>
        <w:gridCol w:w="805"/>
        <w:gridCol w:w="146"/>
        <w:gridCol w:w="196"/>
        <w:gridCol w:w="146"/>
        <w:gridCol w:w="691"/>
        <w:gridCol w:w="291"/>
      </w:tblGrid>
      <w:tr>
        <w:trPr/>
        <w:tc>
          <w:tcPr>
            <w:tcW w:w="17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Fees Earned or Paid in Cash</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All Other</w:t>
              <w:br/>
              <w:t>Compensation</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CEE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Interested Directors</w:t>
            </w:r>
          </w:p>
        </w:tc>
        <w:tc>
          <w:tcPr>
            <w:tcW w:w="246"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847"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right"/>
              <w:rPr/>
            </w:pPr>
            <w:r>
              <w:rPr/>
              <w:t> </w:t>
            </w:r>
          </w:p>
        </w:tc>
        <w:tc>
          <w:tcPr>
            <w:tcW w:w="837" w:type="dxa"/>
            <w:gridSpan w:val="2"/>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ind w:left="0" w:right="0" w:firstLine="100"/>
              <w:jc w:val="right"/>
              <w:rPr/>
            </w:pPr>
            <w:r>
              <w:rPr/>
              <w:t> </w:t>
            </w:r>
          </w:p>
        </w:tc>
      </w:tr>
      <w:tr>
        <w:trPr/>
        <w:tc>
          <w:tcPr>
            <w:tcW w:w="1726"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 David Spreng</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847"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1726" w:type="dxa"/>
            <w:tcBorders/>
            <w:shd w:fill="CCEEFF" w:val="cle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Brian Laibow </w:t>
            </w:r>
            <w:r>
              <w:rPr>
                <w:rFonts w:ascii="Times New Roman" w:hAnsi="Times New Roman"/>
                <w:color w:val="000000"/>
                <w:sz w:val="11"/>
              </w:rPr>
              <w:t>(3)</w:t>
            </w:r>
          </w:p>
        </w:tc>
        <w:tc>
          <w:tcPr>
            <w:tcW w:w="246" w:type="dxa"/>
            <w:tcBorders/>
            <w:shd w:fill="CCEEFF" w:val="clear"/>
            <w:vAlign w:val="center"/>
          </w:tcPr>
          <w:p>
            <w:pPr>
              <w:pStyle w:val="TableContents"/>
              <w:bidi w:val="0"/>
              <w:spacing w:before="0" w:after="283"/>
              <w:ind w:left="100" w:right="0" w:firstLine="100"/>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847" w:type="dxa"/>
            <w:gridSpan w:val="2"/>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right"/>
              <w:rPr/>
            </w:pPr>
            <w:r>
              <w:rPr/>
              <w:t> </w:t>
            </w:r>
          </w:p>
        </w:tc>
        <w:tc>
          <w:tcPr>
            <w:tcW w:w="837" w:type="dxa"/>
            <w:gridSpan w:val="2"/>
            <w:tcBorders/>
            <w:shd w:fill="CCEEFF" w:val="clear"/>
            <w:vAlign w:val="center"/>
          </w:tcPr>
          <w:p>
            <w:pPr>
              <w:pStyle w:val="TableContents"/>
              <w:bidi w:val="0"/>
              <w:spacing w:before="0" w:after="283"/>
              <w:jc w:val="right"/>
              <w:rPr>
                <w:color w:val="000000"/>
              </w:rPr>
            </w:pPr>
            <w:r>
              <w:rPr>
                <w:color w:val="000000"/>
              </w:rPr>
              <w:t>—</w:t>
            </w:r>
          </w:p>
        </w:tc>
        <w:tc>
          <w:tcPr>
            <w:tcW w:w="291" w:type="dxa"/>
            <w:tcBorders/>
            <w:shd w:fill="CCEEFF" w:val="clear"/>
            <w:vAlign w:val="center"/>
          </w:tcPr>
          <w:p>
            <w:pPr>
              <w:pStyle w:val="TableContents"/>
              <w:bidi w:val="0"/>
              <w:spacing w:before="0" w:after="283"/>
              <w:ind w:left="0" w:right="0" w:firstLine="100"/>
              <w:jc w:val="right"/>
              <w:rPr/>
            </w:pPr>
            <w:r>
              <w:rPr/>
              <w:t> </w:t>
            </w:r>
          </w:p>
        </w:tc>
      </w:tr>
      <w:tr>
        <w:trPr/>
        <w:tc>
          <w:tcPr>
            <w:tcW w:w="1726" w:type="dxa"/>
            <w:tcBorders/>
            <w:shd w:fill="FFFFFF" w:val="cle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Gregory Share</w:t>
            </w:r>
            <w:r>
              <w:rPr>
                <w:rFonts w:ascii="Times New Roman" w:hAnsi="Times New Roman"/>
                <w:color w:val="000000"/>
                <w:sz w:val="11"/>
              </w:rPr>
              <w:t>(3)</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847"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right"/>
              <w:rPr/>
            </w:pPr>
            <w:r>
              <w:rPr/>
              <w:t> </w:t>
            </w:r>
          </w:p>
        </w:tc>
      </w:tr>
      <w:tr>
        <w:trPr/>
        <w:tc>
          <w:tcPr>
            <w:tcW w:w="1726" w:type="dxa"/>
            <w:tcBorders/>
            <w:shd w:fill="CCEE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Independent Directors</w:t>
            </w:r>
          </w:p>
        </w:tc>
        <w:tc>
          <w:tcPr>
            <w:tcW w:w="246"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847" w:type="dxa"/>
            <w:gridSpan w:val="2"/>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right"/>
              <w:rPr/>
            </w:pPr>
            <w:r>
              <w:rPr/>
              <w:t> </w:t>
            </w:r>
          </w:p>
        </w:tc>
        <w:tc>
          <w:tcPr>
            <w:tcW w:w="837" w:type="dxa"/>
            <w:gridSpan w:val="2"/>
            <w:tcBorders/>
            <w:shd w:fill="CCEEFF" w:val="clear"/>
            <w:vAlign w:val="center"/>
          </w:tcPr>
          <w:p>
            <w:pPr>
              <w:pStyle w:val="TableContents"/>
              <w:bidi w:val="0"/>
              <w:spacing w:before="0" w:after="283"/>
              <w:jc w:val="left"/>
              <w:rPr>
                <w:sz w:val="4"/>
                <w:szCs w:val="4"/>
              </w:rPr>
            </w:pPr>
            <w:r>
              <w:rPr>
                <w:sz w:val="4"/>
                <w:szCs w:val="4"/>
              </w:rPr>
            </w:r>
          </w:p>
        </w:tc>
        <w:tc>
          <w:tcPr>
            <w:tcW w:w="291" w:type="dxa"/>
            <w:tcBorders/>
            <w:shd w:fill="CCEEFF" w:val="clear"/>
            <w:vAlign w:val="center"/>
          </w:tcPr>
          <w:p>
            <w:pPr>
              <w:pStyle w:val="TableContents"/>
              <w:bidi w:val="0"/>
              <w:spacing w:before="0" w:after="283"/>
              <w:ind w:left="0" w:right="0" w:firstLine="100"/>
              <w:jc w:val="right"/>
              <w:rPr/>
            </w:pPr>
            <w:r>
              <w:rPr/>
              <w:t> </w:t>
            </w:r>
          </w:p>
        </w:tc>
      </w:tr>
      <w:tr>
        <w:trPr/>
        <w:tc>
          <w:tcPr>
            <w:tcW w:w="1726"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John F. Engel</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3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22" w:type="dxa"/>
            <w:tcBorders/>
            <w:shd w:fill="FFFFFF" w:val="clear"/>
            <w:vAlign w:val="center"/>
          </w:tcPr>
          <w:p>
            <w:pPr>
              <w:pStyle w:val="TableContents"/>
              <w:bidi w:val="0"/>
              <w:spacing w:before="0" w:after="283"/>
              <w:jc w:val="left"/>
              <w:rPr/>
            </w:pPr>
            <w:r>
              <w:rPr/>
              <w:t> </w:t>
            </w:r>
          </w:p>
        </w:tc>
        <w:tc>
          <w:tcPr>
            <w:tcW w:w="15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112,000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726" w:type="dxa"/>
            <w:tcBorders/>
            <w:shd w:fill="CCEE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Gary Kovacs</w:t>
            </w:r>
          </w:p>
        </w:tc>
        <w:tc>
          <w:tcPr>
            <w:tcW w:w="246" w:type="dxa"/>
            <w:tcBorders/>
            <w:shd w:fill="CCEEFF" w:val="clear"/>
            <w:vAlign w:val="center"/>
          </w:tcPr>
          <w:p>
            <w:pPr>
              <w:pStyle w:val="TableContents"/>
              <w:bidi w:val="0"/>
              <w:spacing w:before="0" w:after="283"/>
              <w:ind w:left="100" w:right="0" w:firstLine="100"/>
              <w:jc w:val="left"/>
              <w:rPr/>
            </w:pPr>
            <w:r>
              <w:rPr/>
              <w:t> </w:t>
            </w:r>
          </w:p>
        </w:tc>
        <w:tc>
          <w:tcPr>
            <w:tcW w:w="432"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22" w:type="dxa"/>
            <w:tcBorders/>
            <w:shd w:fill="CCEEFF" w:val="clear"/>
            <w:vAlign w:val="center"/>
          </w:tcPr>
          <w:p>
            <w:pPr>
              <w:pStyle w:val="TableContents"/>
              <w:bidi w:val="0"/>
              <w:spacing w:before="0" w:after="283"/>
              <w:jc w:val="left"/>
              <w:rPr/>
            </w:pPr>
            <w:r>
              <w:rPr/>
              <w:t> </w:t>
            </w:r>
          </w:p>
        </w:tc>
        <w:tc>
          <w:tcPr>
            <w:tcW w:w="152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455"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05"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112,000</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1726"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Julie Persily</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3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22" w:type="dxa"/>
            <w:tcBorders/>
            <w:shd w:fill="FFFFFF" w:val="clear"/>
            <w:vAlign w:val="center"/>
          </w:tcPr>
          <w:p>
            <w:pPr>
              <w:pStyle w:val="TableContents"/>
              <w:bidi w:val="0"/>
              <w:spacing w:before="0" w:after="283"/>
              <w:jc w:val="left"/>
              <w:rPr/>
            </w:pPr>
            <w:r>
              <w:rPr/>
              <w:t> </w:t>
            </w:r>
          </w:p>
        </w:tc>
        <w:tc>
          <w:tcPr>
            <w:tcW w:w="15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112,000</w:t>
            </w:r>
          </w:p>
        </w:tc>
        <w:tc>
          <w:tcPr>
            <w:tcW w:w="291" w:type="dxa"/>
            <w:tcBorders/>
            <w:shd w:fill="FFFFFF"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a discussion of the Independent Directors’ compensation, see below.</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do not maintain a stock or option plan, non-equity incentive plan nor pension plan for our directors.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On July 10, 2023, Mr. Laibow informed the Board of his intent to resign as a director, effective upon the appointment by the Board of another nominee of OCM Growth in accordance with the Stockholder Agreement between the Company and OCM Growth. On August 18, 2023, the Board elected Mr. Share to fill Mr. Laibow’s position on the Board. Mr. Share was nominated by OCM Growth pursuant to the Stockholder Agreement and will serve for the remainder of Mr. Laibow’s term as a Class III director of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Independent Directors receive an annual fee of $95,000. They also receive $2,500 plus reimbursement of reasonable out-of-pocket expenses incurred in connection with attending in-person each regular meeting of the Board and $1,500 for attending any regular Board meeting telephonically. They also receive $1,000 plus reimbursement of reasonable out-of-pocket expenses incurred in connection with each committee meeting attended in-person and $500 for attending any committee meeting telephonically, as well as $500 plus reimbursement of reasonable out-of-pocket expenses in connection with attending each special Board meeting. The Chair of the Audit Committee, Compensation Committee and Nominating and Corporate Governance Committee each receive an annual fee of $5,000. We have obtained directors’ and officers’ liability insurance on behalf of our directors and officers. Independent Directors will have the option of having their directors’ fees paid in shares of our common stock issued at a price per share equal to the per share net asset value of our common stock.</w:t>
      </w:r>
    </w:p>
    <w:p>
      <w:pPr>
        <w:pStyle w:val="TextBody"/>
        <w:bidi w:val="0"/>
        <w:spacing w:before="360" w:after="240"/>
        <w:jc w:val="both"/>
        <w:rPr>
          <w:rFonts w:ascii="Times New Roman" w:hAnsi="Times New Roman"/>
          <w:sz w:val="20"/>
        </w:rPr>
      </w:pPr>
      <w:r>
        <w:rPr>
          <w:rFonts w:ascii="Times New Roman" w:hAnsi="Times New Roman"/>
          <w:b/>
          <w:color w:val="000000"/>
          <w:sz w:val="20"/>
        </w:rPr>
        <w:t>Compensation Recoupment Policy</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On November 2, 2023, we adopted a policy relating to the recovery of erroneously awarded compensation (the “Clawback Policy”) to comply with Nasdaq Listing Rules 5608 and 5810(c)(2)(A)(jjj), which were adopted pursuant to SEC rules promulgated under the Sarbanes-Oxley Act of 2002 and the Dodd-Frank Wall Street Reform and Consumer Protection Act of 2010. This Clawback Policy applies to certain erroneously-awarded incentive-based compensation received by a covered individual on or after October 2, 2023. </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Compensation Committee Interlocks and Insider Participation</w:t>
      </w:r>
    </w:p>
    <w:p>
      <w:pPr>
        <w:pStyle w:val="TextBody"/>
        <w:bidi w:val="0"/>
        <w:jc w:val="both"/>
        <w:rPr>
          <w:rFonts w:ascii="Times New Roman" w:hAnsi="Times New Roman"/>
          <w:color w:val="000000"/>
          <w:sz w:val="20"/>
        </w:rPr>
      </w:pPr>
      <w:r>
        <w:rPr>
          <w:rFonts w:ascii="Times New Roman" w:hAnsi="Times New Roman"/>
          <w:color w:val="000000"/>
          <w:sz w:val="20"/>
        </w:rPr>
        <w:t>During fiscal year 2023, none of our executive officers served on the board (or a compensation committee thereof or other board committee performing equivalent functions) of any entities that had one or more executive officers serve on our compensation committee or on our Board. No executive officer or member of the Board participated in deliberations of the Board concerning executive officer compensation. No member of the Board had any relationship requiring disclosure under any paragraph of Item 404 of Regulation S-K.</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Compensation Committee Report</w:t>
      </w:r>
    </w:p>
    <w:p>
      <w:pPr>
        <w:pStyle w:val="TextBody"/>
        <w:bidi w:val="0"/>
        <w:jc w:val="both"/>
        <w:rPr>
          <w:rFonts w:ascii="Times New Roman" w:hAnsi="Times New Roman"/>
          <w:color w:val="000000"/>
          <w:sz w:val="20"/>
        </w:rPr>
      </w:pPr>
      <w:r>
        <w:rPr>
          <w:rFonts w:ascii="Times New Roman" w:hAnsi="Times New Roman"/>
          <w:color w:val="000000"/>
          <w:sz w:val="20"/>
        </w:rPr>
        <w:t>Currently, we do not compensate any of our executive officers, and as such we are not required to produce a report on executive officer compensation for inclusion in our annual report on Form 10-K.</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left"/>
        <w:rPr>
          <w:rFonts w:ascii="Times New Roman" w:hAnsi="Times New Roman"/>
          <w:b/>
          <w:color w:val="000000"/>
          <w:sz w:val="20"/>
        </w:rPr>
      </w:pPr>
      <w:bookmarkStart w:id="31" w:name="item12security_ownership"/>
      <w:bookmarkEnd w:id="31"/>
      <w:r>
        <w:rPr>
          <w:rFonts w:ascii="Times New Roman" w:hAnsi="Times New Roman"/>
          <w:b/>
          <w:color w:val="000000"/>
          <w:sz w:val="20"/>
        </w:rPr>
        <w:t>Item 12. Security Ownership of Certain Beneficial Owners and Management and Related Stockholder Matters</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as of March 7, 2024, the beneficial ownership of our common stock by each of our current directors, each nominee for director, each of our executive officers, each person known to us to beneficially own 5% or more of the outstanding shares of our common stock, and all of our executive officers and directors as a group.</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Beneficial ownership is determined in accordance with the rules of the SEC and includes voting or investment power with respect to the securities. Shares of common stock subject to options or warrants that are currently exercisable or exercisable within 60 days of March 7, 2024 are deemed to be outstanding and beneficially owned by the person holding such options or warrants. Such shares, however, are not deemed outstanding for the purposes of computing the percentage ownership of any other person. There is no common stock subject to options or warrants that are currently exercisable or exercisable within 60 days of March 7, 2024. Percentage of ownership is based on 40,509,269 shares of common stock outstanding as of March 7, 2024.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Unless otherwise indicated, to our knowledge, each stockholder listed below has sole voting and investment power with respect to the shares beneficially owned by the stockholder, except to the extent authority is shared by their spouses under applicable law. Unless otherwise indicated, the address of all executive officers and directors is c/o Runway Growth Finance Corp., 205 N. Michigan Ave, Suite 4200, Chicago, Illinois 60601.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directors are divided into two groups — interested directors and independent directors. Interested directors are “interested persons,” as defined in Section 2(a)(19) of the 1940 Act, of the Company.</w:t>
      </w:r>
    </w:p>
    <w:tbl>
      <w:tblPr>
        <w:tblW w:w="8721" w:type="dxa"/>
        <w:jc w:val="left"/>
        <w:tblInd w:w="0" w:type="dxa"/>
        <w:tblLayout w:type="fixed"/>
        <w:tblCellMar>
          <w:top w:w="28" w:type="dxa"/>
          <w:left w:w="28" w:type="dxa"/>
          <w:bottom w:w="28" w:type="dxa"/>
          <w:right w:w="28" w:type="dxa"/>
        </w:tblCellMar>
      </w:tblPr>
      <w:tblGrid>
        <w:gridCol w:w="3346"/>
        <w:gridCol w:w="146"/>
        <w:gridCol w:w="408"/>
        <w:gridCol w:w="2562"/>
        <w:gridCol w:w="146"/>
        <w:gridCol w:w="146"/>
        <w:gridCol w:w="392"/>
        <w:gridCol w:w="1138"/>
        <w:gridCol w:w="146"/>
        <w:gridCol w:w="2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 Shares Beneficially Owned</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CEE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Interested Directors:</w:t>
            </w:r>
          </w:p>
        </w:tc>
        <w:tc>
          <w:tcPr>
            <w:tcW w:w="146" w:type="dxa"/>
            <w:tcBorders/>
            <w:shd w:fill="CCEEFF" w:val="clear"/>
            <w:vAlign w:val="center"/>
          </w:tcPr>
          <w:p>
            <w:pPr>
              <w:pStyle w:val="TableContents"/>
              <w:bidi w:val="0"/>
              <w:spacing w:before="0" w:after="283"/>
              <w:jc w:val="left"/>
              <w:rPr/>
            </w:pPr>
            <w:r>
              <w:rPr/>
              <w:t> </w:t>
            </w:r>
          </w:p>
        </w:tc>
        <w:tc>
          <w:tcPr>
            <w:tcW w:w="2970"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530"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3346" w:type="dxa"/>
            <w:tcBorders/>
            <w:shd w:fill="FFFFFF" w:val="clear"/>
            <w:vAlign w:val="center"/>
          </w:tcPr>
          <w:p>
            <w:pPr>
              <w:pStyle w:val="TableContents"/>
              <w:bidi w:val="0"/>
              <w:spacing w:before="0" w:after="283"/>
              <w:ind w:left="100" w:right="0" w:firstLine="100"/>
              <w:jc w:val="left"/>
              <w:rPr>
                <w:rFonts w:ascii="Times New Roman" w:hAnsi="Times New Roman"/>
                <w:sz w:val="16"/>
              </w:rPr>
            </w:pPr>
            <w:r>
              <w:rPr>
                <w:rFonts w:ascii="Times New Roman" w:hAnsi="Times New Roman"/>
                <w:color w:val="000000"/>
                <w:sz w:val="16"/>
              </w:rPr>
              <w:t>R. David Spreng</w:t>
            </w:r>
            <w:r>
              <w:rPr>
                <w:rFonts w:ascii="Times New Roman" w:hAnsi="Times New Roman"/>
                <w:color w:val="000000"/>
                <w:sz w:val="11"/>
              </w:rPr>
              <w:t>(3)</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25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247,882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34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Gregory Share</w:t>
            </w:r>
          </w:p>
        </w:tc>
        <w:tc>
          <w:tcPr>
            <w:tcW w:w="146" w:type="dxa"/>
            <w:tcBorders/>
            <w:shd w:fill="CCEEFF" w:val="clear"/>
            <w:vAlign w:val="center"/>
          </w:tcPr>
          <w:p>
            <w:pPr>
              <w:pStyle w:val="TableContents"/>
              <w:bidi w:val="0"/>
              <w:spacing w:before="0" w:after="283"/>
              <w:jc w:val="left"/>
              <w:rPr/>
            </w:pPr>
            <w:r>
              <w:rPr/>
              <w:t> </w:t>
            </w:r>
          </w:p>
        </w:tc>
        <w:tc>
          <w:tcPr>
            <w:tcW w:w="2970"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530" w:type="dxa"/>
            <w:gridSpan w:val="2"/>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Independent Directors:</w:t>
            </w:r>
          </w:p>
        </w:tc>
        <w:tc>
          <w:tcPr>
            <w:tcW w:w="146" w:type="dxa"/>
            <w:tcBorders/>
            <w:shd w:fill="FFFFFF" w:val="clear"/>
            <w:vAlign w:val="center"/>
          </w:tcPr>
          <w:p>
            <w:pPr>
              <w:pStyle w:val="TableContents"/>
              <w:bidi w:val="0"/>
              <w:spacing w:before="0" w:after="283"/>
              <w:jc w:val="left"/>
              <w:rPr/>
            </w:pPr>
            <w:r>
              <w:rPr/>
              <w:t> </w:t>
            </w:r>
          </w:p>
        </w:tc>
        <w:tc>
          <w:tcPr>
            <w:tcW w:w="297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34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Gary Kovacs</w:t>
            </w:r>
          </w:p>
        </w:tc>
        <w:tc>
          <w:tcPr>
            <w:tcW w:w="146" w:type="dxa"/>
            <w:tcBorders/>
            <w:shd w:fill="CCEEFF"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256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0" w:type="dxa"/>
            <w:gridSpan w:val="2"/>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33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Julie Persily</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25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346" w:type="dxa"/>
            <w:tcBorders/>
            <w:shd w:fill="CCEEFF" w:val="clear"/>
            <w:vAlign w:val="center"/>
          </w:tcPr>
          <w:p>
            <w:pPr>
              <w:pStyle w:val="TableContents"/>
              <w:bidi w:val="0"/>
              <w:spacing w:before="0" w:after="283"/>
              <w:ind w:left="100" w:right="0" w:firstLine="100"/>
              <w:jc w:val="left"/>
              <w:rPr>
                <w:rFonts w:ascii="Times New Roman" w:hAnsi="Times New Roman"/>
                <w:sz w:val="16"/>
              </w:rPr>
            </w:pPr>
            <w:r>
              <w:rPr>
                <w:rFonts w:ascii="Times New Roman" w:hAnsi="Times New Roman"/>
                <w:color w:val="000000"/>
                <w:sz w:val="16"/>
              </w:rPr>
              <w:t>John F. Engel</w:t>
            </w:r>
            <w:r>
              <w:rPr>
                <w:rFonts w:ascii="Times New Roman" w:hAnsi="Times New Roman"/>
                <w:color w:val="000000"/>
                <w:sz w:val="11"/>
              </w:rPr>
              <w:t>(4)</w:t>
            </w:r>
          </w:p>
        </w:tc>
        <w:tc>
          <w:tcPr>
            <w:tcW w:w="146" w:type="dxa"/>
            <w:tcBorders/>
            <w:shd w:fill="CCEEFF"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256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0" w:type="dxa"/>
            <w:gridSpan w:val="2"/>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Executive Officers Who Are Not Directors:</w:t>
            </w:r>
          </w:p>
        </w:tc>
        <w:tc>
          <w:tcPr>
            <w:tcW w:w="146" w:type="dxa"/>
            <w:tcBorders/>
            <w:shd w:fill="FFFFFF" w:val="clear"/>
            <w:vAlign w:val="center"/>
          </w:tcPr>
          <w:p>
            <w:pPr>
              <w:pStyle w:val="TableContents"/>
              <w:bidi w:val="0"/>
              <w:spacing w:before="0" w:after="283"/>
              <w:jc w:val="left"/>
              <w:rPr/>
            </w:pPr>
            <w:r>
              <w:rPr/>
              <w:t> </w:t>
            </w:r>
          </w:p>
        </w:tc>
        <w:tc>
          <w:tcPr>
            <w:tcW w:w="297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346" w:type="dxa"/>
            <w:tcBorders/>
            <w:shd w:fill="CCEEFF" w:val="clear"/>
            <w:vAlign w:val="center"/>
          </w:tcPr>
          <w:p>
            <w:pPr>
              <w:pStyle w:val="TableContents"/>
              <w:bidi w:val="0"/>
              <w:spacing w:before="0" w:after="283"/>
              <w:ind w:left="100" w:right="0" w:firstLine="100"/>
              <w:jc w:val="left"/>
              <w:rPr>
                <w:rFonts w:ascii="Times New Roman" w:hAnsi="Times New Roman"/>
                <w:sz w:val="16"/>
              </w:rPr>
            </w:pPr>
            <w:r>
              <w:rPr>
                <w:rFonts w:ascii="Times New Roman" w:hAnsi="Times New Roman"/>
                <w:color w:val="000000"/>
                <w:sz w:val="16"/>
              </w:rPr>
              <w:t>Thomas B. Raterman</w:t>
            </w:r>
            <w:r>
              <w:rPr>
                <w:rFonts w:ascii="Times New Roman" w:hAnsi="Times New Roman"/>
                <w:color w:val="000000"/>
                <w:sz w:val="11"/>
              </w:rPr>
              <w:t>(5)</w:t>
            </w:r>
          </w:p>
        </w:tc>
        <w:tc>
          <w:tcPr>
            <w:tcW w:w="146" w:type="dxa"/>
            <w:tcBorders/>
            <w:shd w:fill="CCEEFF"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256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181,947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0" w:type="dxa"/>
            <w:gridSpan w:val="2"/>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33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Greg Greifeld</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25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34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Colleen Corwell</w:t>
            </w:r>
          </w:p>
        </w:tc>
        <w:tc>
          <w:tcPr>
            <w:tcW w:w="146" w:type="dxa"/>
            <w:tcBorders/>
            <w:shd w:fill="CCEEFF" w:val="clear"/>
            <w:vAlign w:val="center"/>
          </w:tcPr>
          <w:p>
            <w:pPr>
              <w:pStyle w:val="TableContents"/>
              <w:bidi w:val="0"/>
              <w:spacing w:before="0" w:after="283"/>
              <w:jc w:val="left"/>
              <w:rPr/>
            </w:pPr>
            <w:r>
              <w:rPr/>
              <w:t> </w:t>
            </w:r>
          </w:p>
        </w:tc>
        <w:tc>
          <w:tcPr>
            <w:tcW w:w="2970"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530"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Executive Officers and Directors as a Group</w:t>
            </w:r>
          </w:p>
        </w:tc>
        <w:tc>
          <w:tcPr>
            <w:tcW w:w="146" w:type="dxa"/>
            <w:tcBorders/>
            <w:shd w:fill="FFFFFF" w:val="clear"/>
            <w:vAlign w:val="center"/>
          </w:tcPr>
          <w:p>
            <w:pPr>
              <w:pStyle w:val="TableContents"/>
              <w:bidi w:val="0"/>
              <w:spacing w:before="0" w:after="283"/>
              <w:jc w:val="left"/>
              <w:rPr/>
            </w:pPr>
            <w:r>
              <w:rPr/>
              <w:t> </w:t>
            </w:r>
          </w:p>
        </w:tc>
        <w:tc>
          <w:tcPr>
            <w:tcW w:w="297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346" w:type="dxa"/>
            <w:tcBorders/>
            <w:shd w:fill="CCEE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5% or More Holders:</w:t>
            </w:r>
          </w:p>
        </w:tc>
        <w:tc>
          <w:tcPr>
            <w:tcW w:w="146" w:type="dxa"/>
            <w:tcBorders/>
            <w:shd w:fill="CCEEFF" w:val="clear"/>
            <w:vAlign w:val="center"/>
          </w:tcPr>
          <w:p>
            <w:pPr>
              <w:pStyle w:val="TableContents"/>
              <w:bidi w:val="0"/>
              <w:spacing w:before="0" w:after="283"/>
              <w:jc w:val="left"/>
              <w:rPr/>
            </w:pPr>
            <w:r>
              <w:rPr/>
              <w:t> </w:t>
            </w:r>
          </w:p>
        </w:tc>
        <w:tc>
          <w:tcPr>
            <w:tcW w:w="297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0"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3346" w:type="dxa"/>
            <w:tcBorders/>
            <w:shd w:fill="FFFFFF" w:val="clear"/>
            <w:vAlign w:val="center"/>
          </w:tcPr>
          <w:p>
            <w:pPr>
              <w:pStyle w:val="TableContents"/>
              <w:bidi w:val="0"/>
              <w:spacing w:before="0" w:after="283"/>
              <w:ind w:left="100" w:right="0" w:firstLine="100"/>
              <w:jc w:val="left"/>
              <w:rPr>
                <w:rFonts w:ascii="Times New Roman" w:hAnsi="Times New Roman"/>
                <w:sz w:val="16"/>
              </w:rPr>
            </w:pPr>
            <w:r>
              <w:rPr>
                <w:rFonts w:ascii="Times New Roman" w:hAnsi="Times New Roman"/>
                <w:color w:val="000000"/>
                <w:sz w:val="16"/>
              </w:rPr>
              <w:t>OCM Growth Holdings, LLC</w:t>
            </w:r>
            <w:r>
              <w:rPr>
                <w:rFonts w:ascii="Times New Roman" w:hAnsi="Times New Roman"/>
                <w:color w:val="000000"/>
                <w:sz w:val="11"/>
              </w:rPr>
              <w:t>(2)</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25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16,492,168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 Represents less than 1.0%.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Beneficial ownership has been determined in accordance with Rule 13d-3 of the Exchange Act.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Based on information included in the Form 4 filed by OCM Growth with the SEC on December 15, 2023. Pursuant to an irrevocable proxy, the shares held by OCM Growth must be voted in the same proportion that our other stockholders vote their shares. The following entities may be deemed to have indirect beneficial ownership of the shares of common stock held by OCM Growth: (i) Oaktree Fund GP, LLC, a Delaware limited liability company (“Fund GP”), in its capacity as the manager of OCM Growth; (ii) Oaktree GP I, L.P., a Delaware limited partnership (“GP I”), in its capacity as the managing member of GP LLC; (iii) Oaktree Capital I, L.P., a Delaware limited partnership (“Capital I”), in its capacity as the general partner of GP I LLC; (iv) OCM Holdings I, LLC, a Delaware limited liability company (“Holdings I”), in its capacity as the general partner of Capital I; (v) Oaktree Holdings, LLC, a Delaware limited liability company (“Holdings”), in its capacity as the managing member of Holdings I; (vi) Oaktree Capital Group, LLC, a Delaware limited liability company (“OCG”), in its capacity as the managing member of Holdings LLC; (vii) Oaktree Capital Group Holdings GP, LLC (“OCGH GP”), in its capacity as the duly appointed manager of OCG; (viii) Brookfield Multi-Strategy Master Fund LP, a Cayman Island exempted limited partnership (“Master Fund LP”); (ix) Brookfield Multi-Strategy Fund GP LLC, a Delaware limited liability company (“Multi-Fund Strategy Fund GP”), in its capacity as investment manager to Master Fund LP; (x) Brookfield BHS Advisors, LLC, a Delaware limited liability company (“BHS Advisors”), in its capacity as investment manager to Master Fund LP; (xi) Brookfield Public Securities Group Holdings LLC, a Delaware limited liability company (“Securities Group Holdings”), in its capacity as managing manager of BHS Advisors; (xii) Brookfield US Inc., a Delaware corporation (“Brookfield US”), in its capacity as managing member of Securities Group Holdings; (xiii) Brookfield US Holdings Inc., a Canadian corporation (“Brookfield US Holdings”), in its capacity as the sole shareholder of Brookfield US Holdings; (xiv) Brookfield Holdings Canada Inc., a Canadian corporation (“Brookfield Holdings Canada”), in its capacity as the sole shareholder of Brookfield US Holdings; (xv) Brookfield Asset Management Inc., a Canadian corporation (“BAM”) in its capacity as the indirect owner of the class A units of OCG; and (xvi) BAD Partners Trust, a Canadian corporation (“Partners,” and collectively with Fund GP, GP I, Capital I, Holdings I, Holdings, OCG, OCGH GP, Master Fund LP, Multi-Fund Strategy Fund GP, BHS Advisors, Securities Group Holdings, Brookfield US, Brookfield US Holdings, Brookfield Holdings Canada and BAM, the “Oaktree Funds”), a trust formed under the laws of Ontario, in its capacity as the sole owner of Class B Limited Voting Shares of BAM. Each Oaktree Fund disclaims beneficial ownership of all equity securities reported in the above table. OCGH GP is managed by an executive committee consisting of Howard S. Marks, Bruce A. Karsh, Sheldon M. Stone, John B. Frank and Jay S. Wintrob (the “OCGH GP Members”). In such capacity, the OCGH GP Members may be deemed to have indirect beneficial ownership of the shares of common stock held by OCM Growth. Each OCGH GP Member expressly disclaims beneficial ownership of shares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of common stock held by OCM Growth, except to the extent of his respective pecuniary interest therein. The principal business address of OCM Growth is 333 South Grand Avenue, 28th Floor, Los Angeles, California 90071.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58,914 shares held by Mr. Spreng directly, 29,463 shares held by Mr. Spreng’s 401(k) Plan, and 159,505 shares held by Runway Growth Holdings LLC indirectly. The shares held by Runway Growth Holdings LLC, may be deemed to be beneficially owned by Mr. Spreng by virtue of his ownership interest in Runway Growth Holdings LLC and his position of Chief Executive Officer thereof. Mr. Spreng disclaims any beneficial ownership of these shares.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Mr. Engel’s shares are held indirectly by the John F. Engel Trust.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22,443 shares held by Mr. Raterman directly and 159,505 shares held by Runway Growth Holdings LLC indirectly. The shares held by Runway Growth Holdings LLC, may be deemed to be beneficially owned by Mr. Raterman by virtue of his ownership interest in Runway Growth Holdings LLC and his position of Chief Operating Officer and Chief Financial Officer thereof. Mr. Raterman disclaims any beneficial ownership of these shares.​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Set forth below is the dollar range of equity securities beneficially owned by each of our directors as of March 6, 2024:</w:t>
      </w:r>
    </w:p>
    <w:tbl>
      <w:tblPr>
        <w:tblW w:w="3878" w:type="dxa"/>
        <w:jc w:val="left"/>
        <w:tblInd w:w="0" w:type="dxa"/>
        <w:tblLayout w:type="fixed"/>
        <w:tblCellMar>
          <w:top w:w="28" w:type="dxa"/>
          <w:left w:w="28" w:type="dxa"/>
          <w:bottom w:w="28" w:type="dxa"/>
          <w:right w:w="28" w:type="dxa"/>
        </w:tblCellMar>
      </w:tblPr>
      <w:tblGrid>
        <w:gridCol w:w="1886"/>
        <w:gridCol w:w="146"/>
        <w:gridCol w:w="1846"/>
      </w:tblGrid>
      <w:tr>
        <w:trPr/>
        <w:tc>
          <w:tcPr>
            <w:tcW w:w="1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1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4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 Range of Equity</w:t>
            </w:r>
          </w:p>
        </w:tc>
      </w:tr>
      <w:tr>
        <w:trPr/>
        <w:tc>
          <w:tcPr>
            <w:tcW w:w="1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4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Beneficially</w:t>
            </w:r>
          </w:p>
        </w:tc>
      </w:tr>
      <w:tr>
        <w:trPr/>
        <w:tc>
          <w:tcPr>
            <w:tcW w:w="1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4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Owned (1)(2)(3)</w:t>
            </w:r>
          </w:p>
        </w:tc>
      </w:tr>
      <w:tr>
        <w:trPr/>
        <w:tc>
          <w:tcPr>
            <w:tcW w:w="1886" w:type="dxa"/>
            <w:tcBorders/>
            <w:shd w:fill="CCEEFF" w:val="cle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Interested Directors:</w:t>
            </w:r>
          </w:p>
        </w:tc>
        <w:tc>
          <w:tcPr>
            <w:tcW w:w="146" w:type="dxa"/>
            <w:tcBorders/>
            <w:shd w:fill="CCEEFF" w:val="clear"/>
            <w:vAlign w:val="center"/>
          </w:tcPr>
          <w:p>
            <w:pPr>
              <w:pStyle w:val="TableContents"/>
              <w:bidi w:val="0"/>
              <w:spacing w:before="0" w:after="283"/>
              <w:jc w:val="left"/>
              <w:rPr/>
            </w:pPr>
            <w:r>
              <w:rPr/>
              <w:t> </w:t>
            </w:r>
          </w:p>
        </w:tc>
        <w:tc>
          <w:tcPr>
            <w:tcW w:w="1846" w:type="dxa"/>
            <w:tcBorders/>
            <w:shd w:fill="CCEEFF" w:val="clear"/>
            <w:vAlign w:val="center"/>
          </w:tcPr>
          <w:p>
            <w:pPr>
              <w:pStyle w:val="TableContents"/>
              <w:bidi w:val="0"/>
              <w:spacing w:before="0" w:after="283"/>
              <w:ind w:left="0" w:right="0" w:firstLine="100"/>
              <w:jc w:val="right"/>
              <w:rPr/>
            </w:pPr>
            <w:r>
              <w:rPr/>
              <w:t> </w:t>
            </w:r>
          </w:p>
        </w:tc>
      </w:tr>
      <w:tr>
        <w:trPr/>
        <w:tc>
          <w:tcPr>
            <w:tcW w:w="18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 David Spreng</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Over $100,000</w:t>
            </w:r>
          </w:p>
        </w:tc>
      </w:tr>
      <w:tr>
        <w:trPr/>
        <w:tc>
          <w:tcPr>
            <w:tcW w:w="188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Gregory Share</w:t>
            </w:r>
          </w:p>
        </w:tc>
        <w:tc>
          <w:tcPr>
            <w:tcW w:w="146" w:type="dxa"/>
            <w:tcBorders/>
            <w:shd w:fill="CCEEFF" w:val="clear"/>
            <w:vAlign w:val="center"/>
          </w:tcPr>
          <w:p>
            <w:pPr>
              <w:pStyle w:val="TableContents"/>
              <w:bidi w:val="0"/>
              <w:spacing w:before="0" w:after="283"/>
              <w:jc w:val="left"/>
              <w:rPr/>
            </w:pPr>
            <w:r>
              <w:rPr/>
              <w:t> </w:t>
            </w:r>
          </w:p>
        </w:tc>
        <w:tc>
          <w:tcPr>
            <w:tcW w:w="1846" w:type="dxa"/>
            <w:tcBorders/>
            <w:shd w:fill="CCEE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None</w:t>
            </w:r>
          </w:p>
        </w:tc>
      </w:tr>
      <w:tr>
        <w:trPr/>
        <w:tc>
          <w:tcPr>
            <w:tcW w:w="1886"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Independent Directors:</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ind w:left="0" w:right="0" w:firstLine="100"/>
              <w:jc w:val="center"/>
              <w:rPr/>
            </w:pPr>
            <w:r>
              <w:rPr/>
              <w:t> </w:t>
            </w:r>
          </w:p>
        </w:tc>
      </w:tr>
      <w:tr>
        <w:trPr/>
        <w:tc>
          <w:tcPr>
            <w:tcW w:w="188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Gary Kovacs</w:t>
            </w:r>
          </w:p>
        </w:tc>
        <w:tc>
          <w:tcPr>
            <w:tcW w:w="146" w:type="dxa"/>
            <w:tcBorders/>
            <w:shd w:fill="CCEEFF" w:val="clear"/>
            <w:vAlign w:val="center"/>
          </w:tcPr>
          <w:p>
            <w:pPr>
              <w:pStyle w:val="TableContents"/>
              <w:bidi w:val="0"/>
              <w:spacing w:before="0" w:after="283"/>
              <w:jc w:val="left"/>
              <w:rPr/>
            </w:pPr>
            <w:r>
              <w:rPr/>
              <w:t> </w:t>
            </w:r>
          </w:p>
        </w:tc>
        <w:tc>
          <w:tcPr>
            <w:tcW w:w="1846" w:type="dxa"/>
            <w:tcBorders/>
            <w:shd w:fill="CCEE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Over $100,000</w:t>
            </w:r>
          </w:p>
        </w:tc>
      </w:tr>
      <w:tr>
        <w:trPr/>
        <w:tc>
          <w:tcPr>
            <w:tcW w:w="18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Julie Persily</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Over $100,000</w:t>
            </w:r>
          </w:p>
        </w:tc>
      </w:tr>
      <w:tr>
        <w:trPr/>
        <w:tc>
          <w:tcPr>
            <w:tcW w:w="188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John Engel</w:t>
            </w:r>
          </w:p>
        </w:tc>
        <w:tc>
          <w:tcPr>
            <w:tcW w:w="146" w:type="dxa"/>
            <w:tcBorders/>
            <w:shd w:fill="CCEEFF" w:val="clear"/>
            <w:vAlign w:val="center"/>
          </w:tcPr>
          <w:p>
            <w:pPr>
              <w:pStyle w:val="TableContents"/>
              <w:bidi w:val="0"/>
              <w:spacing w:before="0" w:after="283"/>
              <w:jc w:val="left"/>
              <w:rPr/>
            </w:pPr>
            <w:r>
              <w:rPr/>
              <w:t> </w:t>
            </w:r>
          </w:p>
        </w:tc>
        <w:tc>
          <w:tcPr>
            <w:tcW w:w="1846" w:type="dxa"/>
            <w:tcBorders/>
            <w:shd w:fill="CCEE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Over $100,000</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Beneficial ownership has been determined in accordance with Rule 13d-3 of the Exchange Act.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dollar range of the Company’s equity securities beneficially owned is calculated based on the closing sales price of the Company’s common stock as reported on The Nasdaq Global Select Market as of March 6, 2024.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dollar ranges of equity securities beneficially owned are: none; $1 – $10,000; $10,001 – $50,000; $50,001 – $100,000; and over $100,000.</w:t>
      </w:r>
    </w:p>
    <w:p>
      <w:pPr>
        <w:pStyle w:val="TextBody"/>
        <w:bidi w:val="0"/>
        <w:spacing w:before="360" w:after="240"/>
        <w:jc w:val="left"/>
        <w:rPr>
          <w:rFonts w:ascii="Times New Roman" w:hAnsi="Times New Roman"/>
          <w:b/>
          <w:color w:val="000000"/>
          <w:sz w:val="20"/>
        </w:rPr>
      </w:pPr>
      <w:bookmarkStart w:id="32" w:name="item13relationships_related_transactions"/>
      <w:bookmarkEnd w:id="32"/>
      <w:r>
        <w:rPr>
          <w:rFonts w:ascii="Times New Roman" w:hAnsi="Times New Roman"/>
          <w:b/>
          <w:color w:val="000000"/>
          <w:sz w:val="20"/>
        </w:rPr>
        <w:t>Item 13. Certain Relationships and Related Transactions, and Director Independence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Certain members of the Adviser’s senior investment team and the investment committee serve, or may serve, as officers, directors, members or principals of entities that operate in the same or a related line of business as we do, or of investment vehicles managed by the Adviser with similar investment objectives. Similarly, the Adviser may have other clients with similar, different or competing investment objectives.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Members of the Adviser’s senior investment team and the investment committee, in their roles at the Adviser, may face conflicts in the allocation of investment opportunities among us and other investment vehicles that are managed by the Adviser with similar or overlapping investment objectives in a manner that is fair and equitable over time and consistent with the Adviser’s allocation policy. Generally, when a particular investment would be appropriate for us as well as one or more other investment funds, accounts or vehicles that may in the future be managed by the Adviser’s senior investment team, such investment will be apportioned by the Adviser’s senior investment team in accordance with (1) the Adviser’s internal conflict of interest and allocation policies, (2) the requirements of the Investment Advisers Act of 1940, as amended, and (3) certain restrictions under the 1940 Act regarding co-investments with affiliates. Such apportionment may not be strictly pro rata, depending on the good-faith determination of all relevant factors, including differing investment objectives, diversification considerations and the terms of our or the respective governing documents of such investment funds, accounts or investment vehicles. These procedures could, in certain circumstances, limit whether a co-investment opportunity is available to us, the timing of acquisitions and dispositions of investments, the price paid or received by us for investments or the size of the investment purchased or sold by us. The Adviser believes this allocation system is fair and equitable, and consistent with its fiduciary duty to us. In particular, we have disclosed to investors how allocation determinations are made among any investment vehicles managed by the Adviser.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the ordinary course of business, we may enter into transactions with affiliates and portfolio companies that may be considered related party transactions. In order to ensure that we do not engage in any prohibited transactions with any persons affiliated with us, we have implemented certain policies and procedures whereby certain of our executive officers screen each of our transactions for any possible affiliations between the proposed portfolio investment, us, companies controlled by us, stockholders that own more than 5% of us and our employees and directors. We will not enter into any agreements unless and until we are satisfied that doing so will not raise concerns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1940 Act or, if such concerns exist, we have taken appropriate actions to seek review and approval by the Board or exemptive relief for such transaction. The Board will review these procedures on an annual basis.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co-invest with investment funds, accounts and vehicles managed by the Adviser, where doing so is consistent with our investment strategy as well as applicable law and SEC staff interpretations. On August 10, 2020, we, the Adviser, and certain other funds and accounts sponsored or managed by the Adviser and/or its affiliates were granted an order (the “Order”), as amended on August 30, 2022, that permits us greater flexibility than the 1940 Act permits to negotiate the terms of co-investments if our Board of Directors determines that it would be advantageous for us to co-invest with other accounts sponsored or managed by the Adviser 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the Adviser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in respect of us or our stockholders on the part of any person concerned and (2) the transaction is consistent with the interests of our stockholders and is consistent with our investment strategies and policies.</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Advisory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entered into the Advisory Agreement with the Adviser. Mr. Spreng, our President, Chief Executive Officer and Chairman of our Board of Directors who is currently out on medical leave, and also serves as a member of the Adviser’s investment committee, and Mr. Raterman, our Acting President, Chief Operating Officer, Chief Financial Officer and a member of the Adviser’s investment committee, each have a direct pecuniary interest in the Adviser and an indirect pecuniary interest in the Adviser through their ownership interest in Runway Growth Holdings LLC (“Runway Growth Holdings”). Mr. Share, our director, and a member of the Adviser’s investment committee, may be deemed to have an indirect pecuniary interest in the Adviser through his role at Oaktree Capital Management, L.P. (“Oaktree”), which has a direct pecuniary interest in the Adviser. Pursuant to the Advisory Agreement, we pay the Adviser a base management fee and an incentive fee for its services. Management fee expense was $16.7 million and incentive fee expense was $19.0 million for the year ended December 31, 2023.</w:t>
      </w:r>
    </w:p>
    <w:p>
      <w:pPr>
        <w:pStyle w:val="TextBody"/>
        <w:bidi w:val="0"/>
        <w:jc w:val="both"/>
        <w:rPr>
          <w:rFonts w:ascii="Times New Roman" w:hAnsi="Times New Roman"/>
          <w:color w:val="000000"/>
          <w:sz w:val="20"/>
        </w:rPr>
      </w:pPr>
      <w:r>
        <w:rPr>
          <w:rFonts w:ascii="Times New Roman" w:hAnsi="Times New Roman"/>
          <w:color w:val="000000"/>
          <w:sz w:val="20"/>
        </w:rPr>
        <w:t xml:space="preserve">The Adviser is responsible for sourcing, reviewing and structuring investment opportunities for us, underwriting and conducting diligence on our investments and monitoring our investment portfolio on an ongoing basis. The Adviser’s incentive fee is based on the value of our investments and, therefore, there may be a conflict of interest when personnel of the Adviser are involved in the valuation process for our portfolio investments. See “Risk Factors" in Part I, Item 1A of this Form 10-K for more information. </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Administration Agreement</w:t>
      </w:r>
    </w:p>
    <w:p>
      <w:pPr>
        <w:pStyle w:val="TextBody"/>
        <w:bidi w:val="0"/>
        <w:jc w:val="both"/>
        <w:rPr>
          <w:rFonts w:ascii="Times New Roman" w:hAnsi="Times New Roman"/>
          <w:color w:val="000000"/>
          <w:sz w:val="20"/>
        </w:rPr>
      </w:pPr>
      <w:r>
        <w:rPr>
          <w:rFonts w:ascii="Times New Roman" w:hAnsi="Times New Roman"/>
          <w:color w:val="000000"/>
          <w:sz w:val="20"/>
        </w:rPr>
        <w:t>We have entered into the Administration Agreement with the Administrator, a wholly-owned subsidiary of the Adviser, pursuant to which the Administrator is responsible for furnishing us with office facilities and equipment and will provide us with clerical, bookkeeping, recordkeeping and other administrative services at such facilities. Pursuant to the Administration Agreement, we pay the Administrator an amount equal to our allocable portion (subject to the review of the Board) of the Administrator’s overhead resulting from its obligations under the Administration Agreement, including rent and the allocable portion of the cost of our Chief Compliance Officer and Chief Financial Officer and their respective staffs associated with performing compliance functions. We reimbursed the Administrator $1.3 million and accrued a net payable of $0.4 million due to the Administrator for the year ended December 31, 2023, which includes amounts reimbursable to the Administrator for organizational and offering costs, professional fees and other expenses.</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License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entered into a license agreement with the Adviser (the “License Agreement”) pursuant to which the Adviser has granted us a personal, non-exclusive, royalty-free right and license to use the name “Runway Growth Finance”. Under the License Agreement, we have the right to use the “Runway Growth Finance” name for so long as the Adviser or one of its affiliates remains our Adviser. Other than with respect to this limited license, we have no legal right to the “Runway Growth Finance” name.</w:t>
      </w:r>
    </w:p>
    <w:p>
      <w:pPr>
        <w:pStyle w:val="TextBody"/>
        <w:bidi w:val="0"/>
        <w:jc w:val="both"/>
        <w:rPr>
          <w:rFonts w:ascii="Times New Roman" w:hAnsi="Times New Roman"/>
          <w:color w:val="000000"/>
          <w:sz w:val="20"/>
        </w:rPr>
      </w:pPr>
      <w:r>
        <w:rPr>
          <w:rFonts w:ascii="Times New Roman" w:hAnsi="Times New Roman"/>
          <w:color w:val="000000"/>
          <w:sz w:val="20"/>
        </w:rPr>
        <w:t>If any of the contractual obligations discussed above are terminated in the future, our costs under any new agreements that we enter into may increase. In addition, we would likely incur significant time and expense in locating alternative parties to provide the services we receive under the Advisory Agreement and the Administration Agreement. Any new investment advisory agreement would also be subject to approval by our stockholders.</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Strategic Relationship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December 2016, we and RGC entered into a strategic relationship with Oaktree Capital Management, L.P. ("Oaktree"). In connection with the strategic relationship, OCM Growth Holdings, LLC ("OCM Growth") purchased an aggregate of 14,571,334 shares of our common stock for an aggregate purchase price of $219.3 million in our Initial Private Offering (as defined in "Note 9 – Net Assets" in Part II, Item 8 of this form 10-K) and Second Private Offering (as defined in "Note 9 – Net Assets" in Part II, Item 8 of this form 10-K). Oaktree Opportunities Fund Xb Holdings (Delaware), L.P. ("Oaktree Opportunities") purchased 24,100 shares of our common stock in secondary transactions in 2020 and 2022. As of December 31, 2023, OCM Growth and Oaktree Opportunities Fund Xb Holdings (Delaware), L.P. (together with OCM Growth, the “OCM Holders”), each an affiliate of Oaktree, own 16,473,290 shares and 18,878 shares of our common stock, respectively, or 40.7% of the Company's outstanding shares. Pursuant to an irrevocable proxy, certain shares held by OCM Growth must be voted in the same proportion that our other stockholders vote their shares. Of the 16,492,168 shares of our common stock owned by the OCM Holders, 15,588,549 shares, or approximately 38.5% of the Company’s outstanding shares, are subject to this proxy voting arrangement. </w:t>
      </w:r>
    </w:p>
    <w:p>
      <w:pPr>
        <w:pStyle w:val="TextBody"/>
        <w:bidi w:val="0"/>
        <w:jc w:val="both"/>
        <w:rPr>
          <w:rFonts w:ascii="Times New Roman" w:hAnsi="Times New Roman"/>
          <w:color w:val="000000"/>
          <w:sz w:val="20"/>
        </w:rPr>
      </w:pPr>
      <w:r>
        <w:rPr>
          <w:rFonts w:ascii="Times New Roman" w:hAnsi="Times New Roman"/>
          <w:color w:val="000000"/>
          <w:sz w:val="20"/>
        </w:rPr>
        <w:t>In connection with OCM Growth’s commitment, we entered into a stockholder agreement, dated December 15, 2016, with OCM Growth, pursuant to which OCM Growth has a right to nominate a member of our Board of Directors for election for so long as OCM Growth holds shares of our common stock in an amount equal to, in the aggregate, at least one-third (33%) of OCM Growth’s initial $125.0 million capital commitment. Gregory M. Share, Managing Director of Oaktree's Global Opportunities Group in Los Angeles, serves on our Board of Directors as OCM Growth’s director nominee and is considered an interested director. OCM Growth also holds a minority interest in RGC and has the right to appoint a member of RGC’s board of managers and a member of RGC’s investment committee. Mr. Share is OCM Growth’s appointee to RGC’s board of managers and investment committee.</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accordance with the rules of Nasdaq, the Board annually determines the independence of each director. No director is considered independent unless the Board has determined that he or she has no material relationship with the Company. The Company monitors the status of its directors and officers through the activities of the Nominating and Corporate Governance Committee and through a questionnaire to be completed by each director no less frequently than annually, with updates periodically if information provided in the most recent questionnaire has changed.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order to evaluate the materiality of any such relationship, the Board uses the definition of director independence set forth in the Nasdaq listing rules. Section 5605 provides that a director of a BDC shall be considered to be independent if he or she is not an “interested person” of the Company, as defined in Section 2(a)(19) of the 1940 Act. Section 2(a)(19) of the 1940 Act defines an “interested person” to include, among other things, any person who has, or within the last two years had, a material business or professional relationship with the Company or the Adviser.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has determined that the following directors are independent: Mr. Engel, Mr. Kovacs and Ms. Persily (each an “Independent Director” and together, the “Independent Directors”). Based upon information requested from each such director concerning his or her background, employment and affiliations, the Board has affirmatively determined that none of the independent directors has a material business or professional relationship with the Company or its affiliates, other than in his or her capacity as a member of the Board or any committee thereof.</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Mr. Spreng and Mr. Share are considered “interested persons” (as defined in the 1940 Act) of the Company. Mr. Spreng is an “interested person” of the Company as defined in Section 2(a)(19) of the 1940 Act because he is the President and Chief Executive Officer of the Company and the Chief Executive Officer and Chief Investment Officer for the Adviser. Mr. Share is an “interested person” ​(as defined in the 1940 Act) of the Company because he is the nominee of OCM Growth, a majority shareholder of the Company, to the Board and because he serves on the board of managers and investment committee of the Adviser.</w:t>
      </w:r>
    </w:p>
    <w:p>
      <w:pPr>
        <w:pStyle w:val="TextBody"/>
        <w:bidi w:val="0"/>
        <w:spacing w:before="360" w:after="240"/>
        <w:jc w:val="left"/>
        <w:rPr>
          <w:rFonts w:ascii="Times New Roman" w:hAnsi="Times New Roman"/>
          <w:sz w:val="20"/>
        </w:rPr>
      </w:pPr>
      <w:bookmarkStart w:id="33" w:name="item14principal_accountant_fees"/>
      <w:bookmarkEnd w:id="33"/>
      <w:r>
        <w:rPr>
          <w:rFonts w:ascii="Times New Roman" w:hAnsi="Times New Roman"/>
          <w:b/>
          <w:color w:val="000000"/>
          <w:sz w:val="20"/>
        </w:rPr>
        <w:t>Item 14. Principal Accountant Fees and Services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aggregate fees by RSM US LLP were billed for work attributable to audit, tax and other services provided to the Company in each of the fiscal years ended December 31, 2023 and 2022:</w:t>
      </w:r>
    </w:p>
    <w:tbl>
      <w:tblPr>
        <w:tblW w:w="4358" w:type="dxa"/>
        <w:jc w:val="left"/>
        <w:tblInd w:w="0" w:type="dxa"/>
        <w:tblLayout w:type="fixed"/>
        <w:tblCellMar>
          <w:top w:w="28" w:type="dxa"/>
          <w:left w:w="28" w:type="dxa"/>
          <w:bottom w:w="28" w:type="dxa"/>
          <w:right w:w="28" w:type="dxa"/>
        </w:tblCellMar>
      </w:tblPr>
      <w:tblGrid>
        <w:gridCol w:w="1591"/>
        <w:gridCol w:w="214"/>
        <w:gridCol w:w="159"/>
        <w:gridCol w:w="756"/>
        <w:gridCol w:w="159"/>
        <w:gridCol w:w="159"/>
        <w:gridCol w:w="214"/>
        <w:gridCol w:w="159"/>
        <w:gridCol w:w="756"/>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vAlign w:val="center"/>
          </w:tcPr>
          <w:p>
            <w:pPr>
              <w:pStyle w:val="TableContents"/>
              <w:bidi w:val="0"/>
              <w:spacing w:before="0" w:after="283"/>
              <w:jc w:val="left"/>
              <w:rPr/>
            </w:pPr>
            <w:r>
              <w:rPr/>
              <w:t> </w:t>
            </w:r>
          </w:p>
        </w:tc>
        <w:tc>
          <w:tcPr>
            <w:tcW w:w="2576"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91" w:type="dxa"/>
            <w:tcBorders/>
            <w:shd w:fill="FFFFFF" w:val="clear"/>
            <w:vAlign w:val="center"/>
          </w:tcPr>
          <w:p>
            <w:pPr>
              <w:pStyle w:val="TableContents"/>
              <w:bidi w:val="0"/>
              <w:spacing w:before="0" w:after="283"/>
              <w:jc w:val="center"/>
              <w:rPr/>
            </w:pPr>
            <w:r>
              <w:rPr/>
              <w:t> </w:t>
            </w:r>
          </w:p>
        </w:tc>
      </w:tr>
      <w:tr>
        <w:trPr/>
        <w:tc>
          <w:tcPr>
            <w:tcW w:w="1591" w:type="dxa"/>
            <w:tcBorders/>
            <w:shd w:fill="FFFFFF" w:val="clear"/>
            <w:vAlign w:val="center"/>
          </w:tcPr>
          <w:p>
            <w:pPr>
              <w:pStyle w:val="TableContents"/>
              <w:bidi w:val="0"/>
              <w:spacing w:before="0" w:after="283"/>
              <w:jc w:val="both"/>
              <w:rPr/>
            </w:pPr>
            <w:r>
              <w:rPr/>
              <w:t> </w:t>
            </w:r>
          </w:p>
        </w:tc>
        <w:tc>
          <w:tcPr>
            <w:tcW w:w="11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vAlign w:val="center"/>
          </w:tcPr>
          <w:p>
            <w:pPr>
              <w:pStyle w:val="TableContents"/>
              <w:bidi w:val="0"/>
              <w:spacing w:before="0" w:after="283"/>
              <w:jc w:val="both"/>
              <w:rPr/>
            </w:pPr>
            <w:r>
              <w:rPr/>
              <w:t> </w:t>
            </w:r>
          </w:p>
        </w:tc>
        <w:tc>
          <w:tcPr>
            <w:tcW w:w="214" w:type="dxa"/>
            <w:tcBorders/>
            <w:shd w:fill="FFFFFF" w:val="clear"/>
            <w:vAlign w:val="center"/>
          </w:tcPr>
          <w:p>
            <w:pPr>
              <w:pStyle w:val="TableContents"/>
              <w:bidi w:val="0"/>
              <w:spacing w:before="0" w:after="283"/>
              <w:jc w:val="left"/>
              <w:rPr/>
            </w:pPr>
            <w:r>
              <w:rPr/>
              <w:t> </w:t>
            </w:r>
          </w:p>
        </w:tc>
        <w:tc>
          <w:tcPr>
            <w:tcW w:w="915" w:type="dxa"/>
            <w:gridSpan w:val="2"/>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center"/>
              <w:rPr/>
            </w:pPr>
            <w:r>
              <w:rPr/>
              <w:t> </w:t>
            </w:r>
          </w:p>
        </w:tc>
        <w:tc>
          <w:tcPr>
            <w:tcW w:w="91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591" w:type="dxa"/>
            <w:tcBorders/>
            <w:shd w:fill="CCEEFF" w:val="clear"/>
            <w:vAlign w:val="center"/>
          </w:tcPr>
          <w:p>
            <w:pPr>
              <w:pStyle w:val="TableContents"/>
              <w:bidi w:val="0"/>
              <w:spacing w:before="0" w:after="283"/>
              <w:jc w:val="both"/>
              <w:rPr>
                <w:rFonts w:ascii="Times New Roman" w:hAnsi="Times New Roman"/>
                <w:sz w:val="16"/>
              </w:rPr>
            </w:pPr>
            <w:r>
              <w:rPr>
                <w:rFonts w:ascii="Times New Roman" w:hAnsi="Times New Roman"/>
                <w:color w:val="000000"/>
                <w:sz w:val="16"/>
              </w:rPr>
              <w:t xml:space="preserve">Audit Fees </w:t>
            </w:r>
            <w:r>
              <w:rPr>
                <w:rFonts w:ascii="Times New Roman" w:hAnsi="Times New Roman"/>
                <w:color w:val="000000"/>
                <w:sz w:val="11"/>
              </w:rPr>
              <w:t>(1)</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756,532</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740,403</w:t>
            </w:r>
          </w:p>
        </w:tc>
        <w:tc>
          <w:tcPr>
            <w:tcW w:w="191" w:type="dxa"/>
            <w:tcBorders/>
            <w:shd w:fill="CFF0FC" w:val="cle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both"/>
              <w:rPr>
                <w:rFonts w:ascii="Times New Roman" w:hAnsi="Times New Roman"/>
                <w:sz w:val="16"/>
              </w:rPr>
            </w:pPr>
            <w:r>
              <w:rPr>
                <w:rFonts w:ascii="Times New Roman" w:hAnsi="Times New Roman"/>
                <w:color w:val="000000"/>
                <w:sz w:val="16"/>
              </w:rPr>
              <w:t xml:space="preserve">Audit-Related Fees </w:t>
            </w:r>
            <w:r>
              <w:rPr>
                <w:rFonts w:ascii="Times New Roman" w:hAnsi="Times New Roman"/>
                <w:color w:val="000000"/>
                <w:sz w:val="11"/>
              </w:rPr>
              <w:t>(2)</w:t>
            </w:r>
          </w:p>
        </w:tc>
        <w:tc>
          <w:tcPr>
            <w:tcW w:w="214"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591" w:type="dxa"/>
            <w:tcBorders/>
            <w:shd w:fill="CCEEFF" w:val="clear"/>
            <w:vAlign w:val="center"/>
          </w:tcPr>
          <w:p>
            <w:pPr>
              <w:pStyle w:val="TableContents"/>
              <w:bidi w:val="0"/>
              <w:spacing w:before="0" w:after="283"/>
              <w:jc w:val="both"/>
              <w:rPr>
                <w:rFonts w:ascii="Times New Roman" w:hAnsi="Times New Roman"/>
                <w:sz w:val="16"/>
              </w:rPr>
            </w:pPr>
            <w:r>
              <w:rPr>
                <w:rFonts w:ascii="Times New Roman" w:hAnsi="Times New Roman"/>
                <w:color w:val="000000"/>
                <w:sz w:val="16"/>
              </w:rPr>
              <w:t xml:space="preserve">Tax Fees </w:t>
            </w:r>
            <w:r>
              <w:rPr>
                <w:rFonts w:ascii="Times New Roman" w:hAnsi="Times New Roman"/>
                <w:color w:val="000000"/>
                <w:sz w:val="11"/>
              </w:rPr>
              <w:t>(3)</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22,400</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22,400</w:t>
            </w:r>
          </w:p>
        </w:tc>
        <w:tc>
          <w:tcPr>
            <w:tcW w:w="191" w:type="dxa"/>
            <w:tcBorders/>
            <w:shd w:fill="CFF0FC" w:val="cle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both"/>
              <w:rPr>
                <w:rFonts w:ascii="Times New Roman" w:hAnsi="Times New Roman"/>
                <w:sz w:val="16"/>
              </w:rPr>
            </w:pPr>
            <w:r>
              <w:rPr>
                <w:rFonts w:ascii="Times New Roman" w:hAnsi="Times New Roman"/>
                <w:color w:val="000000"/>
                <w:sz w:val="16"/>
              </w:rPr>
              <w:t xml:space="preserve">All Other Fees </w:t>
            </w:r>
            <w:r>
              <w:rPr>
                <w:rFonts w:ascii="Times New Roman" w:hAnsi="Times New Roman"/>
                <w:color w:val="000000"/>
                <w:sz w:val="11"/>
              </w:rPr>
              <w:t>(4)</w:t>
            </w:r>
          </w:p>
        </w:tc>
        <w:tc>
          <w:tcPr>
            <w:tcW w:w="214" w:type="dxa"/>
            <w:tcBorders/>
            <w:shd w:fill="FFFFFF" w:val="cle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CCEEFF" w:val="cle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Total Fees:</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778,932</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762,803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Audit fees include fees for services that normally would be provided by the accountant in connection with statutory and regulatory filings or engagements and that generally only the independent accountant can provide. In addition to fees for the audit of our annual financial statements and the review of our quarterly financial statements in accordance with generally accepted auditing standards, this category contains fees for comfort letters, consents, and review of documents filed with the SEC. Of the Audit Fees billed for fiscal years ended December 31, 2023 and 2022, $139,531 and $159,539, respectively, were related to the comfort letters, consents, and review of documents filed with the SEC.</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Audit related fees are assurance-related services that traditionally are performed by the independent accountant, such as attest services that are not required by statute or regulation.</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Tax fees include professional fees for tax compliance and tax advice.</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All other fees would include fees for products and services other than the services reported above.</w:t>
      </w:r>
    </w:p>
    <w:p>
      <w:pPr>
        <w:pStyle w:val="TextBody"/>
        <w:bidi w:val="0"/>
        <w:spacing w:before="360" w:after="240"/>
        <w:jc w:val="left"/>
        <w:rPr/>
      </w:pPr>
      <w:r>
        <w:rPr>
          <w:color w:val="000000"/>
        </w:rPr>
        <w:t>​</w:t>
      </w:r>
      <w:r>
        <w:rPr>
          <w:rFonts w:ascii="Times New Roman" w:hAnsi="Times New Roman"/>
          <w:b/>
          <w:color w:val="000000"/>
          <w:sz w:val="20"/>
        </w:rPr>
        <w:t>Pre-Approval Policy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Audit Committee has established a pre-approval policy that describes the permitted audit, audit-related, tax and other services to be provided by RSM US LLP, the Company’s independent registered public accounting firm. The policy requires that the Audit Committee pre-approve all audit and non-audit services performed by the independent auditor in order to assure that the provision of such service does not impair the auditor’s independence. In accordance with the pre-approval policy, the Audit Committee includes every year a discussion and pre-approval of such services and the expected costs of such services for the year.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requests for audit, audit-related, tax and other services that have not received general pre-approval at the first Audit Committee meeting of the year must be submitted to the Audit Committee for specific pre-approval, irrespective of the amount,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management.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left"/>
        <w:rPr>
          <w:rFonts w:ascii="Times New Roman" w:hAnsi="Times New Roman"/>
          <w:b/>
          <w:color w:val="000000"/>
          <w:sz w:val="20"/>
        </w:rPr>
      </w:pPr>
      <w:bookmarkStart w:id="34" w:name="item15exhibitsandfinancialstatementsched"/>
      <w:bookmarkEnd w:id="34"/>
      <w:r>
        <w:rPr>
          <w:rFonts w:ascii="Times New Roman" w:hAnsi="Times New Roman"/>
          <w:b/>
          <w:color w:val="000000"/>
          <w:sz w:val="20"/>
        </w:rPr>
        <w:t>Item 15. Exhibits and Financial Statement Schedules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documents are filed or incorporated by reference as part of this annual report on Form 10</w:t>
        <w:noBreakHyphen/>
        <w:t>K:</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(a) Consolidated Financial Statements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Consolidated Financial Statements — Refer to Part II, Item 8 of this Form 10</w:t>
        <w:noBreakHyphen/>
        <w:t>K, which are filed herewith::</w:t>
      </w:r>
    </w:p>
    <w:tbl>
      <w:tblPr>
        <w:tblW w:w="10205" w:type="dxa"/>
        <w:jc w:val="left"/>
        <w:tblInd w:w="0" w:type="dxa"/>
        <w:tblLayout w:type="fixed"/>
        <w:tblCellMar>
          <w:top w:w="28" w:type="dxa"/>
          <w:left w:w="28" w:type="dxa"/>
          <w:bottom w:w="28" w:type="dxa"/>
          <w:right w:w="28" w:type="dxa"/>
        </w:tblCellMar>
      </w:tblPr>
      <w:tblGrid>
        <w:gridCol w:w="161"/>
        <w:gridCol w:w="346"/>
        <w:gridCol w:w="8689"/>
        <w:gridCol w:w="146"/>
        <w:gridCol w:w="146"/>
        <w:gridCol w:w="5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86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c>
          <w:tcPr>
            <w:tcW w:w="191" w:type="dxa"/>
            <w:tcBorders/>
            <w:vAlign w:val="center"/>
          </w:tcPr>
          <w:p>
            <w:pPr>
              <w:pStyle w:val="TableContents"/>
              <w:bidi w:val="0"/>
              <w:spacing w:before="0" w:after="283"/>
              <w:jc w:val="left"/>
              <w:rPr/>
            </w:pPr>
            <w:r>
              <w:rPr/>
              <w:t> </w:t>
            </w:r>
          </w:p>
        </w:tc>
      </w:tr>
      <w:tr>
        <w:trPr/>
        <w:tc>
          <w:tcPr>
            <w:tcW w:w="16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868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report_of_independent_registered_public">
              <w:r>
                <w:rPr>
                  <w:rStyle w:val="InternetLink"/>
                  <w:rFonts w:ascii="Times New Roman" w:hAnsi="Times New Roman"/>
                  <w:color w:val="0000FF"/>
                  <w:sz w:val="20"/>
                  <w:u w:val="single"/>
                </w:rPr>
                <w:t>Report of Independent Registered Public Accounting Firm</w:t>
              </w:r>
            </w:hyperlink>
            <w:hyperlink w:anchor="report_of_independent_registered_public">
              <w:r>
                <w:rPr>
                  <w:rStyle w:val="InternetLink"/>
                  <w:rFonts w:ascii="Times New Roman" w:hAnsi="Times New Roman"/>
                  <w:color w:val="0000FF"/>
                  <w:sz w:val="20"/>
                </w:rPr>
                <w:t xml:space="preserve"> </w:t>
              </w:r>
            </w:hyperlink>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2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w:t>
            </w:r>
          </w:p>
        </w:tc>
        <w:tc>
          <w:tcPr>
            <w:tcW w:w="19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8689" w:type="dxa"/>
            <w:tcBorders/>
            <w:tcMar>
              <w:top w:w="0" w:type="dxa"/>
              <w:left w:w="0" w:type="dxa"/>
              <w:bottom w:w="0" w:type="dxa"/>
              <w:right w:w="0" w:type="dxa"/>
            </w:tcMar>
            <w:vAlign w:val="center"/>
          </w:tcPr>
          <w:p>
            <w:pPr>
              <w:pStyle w:val="TableContents"/>
              <w:bidi w:val="0"/>
              <w:spacing w:before="0" w:after="283"/>
              <w:jc w:val="left"/>
              <w:rPr/>
            </w:pPr>
            <w:hyperlink w:anchor="statementsofassetsandliabilities_984676">
              <w:r>
                <w:rPr>
                  <w:rStyle w:val="InternetLink"/>
                  <w:rFonts w:ascii="Times New Roman" w:hAnsi="Times New Roman"/>
                  <w:color w:val="0000FF"/>
                  <w:sz w:val="20"/>
                  <w:u w:val="single"/>
                </w:rPr>
                <w:t>Consolidated Statements of Assets and Liabilities as of December 31, 2023 and 2022</w:t>
              </w:r>
            </w:hyperlink>
            <w:hyperlink w:anchor="statementsofassetsandliabilities_984676">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w:t>
            </w:r>
          </w:p>
        </w:tc>
        <w:tc>
          <w:tcPr>
            <w:tcW w:w="191" w:type="dxa"/>
            <w:tcBorders/>
            <w:vAlign w:val="center"/>
          </w:tcPr>
          <w:p>
            <w:pPr>
              <w:pStyle w:val="TableContents"/>
              <w:bidi w:val="0"/>
              <w:spacing w:before="0" w:after="283"/>
              <w:jc w:val="left"/>
              <w:rPr/>
            </w:pPr>
            <w:r>
              <w:rPr/>
              <w:t> </w:t>
            </w:r>
          </w:p>
        </w:tc>
      </w:tr>
      <w:tr>
        <w:trPr/>
        <w:tc>
          <w:tcPr>
            <w:tcW w:w="16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868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sofassetsandliabilities_984676">
              <w:r>
                <w:rPr>
                  <w:rStyle w:val="InternetLink"/>
                  <w:rFonts w:ascii="Times New Roman" w:hAnsi="Times New Roman"/>
                  <w:color w:val="0000FF"/>
                  <w:sz w:val="20"/>
                  <w:u w:val="single"/>
                </w:rPr>
                <w:t>Consolidated</w:t>
              </w:r>
            </w:hyperlink>
            <w:hyperlink w:anchor="statementsofassetsandliabilities_984676">
              <w:r>
                <w:rPr>
                  <w:rStyle w:val="InternetLink"/>
                  <w:rFonts w:ascii="Times New Roman" w:hAnsi="Times New Roman"/>
                  <w:color w:val="0000FF"/>
                  <w:sz w:val="20"/>
                </w:rPr>
                <w:t xml:space="preserve"> </w:t>
              </w:r>
            </w:hyperlink>
            <w:hyperlink w:anchor="statementsofoperations_538321">
              <w:r>
                <w:rPr>
                  <w:rStyle w:val="InternetLink"/>
                  <w:rFonts w:ascii="Times New Roman" w:hAnsi="Times New Roman"/>
                  <w:color w:val="0000FF"/>
                  <w:sz w:val="20"/>
                  <w:u w:val="single"/>
                </w:rPr>
                <w:t>Statements of Operations for the years ended December 31, 2023, 2022 and 2021</w:t>
              </w:r>
            </w:hyperlink>
            <w:hyperlink w:anchor="statementsofoperations_538321">
              <w:r>
                <w:rPr>
                  <w:rStyle w:val="InternetLink"/>
                  <w:rFonts w:ascii="Times New Roman" w:hAnsi="Times New Roman"/>
                  <w:color w:val="0000FF"/>
                  <w:sz w:val="20"/>
                </w:rPr>
                <w:t xml:space="preserve"> </w:t>
              </w:r>
            </w:hyperlink>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w:t>
            </w:r>
          </w:p>
        </w:tc>
        <w:tc>
          <w:tcPr>
            <w:tcW w:w="191" w:type="dxa"/>
            <w:tcBorders/>
            <w:shd w:fill="CCEEFF" w:val="clear"/>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ind w:left="0" w:right="0" w:firstLine="200"/>
              <w:jc w:val="left"/>
              <w:rPr/>
            </w:pPr>
            <w:r>
              <w:rPr/>
              <w:t> </w:t>
            </w:r>
          </w:p>
        </w:tc>
        <w:tc>
          <w:tcPr>
            <w:tcW w:w="8689" w:type="dxa"/>
            <w:tcBorders/>
            <w:tcMar>
              <w:top w:w="0" w:type="dxa"/>
              <w:left w:w="0" w:type="dxa"/>
              <w:bottom w:w="0" w:type="dxa"/>
              <w:right w:w="0" w:type="dxa"/>
            </w:tcMar>
            <w:vAlign w:val="center"/>
          </w:tcPr>
          <w:p>
            <w:pPr>
              <w:pStyle w:val="TableContents"/>
              <w:pBdr/>
              <w:bidi w:val="0"/>
              <w:spacing w:before="0" w:after="283"/>
              <w:ind w:left="0" w:right="0" w:hanging="200"/>
              <w:jc w:val="left"/>
              <w:rPr/>
            </w:pPr>
            <w:hyperlink w:anchor="statementsofassetsandliabilities_984676">
              <w:r>
                <w:rPr>
                  <w:rStyle w:val="InternetLink"/>
                  <w:rFonts w:ascii="Times New Roman" w:hAnsi="Times New Roman"/>
                  <w:color w:val="0000FF"/>
                  <w:sz w:val="20"/>
                  <w:u w:val="single"/>
                </w:rPr>
                <w:t>Consolidated</w:t>
              </w:r>
            </w:hyperlink>
            <w:hyperlink w:anchor="statementsofassetsandliabilities_984676">
              <w:r>
                <w:rPr>
                  <w:rStyle w:val="InternetLink"/>
                  <w:rFonts w:ascii="Times New Roman" w:hAnsi="Times New Roman"/>
                  <w:color w:val="0000FF"/>
                  <w:sz w:val="20"/>
                </w:rPr>
                <w:t xml:space="preserve"> </w:t>
              </w:r>
            </w:hyperlink>
            <w:hyperlink w:anchor="statementsofchangesinnetassets_610557">
              <w:r>
                <w:rPr>
                  <w:rStyle w:val="InternetLink"/>
                  <w:rFonts w:ascii="Times New Roman" w:hAnsi="Times New Roman"/>
                  <w:color w:val="0000FF"/>
                  <w:sz w:val="20"/>
                  <w:u w:val="single"/>
                </w:rPr>
                <w:t>Statements of Changes in Net Assets for the years ended December 31, 2023, 2022 and 2021</w:t>
              </w:r>
            </w:hyperlink>
            <w:hyperlink w:anchor="statementsofchangesinnetassets_610557">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w:t>
            </w:r>
          </w:p>
        </w:tc>
        <w:tc>
          <w:tcPr>
            <w:tcW w:w="191" w:type="dxa"/>
            <w:tcBorders/>
            <w:vAlign w:val="center"/>
          </w:tcPr>
          <w:p>
            <w:pPr>
              <w:pStyle w:val="TableContents"/>
              <w:bidi w:val="0"/>
              <w:spacing w:before="0" w:after="283"/>
              <w:jc w:val="left"/>
              <w:rPr/>
            </w:pPr>
            <w:r>
              <w:rPr/>
              <w:t> </w:t>
            </w:r>
          </w:p>
        </w:tc>
      </w:tr>
      <w:tr>
        <w:trPr/>
        <w:tc>
          <w:tcPr>
            <w:tcW w:w="16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868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sofassetsandliabilities_984676">
              <w:r>
                <w:rPr>
                  <w:rStyle w:val="InternetLink"/>
                  <w:rFonts w:ascii="Times New Roman" w:hAnsi="Times New Roman"/>
                  <w:color w:val="0000FF"/>
                  <w:sz w:val="20"/>
                  <w:u w:val="single"/>
                </w:rPr>
                <w:t>Consolidated</w:t>
              </w:r>
            </w:hyperlink>
            <w:hyperlink w:anchor="statementsofassetsandliabilities_984676">
              <w:r>
                <w:rPr>
                  <w:rStyle w:val="InternetLink"/>
                  <w:rFonts w:ascii="Times New Roman" w:hAnsi="Times New Roman"/>
                  <w:color w:val="0000FF"/>
                  <w:sz w:val="20"/>
                </w:rPr>
                <w:t xml:space="preserve"> </w:t>
              </w:r>
            </w:hyperlink>
            <w:hyperlink w:anchor="statementsofcashflows_699252">
              <w:r>
                <w:rPr>
                  <w:rStyle w:val="InternetLink"/>
                  <w:rFonts w:ascii="Times New Roman" w:hAnsi="Times New Roman"/>
                  <w:color w:val="0000FF"/>
                  <w:sz w:val="20"/>
                  <w:u w:val="single"/>
                </w:rPr>
                <w:t>Statements of Cash Flows for the years ended December 31, 2023, 2022 and 2021</w:t>
              </w:r>
            </w:hyperlink>
            <w:hyperlink w:anchor="statementsofcashflows_699252">
              <w:r>
                <w:rPr>
                  <w:rStyle w:val="InternetLink"/>
                  <w:rFonts w:ascii="Times New Roman" w:hAnsi="Times New Roman"/>
                  <w:color w:val="0000FF"/>
                  <w:sz w:val="20"/>
                </w:rPr>
                <w:t xml:space="preserve"> </w:t>
              </w:r>
            </w:hyperlink>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191" w:type="dxa"/>
            <w:tcBorders/>
            <w:shd w:fill="CCEEFF" w:val="clear"/>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8689" w:type="dxa"/>
            <w:tcBorders/>
            <w:tcMar>
              <w:top w:w="0" w:type="dxa"/>
              <w:left w:w="0" w:type="dxa"/>
              <w:bottom w:w="0" w:type="dxa"/>
              <w:right w:w="0" w:type="dxa"/>
            </w:tcMar>
            <w:vAlign w:val="center"/>
          </w:tcPr>
          <w:p>
            <w:pPr>
              <w:pStyle w:val="TableContents"/>
              <w:bidi w:val="0"/>
              <w:spacing w:before="0" w:after="283"/>
              <w:jc w:val="left"/>
              <w:rPr/>
            </w:pPr>
            <w:hyperlink w:anchor="statementsofassetsandliabilities_984676">
              <w:r>
                <w:rPr>
                  <w:rStyle w:val="InternetLink"/>
                  <w:rFonts w:ascii="Times New Roman" w:hAnsi="Times New Roman"/>
                  <w:color w:val="0000FF"/>
                  <w:sz w:val="20"/>
                  <w:u w:val="single"/>
                </w:rPr>
                <w:t>Consolidated</w:t>
              </w:r>
            </w:hyperlink>
            <w:hyperlink w:anchor="statementsofassetsandliabilities_984676">
              <w:r>
                <w:rPr>
                  <w:rStyle w:val="InternetLink"/>
                  <w:rFonts w:ascii="Times New Roman" w:hAnsi="Times New Roman"/>
                  <w:color w:val="0000FF"/>
                  <w:sz w:val="20"/>
                </w:rPr>
                <w:t xml:space="preserve"> </w:t>
              </w:r>
            </w:hyperlink>
            <w:hyperlink w:anchor="schedulesofinvestmentsasofdecember312019">
              <w:r>
                <w:rPr>
                  <w:rStyle w:val="InternetLink"/>
                  <w:rFonts w:ascii="Times New Roman" w:hAnsi="Times New Roman"/>
                  <w:color w:val="0000FF"/>
                  <w:sz w:val="20"/>
                  <w:u w:val="single"/>
                </w:rPr>
                <w:t>Schedules of Investments as of December 31, 2023 and 2022</w:t>
              </w:r>
            </w:hyperlink>
            <w:hyperlink w:anchor="schedulesofinvestmentsasofdecember312019">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w:t>
            </w:r>
          </w:p>
        </w:tc>
        <w:tc>
          <w:tcPr>
            <w:tcW w:w="191" w:type="dxa"/>
            <w:tcBorders/>
            <w:vAlign w:val="center"/>
          </w:tcPr>
          <w:p>
            <w:pPr>
              <w:pStyle w:val="TableContents"/>
              <w:bidi w:val="0"/>
              <w:spacing w:before="0" w:after="283"/>
              <w:jc w:val="left"/>
              <w:rPr/>
            </w:pPr>
            <w:r>
              <w:rPr/>
              <w:t> </w:t>
            </w:r>
          </w:p>
        </w:tc>
      </w:tr>
      <w:tr>
        <w:trPr/>
        <w:tc>
          <w:tcPr>
            <w:tcW w:w="16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868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notestofinancialstatementsasofdecember31">
              <w:r>
                <w:rPr>
                  <w:rStyle w:val="InternetLink"/>
                  <w:rFonts w:ascii="Times New Roman" w:hAnsi="Times New Roman"/>
                  <w:color w:val="0000FF"/>
                  <w:sz w:val="20"/>
                  <w:u w:val="single"/>
                </w:rPr>
                <w:t>Notes to Consolidated Financial Statements</w:t>
              </w:r>
            </w:hyperlink>
            <w:hyperlink w:anchor="notestofinancialstatementsasofdecember31">
              <w:r>
                <w:rPr>
                  <w:rStyle w:val="InternetLink"/>
                  <w:rFonts w:ascii="Times New Roman" w:hAnsi="Times New Roman"/>
                  <w:color w:val="0000FF"/>
                  <w:sz w:val="20"/>
                </w:rPr>
                <w:t xml:space="preserve"> </w:t>
              </w:r>
            </w:hyperlink>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w:t>
            </w:r>
          </w:p>
        </w:tc>
        <w:tc>
          <w:tcPr>
            <w:tcW w:w="191" w:type="dxa"/>
            <w:tcBorders/>
            <w:shd w:fill="CCEE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143</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Exhibits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exhibits are filed as part of this report or hereby incorporated by reference to exhibits previously filed with the SEC:</w:t>
      </w:r>
    </w:p>
    <w:tbl>
      <w:tblPr>
        <w:tblW w:w="10205" w:type="dxa"/>
        <w:jc w:val="left"/>
        <w:tblInd w:w="0" w:type="dxa"/>
        <w:tblLayout w:type="fixed"/>
        <w:tblCellMar>
          <w:top w:w="28" w:type="dxa"/>
          <w:left w:w="28" w:type="dxa"/>
          <w:bottom w:w="28" w:type="dxa"/>
          <w:right w:w="28" w:type="dxa"/>
        </w:tblCellMar>
      </w:tblPr>
      <w:tblGrid>
        <w:gridCol w:w="836"/>
        <w:gridCol w:w="146"/>
        <w:gridCol w:w="9223"/>
      </w:tblGrid>
      <w:tr>
        <w:trPr/>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23" w:type="dxa"/>
            <w:tcBorders/>
            <w:vAlign w:val="center"/>
          </w:tcPr>
          <w:p>
            <w:pPr>
              <w:pStyle w:val="TableContents"/>
              <w:bidi w:val="0"/>
              <w:spacing w:before="0" w:after="283"/>
              <w:jc w:val="left"/>
              <w:rPr>
                <w:sz w:val="4"/>
                <w:szCs w:val="4"/>
              </w:rPr>
            </w:pPr>
            <w:r>
              <w:rPr>
                <w:sz w:val="4"/>
                <w:szCs w:val="4"/>
              </w:rPr>
            </w:r>
          </w:p>
        </w:tc>
      </w:tr>
      <w:tr>
        <w:trPr/>
        <w:tc>
          <w:tcPr>
            <w:tcW w:w="8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Exhibit No.</w:t>
            </w:r>
          </w:p>
        </w:tc>
        <w:tc>
          <w:tcPr>
            <w:tcW w:w="146" w:type="dxa"/>
            <w:tcBorders/>
            <w:vAlign w:val="center"/>
          </w:tcPr>
          <w:p>
            <w:pPr>
              <w:pStyle w:val="TableContents"/>
              <w:bidi w:val="0"/>
              <w:spacing w:before="0" w:after="283"/>
              <w:jc w:val="left"/>
              <w:rPr>
                <w:sz w:val="4"/>
                <w:szCs w:val="4"/>
              </w:rPr>
            </w:pPr>
            <w:r>
              <w:rPr>
                <w:sz w:val="4"/>
                <w:szCs w:val="4"/>
              </w:rPr>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b/>
                <w:color w:val="000000"/>
                <w:sz w:val="16"/>
              </w:rPr>
            </w:pPr>
            <w:r>
              <w:rPr>
                <w:rFonts w:ascii="Times New Roman" w:hAnsi="Times New Roman"/>
                <w:b/>
                <w:color w:val="000000"/>
                <w:sz w:val="16"/>
              </w:rPr>
              <w:t>Description</w:t>
            </w:r>
          </w:p>
        </w:tc>
      </w:tr>
      <w:tr>
        <w:trPr/>
        <w:tc>
          <w:tcPr>
            <w:tcW w:w="836" w:type="dxa"/>
            <w:tcBorders>
              <w:top w:val="single" w:sz="4" w:space="0" w:color="000000"/>
            </w:tcBorders>
            <w:tcMar>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3.1</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9223" w:type="dxa"/>
            <w:tcBorders>
              <w:top w:val="single" w:sz="4" w:space="0" w:color="000000"/>
            </w:tcBorders>
            <w:tcMar>
              <w:left w:w="0" w:type="dxa"/>
              <w:bottom w:w="0" w:type="dxa"/>
              <w:right w:w="0" w:type="dxa"/>
            </w:tcMar>
            <w:vAlign w:val="center"/>
          </w:tcPr>
          <w:p>
            <w:pPr>
              <w:pStyle w:val="TableContents"/>
              <w:bidi w:val="0"/>
              <w:spacing w:before="0" w:after="283"/>
              <w:ind w:left="0" w:right="0" w:firstLine="216"/>
              <w:jc w:val="left"/>
              <w:rPr/>
            </w:pPr>
            <w:hyperlink r:id="rId3">
              <w:r>
                <w:rPr>
                  <w:rStyle w:val="InternetLink"/>
                  <w:rFonts w:ascii="Times New Roman" w:hAnsi="Times New Roman"/>
                  <w:color w:val="0000FF"/>
                  <w:sz w:val="20"/>
                  <w:u w:val="single"/>
                </w:rPr>
                <w:t>Articles of Amendment and Restatement</w:t>
              </w:r>
            </w:hyperlink>
            <w:hyperlink r:id="rId4">
              <w:r>
                <w:rPr>
                  <w:rStyle w:val="InternetLink"/>
                  <w:rFonts w:ascii="Times New Roman" w:hAnsi="Times New Roman"/>
                  <w:color w:val="0000FF"/>
                  <w:sz w:val="13"/>
                  <w:u w:val="single"/>
                </w:rPr>
                <w:t>(1)</w:t>
              </w:r>
            </w:hyperlink>
            <w:hyperlink r:id="rId5">
              <w:r>
                <w:rPr>
                  <w:rStyle w:val="InternetLink"/>
                  <w:rFonts w:ascii="Times New Roman" w:hAnsi="Times New Roman"/>
                  <w:color w:val="0000FF"/>
                  <w:sz w:val="20"/>
                </w:rPr>
                <w:t xml:space="preserve"> </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6">
              <w:r>
                <w:rPr>
                  <w:rStyle w:val="InternetLink"/>
                  <w:rFonts w:ascii="Times New Roman" w:hAnsi="Times New Roman"/>
                  <w:color w:val="0000FF"/>
                  <w:sz w:val="20"/>
                  <w:u w:val="single"/>
                </w:rPr>
                <w:t>Articles of Amendment</w:t>
              </w:r>
            </w:hyperlink>
            <w:hyperlink r:id="rId7">
              <w:r>
                <w:rPr>
                  <w:rStyle w:val="InternetLink"/>
                  <w:rFonts w:ascii="Times New Roman" w:hAnsi="Times New Roman"/>
                  <w:color w:val="0000FF"/>
                  <w:sz w:val="13"/>
                  <w:u w:val="single"/>
                </w:rPr>
                <w:t>(13)</w:t>
              </w:r>
            </w:hyperlink>
            <w:hyperlink r:id="rId8">
              <w:r>
                <w:rPr>
                  <w:rStyle w:val="InternetLink"/>
                  <w:rFonts w:ascii="Times New Roman" w:hAnsi="Times New Roman"/>
                  <w:color w:val="0000FF"/>
                  <w:sz w:val="20"/>
                </w:rPr>
                <w:t xml:space="preserve"> </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3.3</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9">
              <w:r>
                <w:rPr>
                  <w:rStyle w:val="InternetLink"/>
                  <w:rFonts w:ascii="Times New Roman" w:hAnsi="Times New Roman"/>
                  <w:color w:val="0000FF"/>
                  <w:sz w:val="20"/>
                  <w:u w:val="single"/>
                </w:rPr>
                <w:t>Second Amended and Restated Bylaws</w:t>
              </w:r>
            </w:hyperlink>
            <w:hyperlink r:id="rId10">
              <w:r>
                <w:rPr>
                  <w:rStyle w:val="InternetLink"/>
                  <w:rFonts w:ascii="Times New Roman" w:hAnsi="Times New Roman"/>
                  <w:color w:val="0000FF"/>
                  <w:sz w:val="13"/>
                  <w:u w:val="single"/>
                </w:rPr>
                <w:t>(13)</w:t>
              </w:r>
            </w:hyperlink>
            <w:hyperlink r:id="rId11">
              <w:r>
                <w:rPr>
                  <w:rStyle w:val="InternetLink"/>
                  <w:rFonts w:ascii="Times New Roman" w:hAnsi="Times New Roman"/>
                  <w:color w:val="0000FF"/>
                  <w:sz w:val="20"/>
                </w:rPr>
                <w:t xml:space="preserve"> </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12">
              <w:r>
                <w:rPr>
                  <w:rStyle w:val="InternetLink"/>
                  <w:rFonts w:ascii="Times New Roman" w:hAnsi="Times New Roman"/>
                  <w:color w:val="0000FF"/>
                  <w:sz w:val="20"/>
                  <w:u w:val="single"/>
                </w:rPr>
                <w:t>Description of Securities</w:t>
              </w:r>
            </w:hyperlink>
            <w:hyperlink r:id="rId13">
              <w:r>
                <w:rPr>
                  <w:rStyle w:val="InternetLink"/>
                  <w:rFonts w:ascii="Times New Roman" w:hAnsi="Times New Roman"/>
                  <w:color w:val="0000FF"/>
                  <w:sz w:val="13"/>
                  <w:u w:val="single"/>
                </w:rPr>
                <w:t>(9)</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14">
              <w:r>
                <w:rPr>
                  <w:rStyle w:val="InternetLink"/>
                  <w:rFonts w:ascii="Times New Roman" w:hAnsi="Times New Roman"/>
                  <w:color w:val="0000FF"/>
                  <w:sz w:val="20"/>
                  <w:u w:val="single"/>
                </w:rPr>
                <w:t>Indenture, dated July 28, 2022, by and between Runway Growth Finance Corp. and U.S. Bank Trust Company, National Association, as trustee</w:t>
              </w:r>
            </w:hyperlink>
            <w:hyperlink r:id="rId15">
              <w:r>
                <w:rPr>
                  <w:rStyle w:val="InternetLink"/>
                  <w:rFonts w:ascii="Times New Roman" w:hAnsi="Times New Roman"/>
                  <w:color w:val="0000FF"/>
                  <w:sz w:val="13"/>
                  <w:u w:val="single"/>
                </w:rPr>
                <w:t>(20)</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4.3</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16">
              <w:r>
                <w:rPr>
                  <w:rStyle w:val="InternetLink"/>
                  <w:rFonts w:ascii="Times New Roman" w:hAnsi="Times New Roman"/>
                  <w:color w:val="0000FF"/>
                  <w:sz w:val="20"/>
                  <w:u w:val="single"/>
                </w:rPr>
                <w:t>First Supplemental Indenture, dated July 28, 2022, by and between Runway Growth Finance Corp. and U.S. Bank Trust Company, National Association, as trustee</w:t>
              </w:r>
            </w:hyperlink>
            <w:hyperlink r:id="rId17">
              <w:r>
                <w:rPr>
                  <w:rStyle w:val="InternetLink"/>
                  <w:rFonts w:ascii="Times New Roman" w:hAnsi="Times New Roman"/>
                  <w:color w:val="0000FF"/>
                  <w:sz w:val="13"/>
                  <w:u w:val="single"/>
                </w:rPr>
                <w:t>(20)</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4.4</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18">
              <w:r>
                <w:rPr>
                  <w:rStyle w:val="InternetLink"/>
                  <w:rFonts w:ascii="Times New Roman" w:hAnsi="Times New Roman"/>
                  <w:color w:val="0000FF"/>
                  <w:sz w:val="20"/>
                  <w:u w:val="single"/>
                </w:rPr>
                <w:t>Form of Global Note 7.50% Note Due 2027 (included as part of Exhibit 4.4)</w:t>
              </w:r>
            </w:hyperlink>
            <w:hyperlink r:id="rId19">
              <w:r>
                <w:rPr>
                  <w:rStyle w:val="InternetLink"/>
                  <w:rFonts w:ascii="Times New Roman" w:hAnsi="Times New Roman"/>
                  <w:color w:val="0000FF"/>
                  <w:sz w:val="13"/>
                  <w:u w:val="single"/>
                </w:rPr>
                <w:t>(20)</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4.5</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20">
              <w:r>
                <w:rPr>
                  <w:rStyle w:val="InternetLink"/>
                  <w:rFonts w:ascii="Times New Roman" w:hAnsi="Times New Roman"/>
                  <w:color w:val="0000FF"/>
                  <w:sz w:val="20"/>
                  <w:u w:val="single"/>
                </w:rPr>
                <w:t>Second Supplemental Indenture, dated December 7, 2022, by and between Runway Growth Finance Corp. and U.S. Bank Trust Company, National Association, as trustee</w:t>
              </w:r>
            </w:hyperlink>
            <w:hyperlink r:id="rId21">
              <w:r>
                <w:rPr>
                  <w:rStyle w:val="InternetLink"/>
                  <w:rFonts w:ascii="Times New Roman" w:hAnsi="Times New Roman"/>
                  <w:color w:val="0000FF"/>
                  <w:sz w:val="13"/>
                  <w:u w:val="single"/>
                </w:rPr>
                <w:t>(21)</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4.6</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22">
              <w:r>
                <w:rPr>
                  <w:rStyle w:val="InternetLink"/>
                  <w:rFonts w:ascii="Times New Roman" w:hAnsi="Times New Roman"/>
                  <w:color w:val="0000FF"/>
                  <w:sz w:val="20"/>
                  <w:u w:val="single"/>
                </w:rPr>
                <w:t>Form of Global Note 8.00% Note Due 2027 (included as part of Exhibit 4.1)</w:t>
              </w:r>
            </w:hyperlink>
            <w:hyperlink r:id="rId23">
              <w:r>
                <w:rPr>
                  <w:rStyle w:val="InternetLink"/>
                  <w:rFonts w:ascii="Times New Roman" w:hAnsi="Times New Roman"/>
                  <w:color w:val="0000FF"/>
                  <w:sz w:val="13"/>
                  <w:u w:val="single"/>
                </w:rPr>
                <w:t>(21)</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9.1</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24">
              <w:r>
                <w:rPr>
                  <w:rStyle w:val="InternetLink"/>
                  <w:rFonts w:ascii="Times New Roman" w:hAnsi="Times New Roman"/>
                  <w:color w:val="0000FF"/>
                  <w:sz w:val="20"/>
                  <w:u w:val="single"/>
                </w:rPr>
                <w:t>Voting Proxy of OCM Growth Holdings, LLC in favor of Runway Growth Credit Fund Inc.</w:t>
              </w:r>
            </w:hyperlink>
            <w:hyperlink r:id="rId25">
              <w:r>
                <w:rPr>
                  <w:rStyle w:val="InternetLink"/>
                  <w:rFonts w:ascii="Times New Roman" w:hAnsi="Times New Roman"/>
                  <w:color w:val="0000FF"/>
                  <w:sz w:val="13"/>
                  <w:u w:val="single"/>
                </w:rPr>
                <w:t>(34)</w:t>
              </w:r>
            </w:hyperlink>
            <w:hyperlink r:id="rId26">
              <w:r>
                <w:rPr>
                  <w:rStyle w:val="InternetLink"/>
                  <w:rFonts w:ascii="Times New Roman" w:hAnsi="Times New Roman"/>
                  <w:color w:val="0000FF"/>
                  <w:sz w:val="20"/>
                </w:rPr>
                <w:t xml:space="preserve"> </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27">
              <w:r>
                <w:rPr>
                  <w:rStyle w:val="InternetLink"/>
                  <w:rFonts w:ascii="Times New Roman" w:hAnsi="Times New Roman"/>
                  <w:color w:val="0000FF"/>
                  <w:sz w:val="20"/>
                  <w:u w:val="single"/>
                </w:rPr>
                <w:t>Second Amended and Restated Investment Advisory Agreement between Runway Growth Credit Fund Inc. and Runway Growth Capital LLC, as the investment adviser</w:t>
              </w:r>
            </w:hyperlink>
            <w:hyperlink r:id="rId28">
              <w:r>
                <w:rPr>
                  <w:rStyle w:val="InternetLink"/>
                  <w:rFonts w:ascii="Times New Roman" w:hAnsi="Times New Roman"/>
                  <w:color w:val="0000FF"/>
                  <w:sz w:val="13"/>
                  <w:u w:val="single"/>
                </w:rPr>
                <w:t>(4)</w:t>
              </w:r>
            </w:hyperlink>
            <w:hyperlink r:id="rId29">
              <w:r>
                <w:rPr>
                  <w:rStyle w:val="InternetLink"/>
                  <w:rFonts w:ascii="Times New Roman" w:hAnsi="Times New Roman"/>
                  <w:color w:val="0000FF"/>
                  <w:sz w:val="20"/>
                </w:rPr>
                <w:t xml:space="preserve"> </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30">
              <w:r>
                <w:rPr>
                  <w:rStyle w:val="InternetLink"/>
                  <w:rFonts w:ascii="Times New Roman" w:hAnsi="Times New Roman"/>
                  <w:color w:val="0000FF"/>
                  <w:sz w:val="20"/>
                  <w:u w:val="single"/>
                </w:rPr>
                <w:t>Amended and Restated Administration Agreement between Runway Growth Credit Fund Inc. and Runway Administrator Services, LLC, as the administrator</w:t>
              </w:r>
            </w:hyperlink>
            <w:hyperlink r:id="rId31">
              <w:r>
                <w:rPr>
                  <w:rStyle w:val="InternetLink"/>
                  <w:rFonts w:ascii="Times New Roman" w:hAnsi="Times New Roman"/>
                  <w:color w:val="0000FF"/>
                  <w:sz w:val="13"/>
                  <w:u w:val="single"/>
                </w:rPr>
                <w:t>(12)</w:t>
              </w:r>
            </w:hyperlink>
            <w:hyperlink r:id="rId32">
              <w:r>
                <w:rPr>
                  <w:rStyle w:val="InternetLink"/>
                  <w:rFonts w:ascii="Times New Roman" w:hAnsi="Times New Roman"/>
                  <w:color w:val="0000FF"/>
                  <w:sz w:val="20"/>
                </w:rPr>
                <w:t xml:space="preserve"> </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33">
              <w:r>
                <w:rPr>
                  <w:rStyle w:val="InternetLink"/>
                  <w:rFonts w:ascii="Times New Roman" w:hAnsi="Times New Roman"/>
                  <w:color w:val="0000FF"/>
                  <w:sz w:val="20"/>
                  <w:u w:val="single"/>
                </w:rPr>
                <w:t>Stockholder Agreement between Runway Growth Credit Fund Inc. and OCM Growth Holdings, LLC</w:t>
              </w:r>
            </w:hyperlink>
            <w:hyperlink r:id="rId34">
              <w:r>
                <w:rPr>
                  <w:rStyle w:val="InternetLink"/>
                  <w:rFonts w:ascii="Times New Roman" w:hAnsi="Times New Roman"/>
                  <w:color w:val="0000FF"/>
                  <w:sz w:val="13"/>
                  <w:u w:val="single"/>
                </w:rPr>
                <w:t>(1)</w:t>
              </w:r>
            </w:hyperlink>
            <w:hyperlink r:id="rId35">
              <w:r>
                <w:rPr>
                  <w:rStyle w:val="InternetLink"/>
                  <w:rFonts w:ascii="Times New Roman" w:hAnsi="Times New Roman"/>
                  <w:color w:val="0000FF"/>
                  <w:sz w:val="20"/>
                </w:rPr>
                <w:t xml:space="preserve"> </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36">
              <w:r>
                <w:rPr>
                  <w:rStyle w:val="InternetLink"/>
                  <w:rFonts w:ascii="Times New Roman" w:hAnsi="Times New Roman"/>
                  <w:color w:val="0000FF"/>
                  <w:sz w:val="20"/>
                  <w:u w:val="single"/>
                </w:rPr>
                <w:t>Custody Agreement between Runway Growth Credit Fund Inc. and U.S. Bank National Association, as the custodian dated as of December 16, 2016</w:t>
              </w:r>
            </w:hyperlink>
            <w:hyperlink r:id="rId37">
              <w:r>
                <w:rPr>
                  <w:rStyle w:val="InternetLink"/>
                  <w:rFonts w:ascii="Times New Roman" w:hAnsi="Times New Roman"/>
                  <w:color w:val="0000FF"/>
                  <w:sz w:val="13"/>
                  <w:u w:val="single"/>
                </w:rPr>
                <w:t>(1)</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38">
              <w:r>
                <w:rPr>
                  <w:rStyle w:val="InternetLink"/>
                  <w:rFonts w:ascii="Times New Roman" w:hAnsi="Times New Roman"/>
                  <w:color w:val="000080"/>
                  <w:sz w:val="20"/>
                  <w:u w:val="single"/>
                </w:rPr>
                <w:t>First Amendment to Custody Agreement between Runway Growth Finance Corp. and U.S. Bank National Association, as the custodian, dated as of August 3, 202</w:t>
              </w:r>
            </w:hyperlink>
            <w:r>
              <w:rPr>
                <w:rFonts w:ascii="Times New Roman" w:hAnsi="Times New Roman"/>
                <w:color w:val="0000FF"/>
                <w:sz w:val="20"/>
                <w:u w:val="single"/>
              </w:rPr>
              <w:t>3</w:t>
            </w:r>
            <w:hyperlink r:id="rId39">
              <w:r>
                <w:rPr>
                  <w:rStyle w:val="InternetLink"/>
                  <w:rFonts w:ascii="Times New Roman" w:hAnsi="Times New Roman"/>
                  <w:color w:val="0000FF"/>
                  <w:sz w:val="13"/>
                  <w:u w:val="single"/>
                </w:rPr>
                <w:t>(24)</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40">
              <w:r>
                <w:rPr>
                  <w:rStyle w:val="InternetLink"/>
                  <w:rFonts w:ascii="Times New Roman" w:hAnsi="Times New Roman"/>
                  <w:color w:val="0000FF"/>
                  <w:sz w:val="20"/>
                  <w:u w:val="single"/>
                </w:rPr>
                <w:t>Amended and Restated Dividend Reinvestment Plan,</w:t>
              </w:r>
            </w:hyperlink>
            <w:hyperlink r:id="rId41">
              <w:r>
                <w:rPr>
                  <w:rStyle w:val="InternetLink"/>
                  <w:rFonts w:ascii="Times New Roman" w:hAnsi="Times New Roman"/>
                  <w:color w:val="0000FF"/>
                  <w:sz w:val="13"/>
                  <w:u w:val="single"/>
                </w:rPr>
                <w:t>(18)</w:t>
              </w:r>
            </w:hyperlink>
            <w:hyperlink r:id="rId42">
              <w:r>
                <w:rPr>
                  <w:rStyle w:val="InternetLink"/>
                  <w:rFonts w:ascii="Times New Roman" w:hAnsi="Times New Roman"/>
                  <w:color w:val="0000FF"/>
                  <w:sz w:val="20"/>
                </w:rPr>
                <w:t xml:space="preserve"> </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43">
              <w:r>
                <w:rPr>
                  <w:rStyle w:val="InternetLink"/>
                  <w:rFonts w:ascii="Times New Roman" w:hAnsi="Times New Roman"/>
                  <w:color w:val="0000FF"/>
                  <w:sz w:val="20"/>
                  <w:u w:val="single"/>
                </w:rPr>
                <w:t>Form of Indemnification Agreement</w:t>
              </w:r>
            </w:hyperlink>
            <w:hyperlink r:id="rId44">
              <w:r>
                <w:rPr>
                  <w:rStyle w:val="InternetLink"/>
                  <w:rFonts w:ascii="Times New Roman" w:hAnsi="Times New Roman"/>
                  <w:color w:val="0000FF"/>
                  <w:sz w:val="13"/>
                  <w:u w:val="single"/>
                </w:rPr>
                <w:t>(5)</w:t>
              </w:r>
            </w:hyperlink>
            <w:hyperlink r:id="rId45">
              <w:r>
                <w:rPr>
                  <w:rStyle w:val="InternetLink"/>
                  <w:rFonts w:ascii="Times New Roman" w:hAnsi="Times New Roman"/>
                  <w:color w:val="0000FF"/>
                  <w:sz w:val="20"/>
                </w:rPr>
                <w:t xml:space="preserve"> </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10.8</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46">
              <w:r>
                <w:rPr>
                  <w:rStyle w:val="InternetLink"/>
                  <w:rFonts w:ascii="Times New Roman" w:hAnsi="Times New Roman"/>
                  <w:color w:val="0000FF"/>
                  <w:sz w:val="20"/>
                  <w:u w:val="single"/>
                </w:rPr>
                <w:t>Trademark License Agreement by and between Runway Growth Capital LLC and the Runway Growth Finance Corp.</w:t>
              </w:r>
            </w:hyperlink>
            <w:hyperlink r:id="rId47">
              <w:r>
                <w:rPr>
                  <w:rStyle w:val="InternetLink"/>
                  <w:rFonts w:ascii="Times New Roman" w:hAnsi="Times New Roman"/>
                  <w:color w:val="0000FF"/>
                  <w:sz w:val="13"/>
                  <w:u w:val="single"/>
                </w:rPr>
                <w:t>(17)</w:t>
              </w:r>
            </w:hyperlink>
            <w:hyperlink r:id="rId48">
              <w:r>
                <w:rPr>
                  <w:rStyle w:val="InternetLink"/>
                  <w:rFonts w:ascii="Times New Roman" w:hAnsi="Times New Roman"/>
                  <w:color w:val="0000FF"/>
                  <w:sz w:val="20"/>
                </w:rPr>
                <w:t xml:space="preserve"> </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49">
              <w:r>
                <w:rPr>
                  <w:rStyle w:val="InternetLink"/>
                  <w:rFonts w:ascii="Times New Roman" w:hAnsi="Times New Roman"/>
                  <w:color w:val="0000FF"/>
                  <w:sz w:val="20"/>
                  <w:u w:val="single"/>
                </w:rPr>
                <w:t>Transfer Agent Agreement by and between American Stock Transfer &amp; Trust Company, LLC and the Registrant</w:t>
              </w:r>
            </w:hyperlink>
            <w:hyperlink r:id="rId50">
              <w:r>
                <w:rPr>
                  <w:rStyle w:val="InternetLink"/>
                  <w:rFonts w:ascii="Times New Roman" w:hAnsi="Times New Roman"/>
                  <w:color w:val="0000FF"/>
                  <w:sz w:val="13"/>
                  <w:u w:val="single"/>
                </w:rPr>
                <w:t>(7)</w:t>
              </w:r>
            </w:hyperlink>
            <w:hyperlink r:id="rId51">
              <w:r>
                <w:rPr>
                  <w:rStyle w:val="InternetLink"/>
                  <w:rFonts w:ascii="Times New Roman" w:hAnsi="Times New Roman"/>
                  <w:color w:val="0000FF"/>
                  <w:sz w:val="20"/>
                </w:rPr>
                <w:t xml:space="preserve"> </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52">
              <w:r>
                <w:rPr>
                  <w:rStyle w:val="InternetLink"/>
                  <w:rFonts w:ascii="Times New Roman" w:hAnsi="Times New Roman"/>
                  <w:color w:val="0000FF"/>
                  <w:sz w:val="20"/>
                  <w:u w:val="single"/>
                </w:rPr>
                <w:t>Credit Agreement, dated as of May 31, 2019, by and among the Company, as borrower, KeyBank National Association, as administrative agent and syndication agent, CIBC Bank USA, as documentation agent, U.S. Bank National Association, as paying agent, the guarantors from time to time party thereto, and the lenders from time to time party thereto.</w:t>
              </w:r>
            </w:hyperlink>
            <w:hyperlink r:id="rId53">
              <w:r>
                <w:rPr>
                  <w:rStyle w:val="InternetLink"/>
                  <w:rFonts w:ascii="Times New Roman" w:hAnsi="Times New Roman"/>
                  <w:color w:val="0000FF"/>
                  <w:sz w:val="13"/>
                  <w:u w:val="single"/>
                </w:rPr>
                <w:t>(8)</w:t>
              </w:r>
            </w:hyperlink>
            <w:hyperlink r:id="rId54">
              <w:r>
                <w:rPr>
                  <w:rStyle w:val="InternetLink"/>
                  <w:rFonts w:ascii="Times New Roman" w:hAnsi="Times New Roman"/>
                  <w:color w:val="0000FF"/>
                  <w:sz w:val="20"/>
                </w:rPr>
                <w:t xml:space="preserve"> </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55">
              <w:r>
                <w:rPr>
                  <w:rStyle w:val="InternetLink"/>
                  <w:rFonts w:ascii="Times New Roman" w:hAnsi="Times New Roman"/>
                  <w:color w:val="0000FF"/>
                  <w:sz w:val="20"/>
                  <w:u w:val="single"/>
                </w:rPr>
                <w:t>First Amendment to Credit Agreement, dated as of November 10, 2020, among the Company, as borrower; the financial institutions party thereto as lenders; KeyBank National Association, as administrative agent and lender; CIBC Bank USA, as documentation agent and lender; and U.S. Bank National Association, as paying agent.</w:t>
              </w:r>
            </w:hyperlink>
            <w:hyperlink r:id="rId56">
              <w:r>
                <w:rPr>
                  <w:rStyle w:val="InternetLink"/>
                  <w:rFonts w:ascii="Times New Roman" w:hAnsi="Times New Roman"/>
                  <w:color w:val="0000FF"/>
                  <w:sz w:val="13"/>
                  <w:u w:val="single"/>
                </w:rPr>
                <w:t>(10)</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57">
              <w:r>
                <w:rPr>
                  <w:rStyle w:val="InternetLink"/>
                  <w:rFonts w:ascii="Times New Roman" w:hAnsi="Times New Roman"/>
                  <w:color w:val="0000FF"/>
                  <w:sz w:val="20"/>
                  <w:u w:val="single"/>
                </w:rPr>
                <w:t>Second Amendment to Credit Agreement, dated as of December 2, 2020, among the Company, as borrower; the financial institutions party thereto as lenders; KeyBank National Association, as administrative agent and lender; CIBC Bank USA, as documentation agent and lender; MUFG Union Bank, N.A., as co-documentation agent and lender; and U.S. Bank National Association, as paying agent.</w:t>
              </w:r>
            </w:hyperlink>
            <w:hyperlink r:id="rId58">
              <w:r>
                <w:rPr>
                  <w:rStyle w:val="InternetLink"/>
                  <w:rFonts w:ascii="Times New Roman" w:hAnsi="Times New Roman"/>
                  <w:color w:val="0000FF"/>
                  <w:sz w:val="13"/>
                  <w:u w:val="single"/>
                </w:rPr>
                <w:t>(11)</w:t>
              </w:r>
            </w:hyperlink>
          </w:p>
        </w:tc>
      </w:tr>
      <w:tr>
        <w:trPr/>
        <w:tc>
          <w:tcPr>
            <w:tcW w:w="836"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10.13</w:t>
            </w:r>
          </w:p>
        </w:tc>
        <w:tc>
          <w:tcPr>
            <w:tcW w:w="146" w:type="dxa"/>
            <w:tcBorders/>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left"/>
              <w:rPr/>
            </w:pPr>
            <w:hyperlink r:id="rId59">
              <w:r>
                <w:rPr>
                  <w:rStyle w:val="InternetLink"/>
                  <w:rFonts w:ascii="Times New Roman" w:hAnsi="Times New Roman"/>
                  <w:color w:val="0000FF"/>
                  <w:sz w:val="20"/>
                  <w:u w:val="single"/>
                </w:rPr>
                <w:t>Third Amendment to Credit Agreement, dated as of June 1, 2021, among the Company, as borrower; the financial institutions party thereto as lenders; KeyBank National Association, as administrative agent and lender; CIBC Bank USA, as documentation agent and lender; MUFG Union Bank, N.A., as co-documentation agent and lender; and U.S. Bank National Association, as paying agent</w:t>
              </w:r>
            </w:hyperlink>
            <w:hyperlink r:id="rId60">
              <w:r>
                <w:rPr>
                  <w:rStyle w:val="InternetLink"/>
                  <w:rFonts w:ascii="Times New Roman" w:hAnsi="Times New Roman"/>
                  <w:color w:val="0000FF"/>
                  <w:sz w:val="13"/>
                  <w:u w:val="single"/>
                </w:rPr>
                <w:t>(15)</w:t>
              </w:r>
            </w:hyperlink>
          </w:p>
        </w:tc>
      </w:tr>
    </w:tbl>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144</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852"/>
        <w:gridCol w:w="146"/>
        <w:gridCol w:w="9207"/>
      </w:tblGrid>
      <w:tr>
        <w:trPr/>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7" w:type="dxa"/>
            <w:tcBorders/>
            <w:vAlign w:val="center"/>
          </w:tcPr>
          <w:p>
            <w:pPr>
              <w:pStyle w:val="TableContents"/>
              <w:bidi w:val="0"/>
              <w:spacing w:before="0" w:after="283"/>
              <w:ind w:left="0" w:right="0" w:firstLine="216"/>
              <w:jc w:val="left"/>
              <w:rPr>
                <w:sz w:val="4"/>
                <w:szCs w:val="4"/>
              </w:rPr>
            </w:pPr>
            <w:r>
              <w:rPr>
                <w:sz w:val="4"/>
                <w:szCs w:val="4"/>
              </w:rPr>
            </w:r>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10.14</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61">
              <w:r>
                <w:rPr>
                  <w:rStyle w:val="InternetLink"/>
                  <w:rFonts w:ascii="Times New Roman" w:hAnsi="Times New Roman"/>
                  <w:color w:val="0000FF"/>
                  <w:sz w:val="20"/>
                  <w:u w:val="single"/>
                </w:rPr>
                <w:t>Fourth Amendment to Credit Agreement, dated as of August 3, 2021, among Runway Growth Credit Fund Inc., as borrower; the financial institutions party thereto as lenders; KeyBank National Association, as administrative agent and lender; CIBC Bank USA, as documentation agent and lender; MUFG Union Bank, N.A. as co-documentation agent and lender; and U.S. Bank National Association, as paying agent</w:t>
              </w:r>
            </w:hyperlink>
            <w:hyperlink r:id="rId62">
              <w:r>
                <w:rPr>
                  <w:rStyle w:val="InternetLink"/>
                  <w:rFonts w:ascii="Times New Roman" w:hAnsi="Times New Roman"/>
                  <w:color w:val="0000FF"/>
                  <w:sz w:val="13"/>
                  <w:u w:val="single"/>
                </w:rPr>
                <w:t>(12)</w:t>
              </w:r>
            </w:hyperlink>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10.15</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63">
              <w:r>
                <w:rPr>
                  <w:rStyle w:val="InternetLink"/>
                  <w:rFonts w:ascii="Times New Roman" w:hAnsi="Times New Roman"/>
                  <w:color w:val="0000FF"/>
                  <w:sz w:val="20"/>
                  <w:u w:val="single"/>
                </w:rPr>
                <w:t>Master Note Purchase Agreement, dated December 10, 2021, by and among Runway Growth Finance Corp. and the Purchasers signatory thereto</w:t>
              </w:r>
            </w:hyperlink>
            <w:hyperlink r:id="rId64">
              <w:r>
                <w:rPr>
                  <w:rStyle w:val="InternetLink"/>
                  <w:rFonts w:ascii="Times New Roman" w:hAnsi="Times New Roman"/>
                  <w:color w:val="0000FF"/>
                  <w:sz w:val="13"/>
                  <w:u w:val="single"/>
                </w:rPr>
                <w:t>(16)</w:t>
              </w:r>
            </w:hyperlink>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10.16</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65">
              <w:r>
                <w:rPr>
                  <w:rStyle w:val="InternetLink"/>
                  <w:rFonts w:ascii="Times New Roman" w:hAnsi="Times New Roman"/>
                  <w:color w:val="0000FF"/>
                  <w:sz w:val="20"/>
                  <w:u w:val="single"/>
                </w:rPr>
                <w:t>First Supplement to Note Purchase Agreement, dated April 13, 2023, by and between Runway Growth Finance Corp. and the Purchasers party thereto</w:t>
              </w:r>
            </w:hyperlink>
            <w:r>
              <w:rPr>
                <w:rFonts w:ascii="Times New Roman" w:hAnsi="Times New Roman"/>
                <w:color w:val="0000FF"/>
                <w:sz w:val="13"/>
                <w:u w:val="single"/>
              </w:rPr>
              <w:t>(23)</w:t>
            </w:r>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10.17</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66">
              <w:r>
                <w:rPr>
                  <w:rStyle w:val="InternetLink"/>
                  <w:rFonts w:ascii="Times New Roman" w:hAnsi="Times New Roman"/>
                  <w:color w:val="0000FF"/>
                  <w:sz w:val="20"/>
                  <w:u w:val="single"/>
                </w:rPr>
                <w:t>Fifth Amendment to Credit Agreement, dated as of October 19, 2021, among Runway Growth Finance Corp., as borrower; the financial institutions party thereto as lenders; KeyBank National Association, as administrative agent and lender; CIBC Bank USA, as documentation agent and lender; MUFG Union Bank, N.A. as co-documentation agent and lender; and U.S. Bank National Association, as paying agent</w:t>
              </w:r>
            </w:hyperlink>
            <w:hyperlink r:id="rId67">
              <w:r>
                <w:rPr>
                  <w:rStyle w:val="InternetLink"/>
                  <w:rFonts w:ascii="Times New Roman" w:hAnsi="Times New Roman"/>
                  <w:color w:val="0000FF"/>
                  <w:sz w:val="13"/>
                  <w:u w:val="single"/>
                </w:rPr>
                <w:t>(18)</w:t>
              </w:r>
            </w:hyperlink>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10.18</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68">
              <w:r>
                <w:rPr>
                  <w:rStyle w:val="InternetLink"/>
                  <w:rFonts w:ascii="Times New Roman" w:hAnsi="Times New Roman"/>
                  <w:color w:val="0000FF"/>
                  <w:sz w:val="20"/>
                  <w:u w:val="single"/>
                </w:rPr>
                <w:t>Amended and Restated Credit Agreement, dated as of April 20, 2022, among Runway Growth Finance Corp., as borrower; the financial institutions party thereto as lenders; KeyBank National Association, as administrative agent and lender; CIBC Bank USA, as documentation agent and lender; MUFG Union Bank, N.A. as co-documentation agent and lender; and U.S. Bank National Association, as paying agent</w:t>
              </w:r>
            </w:hyperlink>
            <w:hyperlink r:id="rId69">
              <w:r>
                <w:rPr>
                  <w:rStyle w:val="InternetLink"/>
                  <w:rFonts w:ascii="Times New Roman" w:hAnsi="Times New Roman"/>
                  <w:color w:val="0000FF"/>
                  <w:sz w:val="13"/>
                  <w:u w:val="single"/>
                </w:rPr>
                <w:t>(19)</w:t>
              </w:r>
            </w:hyperlink>
            <w:hyperlink r:id="rId70">
              <w:r>
                <w:rPr>
                  <w:rStyle w:val="InternetLink"/>
                  <w:rFonts w:ascii="Times New Roman" w:hAnsi="Times New Roman"/>
                  <w:color w:val="0000FF"/>
                  <w:sz w:val="20"/>
                </w:rPr>
                <w:t xml:space="preserve"> </w:t>
              </w:r>
            </w:hyperlink>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10.19</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71">
              <w:r>
                <w:rPr>
                  <w:rStyle w:val="InternetLink"/>
                  <w:rFonts w:ascii="Times New Roman" w:hAnsi="Times New Roman"/>
                  <w:color w:val="0000FF"/>
                  <w:sz w:val="20"/>
                  <w:u w:val="single"/>
                </w:rPr>
                <w:t>Second Amendment to the Amended and Restated Credit Agreement, dated as of January 4, 2023, among Runway Growth Finance Corp., as borrower; the financial institutions parties thereto as lenders; and KeyBank National Association, as administrative agent and lender; CIBC Bank USA, as documentation agent; MUFG Union Bank, Ltd (as successor-in-interest to MUFG Union Bank, N.A.), as documentation agent; and U.S. Bank Trust Company, National Association, as paying agent</w:t>
              </w:r>
            </w:hyperlink>
            <w:hyperlink r:id="rId72">
              <w:r>
                <w:rPr>
                  <w:rStyle w:val="InternetLink"/>
                  <w:rFonts w:ascii="Times New Roman" w:hAnsi="Times New Roman"/>
                  <w:color w:val="0000FF"/>
                  <w:sz w:val="13"/>
                  <w:u w:val="single"/>
                </w:rPr>
                <w:t>(22)</w:t>
              </w:r>
            </w:hyperlink>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10.20</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FF"/>
                <w:sz w:val="20"/>
              </w:rPr>
            </w:pPr>
            <w:r>
              <w:rPr>
                <w:rFonts w:ascii="Times New Roman" w:hAnsi="Times New Roman"/>
                <w:color w:val="0000FF"/>
                <w:sz w:val="20"/>
              </w:rPr>
              <w:t>Third Amendment to the Amended and Restated Credit Agreement, dated as of March 24, 2023, among Runway Growth Finance Corp., as borrower, the financial institutions party thereto as lenders, KeyBank National Association, as administrative and lender, CIBC Bank USA, as documentation, MUFG Bank, Ltd. (as successor in interest to MUFG Bank, N.A.), as co-documentation agent, and U.S. Bank Trust Company, National Association, as paying agent*</w:t>
            </w:r>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10.21</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73">
              <w:r>
                <w:rPr>
                  <w:rStyle w:val="InternetLink"/>
                  <w:rFonts w:ascii="Times New Roman" w:hAnsi="Times New Roman"/>
                  <w:color w:val="0000FF"/>
                  <w:sz w:val="20"/>
                  <w:u w:val="single"/>
                </w:rPr>
                <w:t>Fourth Amendment to the Amended and Restated Credit Agreement, dated as of December 4, 2023, among Runway Growth Finance Corp., as borrower, the financial institutions party thereto as lenders, KeyBank National Association, as administrative agent and lender, CIBC Bank USA, as documentation agent, MUFG Bank, Ltd. (as successor in interest to MUFG Union Bank, N.A.), as co-documentation agent, and U.S. Bank Trust Company, National Association, as paying agen</w:t>
              </w:r>
            </w:hyperlink>
            <w:r>
              <w:rPr>
                <w:rFonts w:ascii="Times New Roman" w:hAnsi="Times New Roman"/>
                <w:color w:val="000000"/>
                <w:sz w:val="20"/>
                <w:u w:val="single"/>
              </w:rPr>
              <w:t>t</w:t>
            </w:r>
            <w:r>
              <w:rPr>
                <w:rFonts w:ascii="Times New Roman" w:hAnsi="Times New Roman"/>
                <w:color w:val="000000"/>
                <w:sz w:val="13"/>
                <w:u w:val="single"/>
              </w:rPr>
              <w:t>(25)</w:t>
            </w:r>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10.22</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74">
              <w:r>
                <w:rPr>
                  <w:rStyle w:val="InternetLink"/>
                  <w:rFonts w:ascii="Times New Roman" w:hAnsi="Times New Roman"/>
                  <w:color w:val="0000FF"/>
                  <w:sz w:val="20"/>
                  <w:u w:val="single"/>
                </w:rPr>
                <w:t>Joinder Agreement and Facility Amount Increase, dated as of December 4, 2023, among Runway Growth Finance Corp., as borrower, the financial institutions party thereto as lenders, and KeyBank National Association, as administrative agent</w:t>
              </w:r>
            </w:hyperlink>
            <w:r>
              <w:rPr>
                <w:rFonts w:ascii="Times New Roman" w:hAnsi="Times New Roman"/>
                <w:color w:val="000000"/>
                <w:sz w:val="13"/>
                <w:u w:val="single"/>
              </w:rPr>
              <w:t>(25)</w:t>
            </w:r>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11.1</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statementsofoperations_538321">
              <w:r>
                <w:rPr>
                  <w:rStyle w:val="InternetLink"/>
                  <w:rFonts w:ascii="Times New Roman" w:hAnsi="Times New Roman"/>
                  <w:color w:val="0000FF"/>
                  <w:sz w:val="20"/>
                  <w:u w:val="single"/>
                </w:rPr>
                <w:t>Computation of Per Share Earnings (Included in the notes to the consolidated financial statements contained in this report)</w:t>
              </w:r>
            </w:hyperlink>
            <w:r>
              <w:rPr>
                <w:rFonts w:ascii="Times New Roman" w:hAnsi="Times New Roman"/>
                <w:color w:val="000000"/>
                <w:sz w:val="20"/>
              </w:rPr>
              <w:t xml:space="preserve"> </w:t>
            </w:r>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14.1</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75">
              <w:r>
                <w:rPr>
                  <w:rStyle w:val="InternetLink"/>
                  <w:rFonts w:ascii="Times New Roman" w:hAnsi="Times New Roman"/>
                  <w:color w:val="0000FF"/>
                  <w:sz w:val="20"/>
                  <w:u w:val="single"/>
                </w:rPr>
                <w:t>Joint Code of Ethics</w:t>
              </w:r>
            </w:hyperlink>
            <w:hyperlink r:id="rId76">
              <w:r>
                <w:rPr>
                  <w:rStyle w:val="InternetLink"/>
                  <w:rFonts w:ascii="Times New Roman" w:hAnsi="Times New Roman"/>
                  <w:color w:val="0000FF"/>
                  <w:sz w:val="13"/>
                  <w:u w:val="single"/>
                </w:rPr>
                <w:t>(14)</w:t>
              </w:r>
            </w:hyperlink>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19.1</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Insider Trading Policy and Procedures*</w:t>
            </w:r>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21.1</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List of Subsidiaries: P3 Holdco LLC - Delaware</w:t>
            </w:r>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23.1</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rway-ex23_1.htm">
              <w:r>
                <w:rPr>
                  <w:rStyle w:val="InternetLink"/>
                  <w:rFonts w:ascii="Times New Roman" w:hAnsi="Times New Roman"/>
                  <w:color w:val="0000FF"/>
                  <w:sz w:val="20"/>
                  <w:u w:val="single"/>
                </w:rPr>
                <w:t>Consent of RSM US LLP*</w:t>
              </w:r>
            </w:hyperlink>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 xml:space="preserve">31.1 </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rway-ex31_1.htm">
              <w:r>
                <w:rPr>
                  <w:rStyle w:val="InternetLink"/>
                  <w:rFonts w:ascii="Times New Roman" w:hAnsi="Times New Roman"/>
                  <w:color w:val="0000FF"/>
                  <w:sz w:val="20"/>
                  <w:u w:val="single"/>
                </w:rPr>
                <w:t>Certification of Chief Executive Officer pursuant to Rule 13a-14 of the Securities Exchange Act of 1934, as amended*</w:t>
              </w:r>
            </w:hyperlink>
            <w:r>
              <w:rPr>
                <w:rFonts w:ascii="Times New Roman" w:hAnsi="Times New Roman"/>
                <w:color w:val="000000"/>
                <w:sz w:val="20"/>
              </w:rPr>
              <w:t xml:space="preserve"> </w:t>
            </w:r>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 xml:space="preserve">31.2 </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rway-ex31_2.htm">
              <w:r>
                <w:rPr>
                  <w:rStyle w:val="InternetLink"/>
                  <w:rFonts w:ascii="Times New Roman" w:hAnsi="Times New Roman"/>
                  <w:color w:val="0000FF"/>
                  <w:sz w:val="20"/>
                  <w:u w:val="single"/>
                </w:rPr>
                <w:t>Certification of Chief Financial Officer pursuant to Rule 13a-14 of the Securities Exchange Act of 1934, as amended*</w:t>
              </w:r>
            </w:hyperlink>
            <w:hyperlink w:anchor="rway-ex31_2.htm">
              <w:r>
                <w:rPr>
                  <w:rStyle w:val="InternetLink"/>
                  <w:rFonts w:ascii="Times New Roman" w:hAnsi="Times New Roman"/>
                  <w:color w:val="0000FF"/>
                  <w:sz w:val="20"/>
                </w:rPr>
                <w:t xml:space="preserve"> </w:t>
              </w:r>
            </w:hyperlink>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 xml:space="preserve">32.1 </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rway-ex32_1.htm">
              <w:r>
                <w:rPr>
                  <w:rStyle w:val="InternetLink"/>
                  <w:rFonts w:ascii="Times New Roman" w:hAnsi="Times New Roman"/>
                  <w:color w:val="0000FF"/>
                  <w:sz w:val="20"/>
                  <w:u w:val="single"/>
                </w:rPr>
                <w:t>Certification of Chief Executive Officer pursuant to Section 906 of the Sarbanes-Oxley Act of 2002*</w:t>
              </w:r>
            </w:hyperlink>
            <w:hyperlink w:anchor="rway-ex32_1.htm">
              <w:r>
                <w:rPr>
                  <w:rStyle w:val="InternetLink"/>
                  <w:rFonts w:ascii="Times New Roman" w:hAnsi="Times New Roman"/>
                  <w:color w:val="0000FF"/>
                  <w:sz w:val="20"/>
                </w:rPr>
                <w:t xml:space="preserve"> </w:t>
              </w:r>
            </w:hyperlink>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 xml:space="preserve">32.2 </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rway-ex32_2.htm">
              <w:r>
                <w:rPr>
                  <w:rStyle w:val="InternetLink"/>
                  <w:rFonts w:ascii="Times New Roman" w:hAnsi="Times New Roman"/>
                  <w:color w:val="0000FF"/>
                  <w:sz w:val="20"/>
                  <w:u w:val="single"/>
                </w:rPr>
                <w:t>Certification of Chief Financial Officer pursuant to Section 906 of the Sarbanes-Oxley Act of 2002*</w:t>
              </w:r>
            </w:hyperlink>
            <w:hyperlink w:anchor="rway-ex32_2.htm">
              <w:r>
                <w:rPr>
                  <w:rStyle w:val="InternetLink"/>
                  <w:rFonts w:ascii="Times New Roman" w:hAnsi="Times New Roman"/>
                  <w:color w:val="0000FF"/>
                  <w:sz w:val="20"/>
                </w:rPr>
                <w:t xml:space="preserve"> </w:t>
              </w:r>
            </w:hyperlink>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97.1</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 xml:space="preserve">Policy Relating to Recovery of Erroneously Awarded Compensation* </w:t>
            </w:r>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52" w:type="dxa"/>
            <w:tcBorders/>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2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pBdr>
          <w:bottom w:val="single" w:sz="6" w:space="1" w:color="000000"/>
        </w:pBdr>
        <w:bidi w:val="0"/>
        <w:spacing w:before="0" w:after="200"/>
        <w:jc w:val="both"/>
        <w:rPr/>
      </w:pPr>
      <w:r>
        <w:rPr/>
        <w:t> </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145</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Previously filed as an exhibit to the Company’s Current Report on Form 8</w:t>
        <w:noBreakHyphen/>
        <w:t>K filed with the SEC on December 19, 2016.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Previously filed as an exhibit to the Company’s Current Report on Form 8</w:t>
        <w:noBreakHyphen/>
        <w:t>K filed with the SEC on June 14, 2017.i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Previously filed as an exhibit to the Company’s Annual Report on Form 10</w:t>
        <w:noBreakHyphen/>
        <w:t>K filed with the SEC on March 29, 2017.</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Previously filed as an exhibit to the Company’s Current Report on Form 8-K filed with the SEC on May 28, 2021.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Previously filed as an exhibit to the Company’s Registration Statement on Form 10 (File No. 000</w:t>
        <w:noBreakHyphen/>
        <w:t>55544) filed with the SEC on February 12, 2016.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Previously filed as an exhibit to the Company’s Quarterly Report on Form 10</w:t>
        <w:noBreakHyphen/>
        <w:t>Q filed with the SEC on November 9, 2017.</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Previously filed as an exhibit to the Company’s Current Report on Form 8</w:t>
        <w:noBreakHyphen/>
        <w:t>K filed with the SEC on December 28, 2018.</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Previously filed as an exhibit to the Company’s Annual Report on Form 10</w:t>
        <w:noBreakHyphen/>
        <w:t>K filed with the SEC on March 28, 2019.</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Previously filed as an exhibit to the Company’s Annual Report on Form 10-K filed with the SEC on March 20, 2020.</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Previously filed as an exhibit to the Company’s Quarterly Report on Form 10-Q filed with the SEC on November 12, 2020.</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(11)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Previously filed as an exhibit to the Company’s Current Report on Form 8-K filed with the SEC on December 4, 2020.</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(12)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Previously filed as an exhibit to the Company’s Quarterly Report on Form 10-Q filed with the SEC on August 5, 2021.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(13)</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Previously filed as an exhibit to the Company’s Current Report on Form 8-K filed with the SEC on August 19, 2021.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(14)</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Previously filed as an exhibit to the Company’s Current Report on Form 8-K filed with the SEC on October 27, 2021.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(15)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Previously filed as an exhibit to the Company’s Registration Statement on Form N-2 (File No. 333-259824) filed with the SEC on September 27, 2021.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(16)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Previously filed as an exhibit to the Company’s Current Report on Form 8-K filed with the SEC on December 13, 2021.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(17)</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Previously filed as an exhibit to the Company’s Current Report on Form 8-K filed with the SEC on September 23, 2021.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(18)</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Previously filed as an exhibit to the Company’s Annual Report on Form 10-K filed with the SEC on March 14, 2022.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(19)</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Previously filed as an exhibit to the Company’s Current Report on Form 8-K filed with the SEC on April 20, 2022.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(20)</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Previously filed as an exhibit to the Company’s Current Report on Form 8-K filed with the SEC on July 22, 2022.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(21)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Previously filed as an exhibit to the Company’s Current Report on Form 8-K filed with the SEC on December 7, 2022.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(22)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Previously filed as an exhibit to the Company’s Current Report on Form 8-K filed with the SEC on January 9, 2023. </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(23)</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Previously filed as an exhibit to the Company’s Current Report on Form 8-K filed with the SEC on April 14, 2023. </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(24)</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Previously filed as an exhibit to the Company’s Quarterly Report on Form 10-Q filed with the SEC on August 8, 2023. </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(25)</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Previously filed as an exhibit to the Company’s Current Report on Form 8-K filed with the SEC on December 6, 2023.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146</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240" w:after="240"/>
        <w:jc w:val="left"/>
        <w:rPr>
          <w:rFonts w:ascii="Times New Roman" w:hAnsi="Times New Roman"/>
          <w:b/>
          <w:color w:val="000000"/>
          <w:sz w:val="20"/>
        </w:rPr>
      </w:pPr>
      <w:bookmarkStart w:id="35" w:name="item1610k_summary"/>
      <w:bookmarkEnd w:id="35"/>
      <w:r>
        <w:rPr>
          <w:rFonts w:ascii="Times New Roman" w:hAnsi="Times New Roman"/>
          <w:b/>
          <w:color w:val="000000"/>
          <w:sz w:val="20"/>
        </w:rPr>
        <w:t>Item 16. Form 10-K Summary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147</w:t>
      </w:r>
    </w:p>
    <w:p>
      <w:pPr>
        <w:pStyle w:val="HorizontalLine"/>
        <w:pBdr>
          <w:bottom w:val="double" w:sz="2" w:space="0" w:color="808080"/>
        </w:pBdr>
        <w:bidi w:val="0"/>
        <w:spacing w:before="0" w:after="283"/>
        <w:jc w:val="left"/>
        <w:rPr/>
      </w:pPr>
      <w:r>
        <w:rPr/>
      </w:r>
    </w:p>
    <w:p>
      <w:pPr>
        <w:pStyle w:val="TextBody"/>
        <w:bidi w:val="0"/>
        <w:spacing w:before="0" w:after="600"/>
        <w:jc w:val="left"/>
        <w:rPr/>
      </w:pPr>
      <w:hyperlink w:anchor="toc">
        <w:r>
          <w:rPr>
            <w:rStyle w:val="InternetLink"/>
            <w:rFonts w:ascii="Times New Roman" w:hAnsi="Times New Roman"/>
            <w:color w:val="0563C1"/>
            <w:sz w:val="20"/>
          </w:rPr>
          <w:t>Table of Contents</w:t>
        </w:r>
      </w:hyperlink>
    </w:p>
    <w:p>
      <w:pPr>
        <w:pStyle w:val="TextBody"/>
        <w:bidi w:val="0"/>
        <w:spacing w:before="0" w:after="200"/>
        <w:jc w:val="center"/>
        <w:rPr>
          <w:rFonts w:ascii="Times New Roman" w:hAnsi="Times New Roman"/>
          <w:b/>
          <w:color w:val="000000"/>
          <w:sz w:val="20"/>
        </w:rPr>
      </w:pPr>
      <w:bookmarkStart w:id="36" w:name="signatures_215282"/>
      <w:bookmarkEnd w:id="36"/>
      <w:r>
        <w:rPr>
          <w:rFonts w:ascii="Times New Roman" w:hAnsi="Times New Roman"/>
          <w:b/>
          <w:color w:val="000000"/>
          <w:sz w:val="20"/>
        </w:rPr>
        <w:t>SIGNATURES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left"/>
        <w:rPr/>
      </w:pPr>
      <w:r>
        <w:rPr/>
        <w:t> </w:t>
      </w:r>
    </w:p>
    <w:tbl>
      <w:tblPr>
        <w:tblW w:w="4603" w:type="dxa"/>
        <w:jc w:val="left"/>
        <w:tblInd w:w="0" w:type="dxa"/>
        <w:tblLayout w:type="fixed"/>
        <w:tblCellMar>
          <w:top w:w="28" w:type="dxa"/>
          <w:left w:w="28" w:type="dxa"/>
          <w:bottom w:w="28" w:type="dxa"/>
          <w:right w:w="28" w:type="dxa"/>
        </w:tblCellMar>
      </w:tblPr>
      <w:tblGrid>
        <w:gridCol w:w="1786"/>
        <w:gridCol w:w="146"/>
        <w:gridCol w:w="267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71" w:type="dxa"/>
            <w:tcBorders/>
            <w:vAlign w:val="center"/>
          </w:tcPr>
          <w:p>
            <w:pPr>
              <w:pStyle w:val="TableContents"/>
              <w:bidi w:val="0"/>
              <w:spacing w:before="0" w:after="283"/>
              <w:jc w:val="left"/>
              <w:rPr/>
            </w:pPr>
            <w:r>
              <w:rPr/>
              <w:t> </w:t>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7, 2024</w:t>
            </w:r>
          </w:p>
        </w:tc>
        <w:tc>
          <w:tcPr>
            <w:tcW w:w="2817" w:type="dxa"/>
            <w:gridSpan w:val="2"/>
            <w:tcBorders/>
            <w:vAlign w:val="center"/>
          </w:tcPr>
          <w:p>
            <w:pPr>
              <w:pStyle w:val="TableContents"/>
              <w:bidi w:val="0"/>
              <w:spacing w:before="0" w:after="283"/>
              <w:jc w:val="left"/>
              <w:rPr/>
            </w:pPr>
            <w:r>
              <w:rPr/>
              <w:t> </w:t>
            </w:r>
          </w:p>
        </w:tc>
      </w:tr>
      <w:tr>
        <w:trPr/>
        <w:tc>
          <w:tcPr>
            <w:tcW w:w="1786" w:type="dxa"/>
            <w:tcBorders/>
            <w:vAlign w:val="center"/>
          </w:tcPr>
          <w:p>
            <w:pPr>
              <w:pStyle w:val="TableContents"/>
              <w:bidi w:val="0"/>
              <w:spacing w:before="0" w:after="283"/>
              <w:jc w:val="left"/>
              <w:rPr/>
            </w:pPr>
            <w:r>
              <w:rPr/>
              <w:t> </w:t>
            </w:r>
          </w:p>
        </w:tc>
        <w:tc>
          <w:tcPr>
            <w:tcW w:w="2817"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Greg Greifeld</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 Greifeld</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Acting Chief Executive Officer</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both"/>
        <w:rPr/>
      </w:pPr>
      <w:r>
        <w:rPr/>
        <w:t> </w:t>
      </w:r>
    </w:p>
    <w:tbl>
      <w:tblPr>
        <w:tblW w:w="9358" w:type="dxa"/>
        <w:jc w:val="left"/>
        <w:tblInd w:w="0" w:type="dxa"/>
        <w:tblLayout w:type="fixed"/>
        <w:tblCellMar>
          <w:top w:w="28" w:type="dxa"/>
          <w:left w:w="28" w:type="dxa"/>
          <w:bottom w:w="28" w:type="dxa"/>
          <w:right w:w="28" w:type="dxa"/>
        </w:tblCellMar>
      </w:tblPr>
      <w:tblGrid>
        <w:gridCol w:w="1786"/>
        <w:gridCol w:w="146"/>
        <w:gridCol w:w="742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2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vAlign w:val="center"/>
          </w:tcPr>
          <w:p>
            <w:pPr>
              <w:pStyle w:val="TableContents"/>
              <w:bidi w:val="0"/>
              <w:spacing w:before="0" w:after="283"/>
              <w:jc w:val="left"/>
              <w:rPr/>
            </w:pPr>
            <w:r>
              <w:rPr/>
              <w:t> </w:t>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7, 2024</w:t>
            </w:r>
          </w:p>
        </w:tc>
        <w:tc>
          <w:tcPr>
            <w:tcW w:w="7572"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Greg Greifeld</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 Greifeld</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Acting Chief Executive Officer</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vAlign w:val="center"/>
          </w:tcPr>
          <w:p>
            <w:pPr>
              <w:pStyle w:val="TableContents"/>
              <w:bidi w:val="0"/>
              <w:spacing w:before="0" w:after="283"/>
              <w:jc w:val="left"/>
              <w:rPr/>
            </w:pPr>
            <w:r>
              <w:rPr/>
              <w:t> </w:t>
            </w:r>
          </w:p>
        </w:tc>
      </w:tr>
      <w:tr>
        <w:trPr/>
        <w:tc>
          <w:tcPr>
            <w:tcW w:w="1786" w:type="dxa"/>
            <w:tcBorders/>
            <w:vAlign w:val="center"/>
          </w:tcPr>
          <w:p>
            <w:pPr>
              <w:pStyle w:val="TableContents"/>
              <w:bidi w:val="0"/>
              <w:spacing w:before="0" w:after="283"/>
              <w:jc w:val="left"/>
              <w:rPr/>
            </w:pPr>
            <w:r>
              <w:rPr/>
              <w:t> </w:t>
            </w:r>
          </w:p>
        </w:tc>
        <w:tc>
          <w:tcPr>
            <w:tcW w:w="7572" w:type="dxa"/>
            <w:gridSpan w:val="2"/>
            <w:tcBorders/>
            <w:vAlign w:val="center"/>
          </w:tcPr>
          <w:p>
            <w:pPr>
              <w:pStyle w:val="TableContents"/>
              <w:bidi w:val="0"/>
              <w:spacing w:before="0" w:after="283"/>
              <w:jc w:val="left"/>
              <w:rPr/>
            </w:pPr>
            <w:r>
              <w:rPr/>
              <w:t> </w:t>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7, 2024</w:t>
            </w:r>
          </w:p>
        </w:tc>
        <w:tc>
          <w:tcPr>
            <w:tcW w:w="7572"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B. Raterman</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B. Raterman</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Acting President, Chief Financial Officer, Chief Operating Officer, Treasurer and Secretary</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r>
        <w:trPr/>
        <w:tc>
          <w:tcPr>
            <w:tcW w:w="1786" w:type="dxa"/>
            <w:tcBorders/>
            <w:vAlign w:val="center"/>
          </w:tcPr>
          <w:p>
            <w:pPr>
              <w:pStyle w:val="TableContents"/>
              <w:bidi w:val="0"/>
              <w:spacing w:before="0" w:after="283"/>
              <w:jc w:val="left"/>
              <w:rPr/>
            </w:pPr>
            <w:r>
              <w:rPr/>
              <w:t> </w:t>
            </w:r>
          </w:p>
        </w:tc>
        <w:tc>
          <w:tcPr>
            <w:tcW w:w="7572" w:type="dxa"/>
            <w:gridSpan w:val="2"/>
            <w:tcBorders/>
            <w:vAlign w:val="center"/>
          </w:tcPr>
          <w:p>
            <w:pPr>
              <w:pStyle w:val="TableContents"/>
              <w:bidi w:val="0"/>
              <w:spacing w:before="0" w:after="283"/>
              <w:jc w:val="left"/>
              <w:rPr/>
            </w:pPr>
            <w:r>
              <w:rPr/>
              <w:t> </w:t>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7, 2024</w:t>
            </w:r>
          </w:p>
        </w:tc>
        <w:tc>
          <w:tcPr>
            <w:tcW w:w="7572"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Gary Kovacs</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Gary Kovacs</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786" w:type="dxa"/>
            <w:tcBorders/>
            <w:vAlign w:val="center"/>
          </w:tcPr>
          <w:p>
            <w:pPr>
              <w:pStyle w:val="TableContents"/>
              <w:bidi w:val="0"/>
              <w:spacing w:before="0" w:after="283"/>
              <w:jc w:val="left"/>
              <w:rPr/>
            </w:pPr>
            <w:r>
              <w:rPr/>
              <w:t> </w:t>
            </w:r>
          </w:p>
        </w:tc>
        <w:tc>
          <w:tcPr>
            <w:tcW w:w="7572" w:type="dxa"/>
            <w:gridSpan w:val="2"/>
            <w:tcBorders/>
            <w:vAlign w:val="center"/>
          </w:tcPr>
          <w:p>
            <w:pPr>
              <w:pStyle w:val="TableContents"/>
              <w:bidi w:val="0"/>
              <w:spacing w:before="0" w:after="283"/>
              <w:jc w:val="left"/>
              <w:rPr/>
            </w:pPr>
            <w:r>
              <w:rPr/>
              <w:t> </w:t>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7, 2024</w:t>
            </w:r>
          </w:p>
        </w:tc>
        <w:tc>
          <w:tcPr>
            <w:tcW w:w="7572"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Gregory M. Share</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M. Share</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786" w:type="dxa"/>
            <w:tcBorders/>
            <w:vAlign w:val="center"/>
          </w:tcPr>
          <w:p>
            <w:pPr>
              <w:pStyle w:val="TableContents"/>
              <w:bidi w:val="0"/>
              <w:spacing w:before="0" w:after="283"/>
              <w:jc w:val="left"/>
              <w:rPr/>
            </w:pPr>
            <w:r>
              <w:rPr/>
              <w:t> </w:t>
            </w:r>
          </w:p>
        </w:tc>
        <w:tc>
          <w:tcPr>
            <w:tcW w:w="7572" w:type="dxa"/>
            <w:gridSpan w:val="2"/>
            <w:tcBorders/>
            <w:vAlign w:val="center"/>
          </w:tcPr>
          <w:p>
            <w:pPr>
              <w:pStyle w:val="TableContents"/>
              <w:bidi w:val="0"/>
              <w:spacing w:before="0" w:after="283"/>
              <w:jc w:val="left"/>
              <w:rPr/>
            </w:pPr>
            <w:r>
              <w:rPr/>
              <w:t> </w:t>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7, 2024</w:t>
            </w:r>
          </w:p>
        </w:tc>
        <w:tc>
          <w:tcPr>
            <w:tcW w:w="7572"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Julie Persily</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Julie Persily</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786" w:type="dxa"/>
            <w:tcBorders/>
            <w:vAlign w:val="center"/>
          </w:tcPr>
          <w:p>
            <w:pPr>
              <w:pStyle w:val="TableContents"/>
              <w:bidi w:val="0"/>
              <w:spacing w:before="0" w:after="283"/>
              <w:jc w:val="left"/>
              <w:rPr/>
            </w:pPr>
            <w:r>
              <w:rPr/>
              <w:t> </w:t>
            </w:r>
          </w:p>
        </w:tc>
        <w:tc>
          <w:tcPr>
            <w:tcW w:w="7572" w:type="dxa"/>
            <w:gridSpan w:val="2"/>
            <w:tcBorders/>
            <w:vAlign w:val="center"/>
          </w:tcPr>
          <w:p>
            <w:pPr>
              <w:pStyle w:val="TableContents"/>
              <w:bidi w:val="0"/>
              <w:spacing w:before="0" w:after="283"/>
              <w:jc w:val="left"/>
              <w:rPr/>
            </w:pPr>
            <w:r>
              <w:rPr/>
              <w:t> </w:t>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7, 2024</w:t>
            </w:r>
          </w:p>
        </w:tc>
        <w:tc>
          <w:tcPr>
            <w:tcW w:w="7572"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F. Engel</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F. Engel</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231F20"/>
          <w:sz w:val="16"/>
        </w:rPr>
      </w:pPr>
      <w:bookmarkStart w:id="37" w:name="rway-ex23_1.htm"/>
      <w:bookmarkStart w:id="38" w:name="ksrwayex23_1"/>
      <w:bookmarkEnd w:id="37"/>
      <w:bookmarkEnd w:id="38"/>
      <w:r>
        <w:rPr>
          <w:rFonts w:ascii="Times New Roman" w:hAnsi="Times New Roman"/>
          <w:b/>
          <w:color w:val="231F20"/>
          <w:sz w:val="16"/>
        </w:rPr>
        <w:t>Exhibit 23.1</w:t>
      </w:r>
      <w:r>
        <w:br w:type="page"/>
      </w:r>
    </w:p>
    <w:p>
      <w:pPr>
        <w:pStyle w:val="TextBody"/>
        <w:bidi w:val="0"/>
        <w:jc w:val="left"/>
        <w:rPr/>
      </w:pPr>
      <w:r>
        <w:rPr/>
        <w:t> </w:t>
      </w:r>
    </w:p>
    <w:p>
      <w:pPr>
        <w:pStyle w:val="TextBody"/>
        <w:bidi w:val="0"/>
        <w:jc w:val="center"/>
        <w:rPr>
          <w:rFonts w:ascii="Times New Roman" w:hAnsi="Times New Roman"/>
          <w:b/>
          <w:caps/>
          <w:color w:val="231F20"/>
          <w:sz w:val="16"/>
        </w:rPr>
      </w:pPr>
      <w:r>
        <w:rPr>
          <w:rFonts w:ascii="Times New Roman" w:hAnsi="Times New Roman"/>
          <w:b/>
          <w:caps/>
          <w:color w:val="231F20"/>
          <w:sz w:val="16"/>
        </w:rPr>
        <w:t>Consent of Independent Registered Public Accounting Firm</w:t>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231F20"/>
          <w:sz w:val="16"/>
        </w:rPr>
        <w:t>We consent to the incorporation by reference in the Registration Statement on Form N-2 of Runway Growth Finance Corp. of our report dated March 7, 2024, relating to the consolidated financial statements, including the senior securities table, of Runway Growth Finance Corp., appearing in the Annual Report on Form 10-K of Runway Growth Finance Corp. for the year ended December 31, 2023.</w:t>
      </w:r>
      <w:r>
        <w:rPr>
          <w:rFonts w:ascii="Times New Roman" w:hAnsi="Times New Roman"/>
          <w:color w:val="231F20"/>
          <w:sz w:val="20"/>
        </w:rPr>
        <w:t xml:space="preserve"> </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/s/ RSM US LLP</w:t>
      </w:r>
    </w:p>
    <w:p>
      <w:pPr>
        <w:pStyle w:val="TextBody"/>
        <w:bidi w:val="0"/>
        <w:jc w:val="both"/>
        <w:rPr>
          <w:rFonts w:ascii="Times New Roman" w:hAnsi="Times New Roman"/>
          <w:color w:val="231F20"/>
          <w:sz w:val="16"/>
        </w:rPr>
      </w:pPr>
      <w:r>
        <w:rPr>
          <w:rFonts w:ascii="Times New Roman" w:hAnsi="Times New Roman"/>
          <w:color w:val="231F20"/>
          <w:sz w:val="16"/>
        </w:rPr>
        <w:t>Chicago, Illinois</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March 7, 2024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231F20"/>
          <w:sz w:val="16"/>
        </w:rPr>
      </w:pPr>
      <w:bookmarkStart w:id="39" w:name="rway-ex31_1.htm"/>
      <w:bookmarkStart w:id="40" w:name="ksrwayex31_1"/>
      <w:bookmarkEnd w:id="39"/>
      <w:bookmarkEnd w:id="40"/>
      <w:r>
        <w:rPr>
          <w:rFonts w:ascii="Times New Roman" w:hAnsi="Times New Roman"/>
          <w:b/>
          <w:color w:val="231F20"/>
          <w:sz w:val="16"/>
        </w:rPr>
        <w:t>Exhibit 31.1</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231F20"/>
          <w:sz w:val="16"/>
        </w:rPr>
        <w:t>Certification of Chief Executive Officer</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Times New Roman" w:hAnsi="Times New Roman"/>
          <w:b/>
          <w:caps/>
          <w:color w:val="231F20"/>
          <w:sz w:val="16"/>
        </w:rPr>
        <w:t>pursuant to Rule 13a-14 under the Exchange Act of 1934, as adopted</w:t>
      </w:r>
      <w:r>
        <w:rPr>
          <w:rFonts w:ascii="Times New Roman" w:hAnsi="Times New Roman"/>
          <w:caps/>
          <w:color w:val="231F20"/>
          <w:sz w:val="20"/>
        </w:rPr>
        <w:t xml:space="preserve"> </w:t>
      </w:r>
    </w:p>
    <w:p>
      <w:pPr>
        <w:pStyle w:val="TextBody"/>
        <w:bidi w:val="0"/>
        <w:jc w:val="center"/>
        <w:rPr>
          <w:rFonts w:ascii="Times New Roman" w:hAnsi="Times New Roman"/>
          <w:b/>
          <w:caps/>
          <w:color w:val="231F20"/>
          <w:sz w:val="16"/>
        </w:rPr>
      </w:pPr>
      <w:r>
        <w:rPr>
          <w:rFonts w:ascii="Times New Roman" w:hAnsi="Times New Roman"/>
          <w:b/>
          <w:caps/>
          <w:color w:val="231F20"/>
          <w:sz w:val="16"/>
        </w:rPr>
        <w:t>pursuant to Section 302 of the Sarbanes-Oxley Act of 2002</w:t>
      </w:r>
    </w:p>
    <w:p>
      <w:pPr>
        <w:pStyle w:val="TextBody"/>
        <w:bidi w:val="0"/>
        <w:jc w:val="left"/>
        <w:rPr/>
      </w:pPr>
      <w:r>
        <w:rPr/>
        <w:t> </w:t>
      </w:r>
    </w:p>
    <w:p>
      <w:pPr>
        <w:pStyle w:val="TextBody"/>
        <w:bidi w:val="0"/>
        <w:spacing w:before="0" w:after="200"/>
        <w:jc w:val="left"/>
        <w:rPr>
          <w:rFonts w:ascii="Times New Roman" w:hAnsi="Times New Roman"/>
          <w:color w:val="231F20"/>
          <w:sz w:val="16"/>
        </w:rPr>
      </w:pPr>
      <w:r>
        <w:rPr>
          <w:rFonts w:ascii="Times New Roman" w:hAnsi="Times New Roman"/>
          <w:color w:val="231F20"/>
          <w:sz w:val="16"/>
        </w:rPr>
        <w:t>I, Greg Greifeld, as Acting Chief Executive Officer, certify that:</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1. I have reviewed this annual report on Form 10-K of Runway Growth Finance Corp.;</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4. 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(c) 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rFonts w:ascii="Times New Roman" w:hAnsi="Times New Roman"/>
          <w:color w:val="231F20"/>
          <w:sz w:val="16"/>
        </w:rPr>
      </w:pPr>
      <w:r>
        <w:rPr>
          <w:rFonts w:ascii="Times New Roman" w:hAnsi="Times New Roman"/>
          <w:color w:val="231F20"/>
          <w:sz w:val="16"/>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Date: March 7, 2024</w:t>
      </w:r>
    </w:p>
    <w:p>
      <w:pPr>
        <w:pStyle w:val="TextBody"/>
        <w:bidi w:val="0"/>
        <w:jc w:val="left"/>
        <w:rPr/>
      </w:pPr>
      <w:r>
        <w:rPr/>
        <w:t> </w:t>
      </w:r>
    </w:p>
    <w:tbl>
      <w:tblPr>
        <w:tblW w:w="2472" w:type="dxa"/>
        <w:jc w:val="left"/>
        <w:tblInd w:w="0" w:type="dxa"/>
        <w:tblLayout w:type="fixed"/>
        <w:tblCellMar>
          <w:top w:w="28" w:type="dxa"/>
          <w:left w:w="28" w:type="dxa"/>
          <w:bottom w:w="28" w:type="dxa"/>
          <w:right w:w="28" w:type="dxa"/>
        </w:tblCellMar>
      </w:tblPr>
      <w:tblGrid>
        <w:gridCol w:w="161"/>
        <w:gridCol w:w="2311"/>
      </w:tblGrid>
      <w:tr>
        <w:trPr/>
        <w:tc>
          <w:tcPr>
            <w:tcW w:w="16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3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/s/ Greg Greifeld</w:t>
            </w:r>
          </w:p>
        </w:tc>
      </w:tr>
      <w:tr>
        <w:trPr/>
        <w:tc>
          <w:tcPr>
            <w:tcW w:w="161"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Greg Greifeld</w:t>
            </w:r>
          </w:p>
        </w:tc>
      </w:tr>
      <w:tr>
        <w:trPr/>
        <w:tc>
          <w:tcPr>
            <w:tcW w:w="161"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Acting Chief Executive Officer</w:t>
            </w:r>
          </w:p>
        </w:tc>
      </w:tr>
      <w:tr>
        <w:trPr/>
        <w:tc>
          <w:tcPr>
            <w:tcW w:w="161"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i/>
                <w:color w:val="231F20"/>
                <w:sz w:val="16"/>
              </w:rPr>
            </w:pPr>
            <w:r>
              <w:rPr>
                <w:rFonts w:ascii="Times New Roman" w:hAnsi="Times New Roman"/>
                <w:i/>
                <w:color w:val="231F20"/>
                <w:sz w:val="16"/>
              </w:rPr>
              <w:t>(Principal Executive Officer)</w:t>
            </w:r>
          </w:p>
        </w:tc>
      </w:tr>
      <w:tr>
        <w:trPr/>
        <w:tc>
          <w:tcPr>
            <w:tcW w:w="161"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Runway Growth Finance Corp.</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231F20"/>
          <w:sz w:val="16"/>
        </w:rPr>
      </w:pPr>
      <w:bookmarkStart w:id="41" w:name="rway-ex31_2.htm"/>
      <w:bookmarkStart w:id="42" w:name="ksrwayex31_2"/>
      <w:bookmarkEnd w:id="41"/>
      <w:bookmarkEnd w:id="42"/>
      <w:r>
        <w:rPr>
          <w:rFonts w:ascii="Times New Roman" w:hAnsi="Times New Roman"/>
          <w:b/>
          <w:color w:val="231F20"/>
          <w:sz w:val="16"/>
        </w:rPr>
        <w:t>Exhibit 31.2</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231F20"/>
          <w:sz w:val="16"/>
        </w:rPr>
        <w:t>Certification of Chief FINANCIAL Officer</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Times New Roman" w:hAnsi="Times New Roman"/>
          <w:b/>
          <w:caps/>
          <w:color w:val="231F20"/>
          <w:sz w:val="16"/>
        </w:rPr>
        <w:t>pursuant to Rule 13a-14 under the Exchange Act of 1934, as adopted</w:t>
      </w:r>
      <w:r>
        <w:rPr>
          <w:rFonts w:ascii="Times New Roman" w:hAnsi="Times New Roman"/>
          <w:caps/>
          <w:color w:val="231F20"/>
          <w:sz w:val="20"/>
        </w:rPr>
        <w:t xml:space="preserve"> </w:t>
      </w:r>
    </w:p>
    <w:p>
      <w:pPr>
        <w:pStyle w:val="TextBody"/>
        <w:bidi w:val="0"/>
        <w:jc w:val="center"/>
        <w:rPr>
          <w:rFonts w:ascii="Times New Roman" w:hAnsi="Times New Roman"/>
          <w:b/>
          <w:caps/>
          <w:color w:val="231F20"/>
          <w:sz w:val="16"/>
        </w:rPr>
      </w:pPr>
      <w:r>
        <w:rPr>
          <w:rFonts w:ascii="Times New Roman" w:hAnsi="Times New Roman"/>
          <w:b/>
          <w:caps/>
          <w:color w:val="231F20"/>
          <w:sz w:val="16"/>
        </w:rPr>
        <w:t>pursuant to Section 302 of the Sarbanes-Oxley Act of 2002</w:t>
      </w:r>
    </w:p>
    <w:p>
      <w:pPr>
        <w:pStyle w:val="TextBody"/>
        <w:bidi w:val="0"/>
        <w:jc w:val="left"/>
        <w:rPr/>
      </w:pPr>
      <w:r>
        <w:rPr/>
        <w:t> </w:t>
      </w:r>
    </w:p>
    <w:p>
      <w:pPr>
        <w:pStyle w:val="TextBody"/>
        <w:bidi w:val="0"/>
        <w:spacing w:before="0" w:after="200"/>
        <w:jc w:val="left"/>
        <w:rPr>
          <w:rFonts w:ascii="Times New Roman" w:hAnsi="Times New Roman"/>
          <w:color w:val="231F20"/>
          <w:sz w:val="16"/>
        </w:rPr>
      </w:pPr>
      <w:r>
        <w:rPr>
          <w:rFonts w:ascii="Times New Roman" w:hAnsi="Times New Roman"/>
          <w:color w:val="231F20"/>
          <w:sz w:val="16"/>
        </w:rPr>
        <w:t>I, Thomas B. Raterman, as Chief Financial Officer, certify that:</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1. I have reviewed this annual report on Form 10-K of Runway Growth Finance Corp.;</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4. 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(c) 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rFonts w:ascii="Times New Roman" w:hAnsi="Times New Roman"/>
          <w:color w:val="231F20"/>
          <w:sz w:val="16"/>
        </w:rPr>
      </w:pPr>
      <w:r>
        <w:rPr>
          <w:rFonts w:ascii="Times New Roman" w:hAnsi="Times New Roman"/>
          <w:color w:val="231F20"/>
          <w:sz w:val="16"/>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231F20"/>
          <w:sz w:val="16"/>
        </w:rPr>
      </w:pPr>
      <w:r>
        <w:rPr>
          <w:rFonts w:ascii="Times New Roman" w:hAnsi="Times New Roman"/>
          <w:color w:val="231F20"/>
          <w:sz w:val="16"/>
        </w:rPr>
        <w:t>Date: March 7, 2024</w:t>
      </w:r>
    </w:p>
    <w:p>
      <w:pPr>
        <w:pStyle w:val="TextBody"/>
        <w:bidi w:val="0"/>
        <w:jc w:val="left"/>
        <w:rPr/>
      </w:pPr>
      <w:r>
        <w:rPr/>
        <w:t> </w:t>
      </w:r>
    </w:p>
    <w:tbl>
      <w:tblPr>
        <w:tblW w:w="2472" w:type="dxa"/>
        <w:jc w:val="left"/>
        <w:tblInd w:w="0" w:type="dxa"/>
        <w:tblLayout w:type="fixed"/>
        <w:tblCellMar>
          <w:top w:w="28" w:type="dxa"/>
          <w:left w:w="28" w:type="dxa"/>
          <w:bottom w:w="28" w:type="dxa"/>
          <w:right w:w="28" w:type="dxa"/>
        </w:tblCellMar>
      </w:tblPr>
      <w:tblGrid>
        <w:gridCol w:w="161"/>
        <w:gridCol w:w="2311"/>
      </w:tblGrid>
      <w:tr>
        <w:trPr/>
        <w:tc>
          <w:tcPr>
            <w:tcW w:w="16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3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/s/ Thomas B. Raterman</w:t>
            </w:r>
          </w:p>
        </w:tc>
      </w:tr>
      <w:tr>
        <w:trPr/>
        <w:tc>
          <w:tcPr>
            <w:tcW w:w="161"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Thomas B. Raterman</w:t>
            </w:r>
          </w:p>
        </w:tc>
      </w:tr>
      <w:tr>
        <w:trPr/>
        <w:tc>
          <w:tcPr>
            <w:tcW w:w="161"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Chief Financial Officer</w:t>
            </w:r>
          </w:p>
        </w:tc>
      </w:tr>
      <w:tr>
        <w:trPr/>
        <w:tc>
          <w:tcPr>
            <w:tcW w:w="161"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i/>
                <w:color w:val="231F20"/>
                <w:sz w:val="16"/>
              </w:rPr>
            </w:pPr>
            <w:r>
              <w:rPr>
                <w:rFonts w:ascii="Times New Roman" w:hAnsi="Times New Roman"/>
                <w:i/>
                <w:color w:val="231F20"/>
                <w:sz w:val="16"/>
              </w:rPr>
              <w:t>(Principal Financial Officer)</w:t>
            </w:r>
          </w:p>
        </w:tc>
      </w:tr>
      <w:tr>
        <w:trPr/>
        <w:tc>
          <w:tcPr>
            <w:tcW w:w="161"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Runway Growth Finance Corp.</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231F20"/>
          <w:sz w:val="16"/>
        </w:rPr>
      </w:pPr>
      <w:bookmarkStart w:id="43" w:name="rway-ex32_1.htm"/>
      <w:bookmarkStart w:id="44" w:name="ksrwayex32_1"/>
      <w:bookmarkEnd w:id="43"/>
      <w:bookmarkEnd w:id="44"/>
      <w:r>
        <w:rPr>
          <w:rFonts w:ascii="Times New Roman" w:hAnsi="Times New Roman"/>
          <w:b/>
          <w:color w:val="231F20"/>
          <w:sz w:val="16"/>
        </w:rPr>
        <w:t>Exhibit 32.1</w:t>
      </w:r>
      <w:r>
        <w:br w:type="page"/>
      </w:r>
    </w:p>
    <w:p>
      <w:pPr>
        <w:pStyle w:val="TextBody"/>
        <w:bidi w:val="0"/>
        <w:jc w:val="left"/>
        <w:rPr/>
      </w:pPr>
      <w:r>
        <w:rPr/>
        <w:t> </w:t>
      </w:r>
    </w:p>
    <w:p>
      <w:pPr>
        <w:pStyle w:val="TextBody"/>
        <w:bidi w:val="0"/>
        <w:spacing w:before="0" w:after="200"/>
        <w:jc w:val="center"/>
        <w:rPr>
          <w:rFonts w:ascii="Times New Roman" w:hAnsi="Times New Roman"/>
          <w:b/>
          <w:caps/>
          <w:color w:val="231F20"/>
          <w:sz w:val="16"/>
        </w:rPr>
      </w:pPr>
      <w:r>
        <w:rPr>
          <w:rFonts w:ascii="Times New Roman" w:hAnsi="Times New Roman"/>
          <w:b/>
          <w:caps/>
          <w:color w:val="231F20"/>
          <w:sz w:val="16"/>
        </w:rPr>
        <w:t>Certification of Chief Executive Officer</w:t>
        <w:br/>
        <w:t>Pursuant to 18 U.S.C. SECTION 1350, AS ADOPTED</w:t>
        <w:br/>
        <w:t>Pursuant to Section 906 of the Sarbanes-Oxley Act of 2002</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I, Greg Greifeld, the Acting Chief Executive Officer, in connection with the Annual Report of Runway Growth Finance Corp. (the “Company”), on Form 10-K for the year ended December 31, 2023, as filed with the U.S. Securities and Exchange Commission on the date hereof (the “Annual Report”), certify, pursuant to Section 906 of the Sarbanes-Oxley Act of 2002, that:</w:t>
      </w:r>
    </w:p>
    <w:p>
      <w:pPr>
        <w:pStyle w:val="TextBody"/>
        <w:bidi w:val="0"/>
        <w:spacing w:before="0" w:after="200"/>
        <w:jc w:val="left"/>
        <w:rPr>
          <w:rFonts w:ascii="Times New Roman" w:hAnsi="Times New Roman"/>
          <w:color w:val="231F20"/>
          <w:sz w:val="16"/>
        </w:rPr>
      </w:pPr>
      <w:r>
        <w:rPr>
          <w:rFonts w:ascii="Times New Roman" w:hAnsi="Times New Roman"/>
          <w:color w:val="231F20"/>
          <w:sz w:val="16"/>
        </w:rPr>
        <w:t>(1) the Annual Report fully complies with the requirements of Section 13(a) or 15(d) of the Securities Exchange Act of 1934, as amended; and</w:t>
      </w:r>
    </w:p>
    <w:p>
      <w:pPr>
        <w:pStyle w:val="TextBody"/>
        <w:bidi w:val="0"/>
        <w:jc w:val="left"/>
        <w:rPr>
          <w:rFonts w:ascii="Times New Roman" w:hAnsi="Times New Roman"/>
          <w:color w:val="231F20"/>
          <w:sz w:val="16"/>
        </w:rPr>
      </w:pPr>
      <w:r>
        <w:rPr>
          <w:rFonts w:ascii="Times New Roman" w:hAnsi="Times New Roman"/>
          <w:color w:val="231F20"/>
          <w:sz w:val="16"/>
        </w:rPr>
        <w:t>(2) the information contained in the Annual Report fairly presents, in all material respects, the financial condition and results of operations of the Company.</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Date: March 7, 2024</w:t>
      </w:r>
    </w:p>
    <w:p>
      <w:pPr>
        <w:pStyle w:val="TextBody"/>
        <w:bidi w:val="0"/>
        <w:jc w:val="left"/>
        <w:rPr/>
      </w:pPr>
      <w:r>
        <w:rPr/>
        <w:t> </w:t>
      </w:r>
    </w:p>
    <w:tbl>
      <w:tblPr>
        <w:tblW w:w="2618" w:type="dxa"/>
        <w:jc w:val="left"/>
        <w:tblInd w:w="0" w:type="dxa"/>
        <w:tblLayout w:type="fixed"/>
        <w:tblCellMar>
          <w:top w:w="28" w:type="dxa"/>
          <w:left w:w="28" w:type="dxa"/>
          <w:bottom w:w="28" w:type="dxa"/>
          <w:right w:w="28" w:type="dxa"/>
        </w:tblCellMar>
      </w:tblPr>
      <w:tblGrid>
        <w:gridCol w:w="161"/>
        <w:gridCol w:w="226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26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45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Greg Greifeld</w:t>
            </w:r>
          </w:p>
        </w:tc>
      </w:tr>
      <w:tr>
        <w:trPr/>
        <w:tc>
          <w:tcPr>
            <w:tcW w:w="161" w:type="dxa"/>
            <w:tcBorders/>
            <w:vAlign w:val="center"/>
          </w:tcPr>
          <w:p>
            <w:pPr>
              <w:pStyle w:val="TableContents"/>
              <w:bidi w:val="0"/>
              <w:spacing w:before="0" w:after="283"/>
              <w:jc w:val="left"/>
              <w:rPr/>
            </w:pPr>
            <w:r>
              <w:rPr/>
              <w:t> </w:t>
            </w:r>
          </w:p>
        </w:tc>
        <w:tc>
          <w:tcPr>
            <w:tcW w:w="2266" w:type="dxa"/>
            <w:tcBorders/>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Greg Greifeld</w:t>
            </w:r>
          </w:p>
        </w:tc>
        <w:tc>
          <w:tcPr>
            <w:tcW w:w="19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2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Acting Chief Executive Officer</w:t>
            </w:r>
          </w:p>
        </w:tc>
        <w:tc>
          <w:tcPr>
            <w:tcW w:w="19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266" w:type="dxa"/>
            <w:tcBorders/>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(Principal Executive Officer)</w:t>
            </w:r>
          </w:p>
        </w:tc>
        <w:tc>
          <w:tcPr>
            <w:tcW w:w="19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2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 Growth Finance Corp.</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231F20"/>
          <w:sz w:val="16"/>
        </w:rPr>
      </w:pPr>
      <w:bookmarkStart w:id="45" w:name="rway-ex32_2.htm"/>
      <w:bookmarkStart w:id="46" w:name="ksrwayex32_2"/>
      <w:bookmarkEnd w:id="45"/>
      <w:bookmarkEnd w:id="46"/>
      <w:r>
        <w:rPr>
          <w:rFonts w:ascii="Times New Roman" w:hAnsi="Times New Roman"/>
          <w:b/>
          <w:color w:val="231F20"/>
          <w:sz w:val="16"/>
        </w:rPr>
        <w:t>Exhibit 32.2</w:t>
      </w:r>
      <w:r>
        <w:br w:type="page"/>
      </w:r>
    </w:p>
    <w:p>
      <w:pPr>
        <w:pStyle w:val="TextBody"/>
        <w:bidi w:val="0"/>
        <w:jc w:val="left"/>
        <w:rPr/>
      </w:pPr>
      <w:r>
        <w:rPr/>
        <w:t> </w:t>
      </w:r>
    </w:p>
    <w:p>
      <w:pPr>
        <w:pStyle w:val="TextBody"/>
        <w:bidi w:val="0"/>
        <w:spacing w:before="0" w:after="200"/>
        <w:jc w:val="center"/>
        <w:rPr>
          <w:rFonts w:ascii="Times New Roman" w:hAnsi="Times New Roman"/>
          <w:b/>
          <w:caps/>
          <w:color w:val="231F20"/>
          <w:sz w:val="16"/>
        </w:rPr>
      </w:pPr>
      <w:r>
        <w:rPr>
          <w:rFonts w:ascii="Times New Roman" w:hAnsi="Times New Roman"/>
          <w:b/>
          <w:caps/>
          <w:color w:val="231F20"/>
          <w:sz w:val="16"/>
        </w:rPr>
        <w:t>Certification of Chief FINANCIAL Officer</w:t>
        <w:br/>
        <w:t>Pursuant to 18 U.S.C. SECTION 1350, AS ADOPTED</w:t>
        <w:br/>
        <w:t>Pursuant to Section 906 of the Sarbanes-Oxley Act of 2002</w:t>
      </w:r>
    </w:p>
    <w:p>
      <w:pPr>
        <w:pStyle w:val="TextBody"/>
        <w:bidi w:val="0"/>
        <w:jc w:val="both"/>
        <w:rPr>
          <w:rFonts w:ascii="Times New Roman" w:hAnsi="Times New Roman"/>
          <w:color w:val="231F20"/>
          <w:sz w:val="16"/>
        </w:rPr>
      </w:pPr>
      <w:r>
        <w:rPr>
          <w:rFonts w:ascii="Times New Roman" w:hAnsi="Times New Roman"/>
          <w:color w:val="231F20"/>
          <w:sz w:val="16"/>
        </w:rPr>
        <w:t>I, Thomas B. Raterman, the Chief Financial Officer, in connection with the Annual Report of Runway Growth Finance Corp. (the “Company”), on Form 10-K for the year ended December 31, 2023, as filed with the U.S. Securities and Exchange Commission on the date hereof (the “Annual Report”), certify, pursuant to Section 906 of the Sarbanes-Oxley Act of 2002, that:</w:t>
      </w:r>
    </w:p>
    <w:p>
      <w:pPr>
        <w:pStyle w:val="TextBody"/>
        <w:bidi w:val="0"/>
        <w:jc w:val="left"/>
        <w:rPr>
          <w:rFonts w:ascii="Times New Roman" w:hAnsi="Times New Roman"/>
          <w:color w:val="231F20"/>
          <w:sz w:val="16"/>
        </w:rPr>
      </w:pPr>
      <w:r>
        <w:rPr>
          <w:rFonts w:ascii="Times New Roman" w:hAnsi="Times New Roman"/>
          <w:color w:val="231F20"/>
          <w:sz w:val="16"/>
        </w:rPr>
        <w:t>(1) the Annual Report fully complies with the requirements of Section 13(a) or 15(d) of the Securities Exchange Act of 1934, as amended; and</w:t>
      </w:r>
    </w:p>
    <w:p>
      <w:pPr>
        <w:pStyle w:val="TextBody"/>
        <w:bidi w:val="0"/>
        <w:jc w:val="left"/>
        <w:rPr>
          <w:rFonts w:ascii="Times New Roman" w:hAnsi="Times New Roman"/>
          <w:color w:val="231F20"/>
          <w:sz w:val="16"/>
        </w:rPr>
      </w:pPr>
      <w:r>
        <w:rPr>
          <w:rFonts w:ascii="Times New Roman" w:hAnsi="Times New Roman"/>
          <w:color w:val="231F20"/>
          <w:sz w:val="16"/>
        </w:rPr>
        <w:t>(2) the information contained in the Annual Report fairly presents, in all material respects, the financial condition and results of operations of the Company.</w:t>
      </w:r>
    </w:p>
    <w:p>
      <w:pPr>
        <w:pStyle w:val="TextBody"/>
        <w:bidi w:val="0"/>
        <w:jc w:val="left"/>
        <w:rPr>
          <w:rFonts w:ascii="Times New Roman" w:hAnsi="Times New Roman"/>
          <w:color w:val="000000"/>
          <w:sz w:val="16"/>
        </w:rPr>
      </w:pPr>
      <w:r>
        <w:rPr>
          <w:rFonts w:ascii="Times New Roman" w:hAnsi="Times New Roman"/>
          <w:color w:val="000000"/>
          <w:sz w:val="16"/>
        </w:rPr>
        <w:t>Date: March 7, 2024</w:t>
      </w:r>
    </w:p>
    <w:tbl>
      <w:tblPr>
        <w:tblW w:w="2544" w:type="dxa"/>
        <w:jc w:val="left"/>
        <w:tblInd w:w="0" w:type="dxa"/>
        <w:tblLayout w:type="fixed"/>
        <w:tblCellMar>
          <w:top w:w="28" w:type="dxa"/>
          <w:left w:w="28" w:type="dxa"/>
          <w:bottom w:w="28" w:type="dxa"/>
          <w:right w:w="28" w:type="dxa"/>
        </w:tblCellMar>
      </w:tblPr>
      <w:tblGrid>
        <w:gridCol w:w="124"/>
        <w:gridCol w:w="22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42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/s/ </w:t>
            </w:r>
            <w:r>
              <w:rPr>
                <w:rFonts w:ascii="Times New Roman" w:hAnsi="Times New Roman"/>
                <w:color w:val="231F20"/>
                <w:sz w:val="16"/>
              </w:rPr>
              <w:t>Thomas B. Raterman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Thomas B. Raterman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(Principal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 Growth Finance Corp.</w:t>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53384/000114420416140270/v454968_ex3-1.htm" TargetMode="External"/><Relationship Id="rId4" Type="http://schemas.openxmlformats.org/officeDocument/2006/relationships/hyperlink" Target="https://www.sec.gov/Archives/edgar/data/1653384/000114420416140270/v454968_ex3-1.htm" TargetMode="External"/><Relationship Id="rId5" Type="http://schemas.openxmlformats.org/officeDocument/2006/relationships/hyperlink" Target="https://www.sec.gov/Archives/edgar/data/1653384/000114420416140270/v454968_ex3-1.htm" TargetMode="External"/><Relationship Id="rId6" Type="http://schemas.openxmlformats.org/officeDocument/2006/relationships/hyperlink" Target="https://www.sec.gov/Archives/edgar/data/1653384/000165338421000016/rgc-20210819ex31cb84ffa.htm" TargetMode="External"/><Relationship Id="rId7" Type="http://schemas.openxmlformats.org/officeDocument/2006/relationships/hyperlink" Target="https://www.sec.gov/Archives/edgar/data/1653384/000165338421000016/rgc-20210819ex31cb84ffa.htm" TargetMode="External"/><Relationship Id="rId8" Type="http://schemas.openxmlformats.org/officeDocument/2006/relationships/hyperlink" Target="https://www.sec.gov/Archives/edgar/data/1653384/000165338421000016/rgc-20210819ex31cb84ffa.htm" TargetMode="External"/><Relationship Id="rId9" Type="http://schemas.openxmlformats.org/officeDocument/2006/relationships/hyperlink" Target="https://www.sec.gov/Archives/edgar/data/1653384/000165338421000016/rgc-20210819ex32804659c.htm" TargetMode="External"/><Relationship Id="rId10" Type="http://schemas.openxmlformats.org/officeDocument/2006/relationships/hyperlink" Target="https://www.sec.gov/Archives/edgar/data/1653384/000165338421000016/rgc-20210819ex32804659c.htm" TargetMode="External"/><Relationship Id="rId11" Type="http://schemas.openxmlformats.org/officeDocument/2006/relationships/hyperlink" Target="https://www.sec.gov/Archives/edgar/data/1653384/000165338421000016/rgc-20210819ex32804659c.htm" TargetMode="External"/><Relationship Id="rId12" Type="http://schemas.openxmlformats.org/officeDocument/2006/relationships/hyperlink" Target="https://www.sec.gov/Archives/edgar/data/1653384/000110465920036153/tm2013025-2_ex4x2.htm" TargetMode="External"/><Relationship Id="rId13" Type="http://schemas.openxmlformats.org/officeDocument/2006/relationships/hyperlink" Target="https://www.sec.gov/Archives/edgar/data/1653384/000110465920036153/tm2013025-2_ex4x2.htm" TargetMode="External"/><Relationship Id="rId14" Type="http://schemas.openxmlformats.org/officeDocument/2006/relationships/hyperlink" Target="https://www.sec.gov/Archives/edgar/data/1653384/000110465922083650/tm2222036d1_ex4-1.htm" TargetMode="External"/><Relationship Id="rId15" Type="http://schemas.openxmlformats.org/officeDocument/2006/relationships/hyperlink" Target="https://www.sec.gov/Archives/edgar/data/1653384/000110465922083650/tm2222036d1_ex4-1.htm" TargetMode="External"/><Relationship Id="rId16" Type="http://schemas.openxmlformats.org/officeDocument/2006/relationships/hyperlink" Target="https://www.sec.gov/Archives/edgar/data/1653384/000110465922083650/tm2222036d1_ex4-2.htm" TargetMode="External"/><Relationship Id="rId17" Type="http://schemas.openxmlformats.org/officeDocument/2006/relationships/hyperlink" Target="https://www.sec.gov/Archives/edgar/data/1653384/000110465922083650/tm2222036d1_ex4-2.htm" TargetMode="External"/><Relationship Id="rId18" Type="http://schemas.openxmlformats.org/officeDocument/2006/relationships/hyperlink" Target="https://www.sec.gov/Archives/edgar/data/1653384/000110465922083650/tm2222036d1_ex4-2.htm" TargetMode="External"/><Relationship Id="rId19" Type="http://schemas.openxmlformats.org/officeDocument/2006/relationships/hyperlink" Target="https://www.sec.gov/Archives/edgar/data/1653384/000110465922083650/tm2222036d1_ex4-2.htm" TargetMode="External"/><Relationship Id="rId20" Type="http://schemas.openxmlformats.org/officeDocument/2006/relationships/hyperlink" Target="https://www.sec.gov/Archives/edgar/data/1653384/000110465922125137/tm2232170d1_ex4-1.htm" TargetMode="External"/><Relationship Id="rId21" Type="http://schemas.openxmlformats.org/officeDocument/2006/relationships/hyperlink" Target="https://www.sec.gov/Archives/edgar/data/1653384/000110465922125137/tm2232170d1_ex4-1.htm" TargetMode="External"/><Relationship Id="rId22" Type="http://schemas.openxmlformats.org/officeDocument/2006/relationships/hyperlink" Target="https://www.sec.gov/Archives/edgar/data/1653384/000110465922125137/tm2232170d1_ex4-1.htm" TargetMode="External"/><Relationship Id="rId23" Type="http://schemas.openxmlformats.org/officeDocument/2006/relationships/hyperlink" Target="https://www.sec.gov/Archives/edgar/data/1653384/000110465922125137/tm2232170d1_ex4-1.htm" TargetMode="External"/><Relationship Id="rId24" Type="http://schemas.openxmlformats.org/officeDocument/2006/relationships/hyperlink" Target="https://www.sec.gov/Archives/edgar/data/1653384/000114420417017282/v462699_ex9-1.htm" TargetMode="External"/><Relationship Id="rId25" Type="http://schemas.openxmlformats.org/officeDocument/2006/relationships/hyperlink" Target="https://www.sec.gov/Archives/edgar/data/1653384/000114420417017282/v462699_ex9-1.htm" TargetMode="External"/><Relationship Id="rId26" Type="http://schemas.openxmlformats.org/officeDocument/2006/relationships/hyperlink" Target="https://www.sec.gov/Archives/edgar/data/1653384/000114420417017282/v462699_ex9-1.htm" TargetMode="External"/><Relationship Id="rId27" Type="http://schemas.openxmlformats.org/officeDocument/2006/relationships/hyperlink" Target="https://www.sec.gov/Archives/edgar/data/1653384/000110465921074326/tm2118010_ex10-1.htm" TargetMode="External"/><Relationship Id="rId28" Type="http://schemas.openxmlformats.org/officeDocument/2006/relationships/hyperlink" Target="https://www.sec.gov/Archives/edgar/data/1653384/000110465921074326/tm2118010_ex10-1.htm" TargetMode="External"/><Relationship Id="rId29" Type="http://schemas.openxmlformats.org/officeDocument/2006/relationships/hyperlink" Target="https://www.sec.gov/Archives/edgar/data/1653384/000110465921074326/tm2118010_ex10-1.htm" TargetMode="External"/><Relationship Id="rId30" Type="http://schemas.openxmlformats.org/officeDocument/2006/relationships/hyperlink" Target="https://www.sec.gov/Archives/edgar/data/1653384/000155837021010525/rgc-20210630ex1036bb6e0.htm" TargetMode="External"/><Relationship Id="rId31" Type="http://schemas.openxmlformats.org/officeDocument/2006/relationships/hyperlink" Target="https://www.sec.gov/Archives/edgar/data/1653384/000155837021010525/rgc-20210630ex1036bb6e0.htm" TargetMode="External"/><Relationship Id="rId32" Type="http://schemas.openxmlformats.org/officeDocument/2006/relationships/hyperlink" Target="https://www.sec.gov/Archives/edgar/data/1653384/000155837021010525/rgc-20210630ex1036bb6e0.htm" TargetMode="External"/><Relationship Id="rId33" Type="http://schemas.openxmlformats.org/officeDocument/2006/relationships/hyperlink" Target="https://www.sec.gov/Archives/edgar/data/1653384/000114420416140270/v454968_ex10-3.htm" TargetMode="External"/><Relationship Id="rId34" Type="http://schemas.openxmlformats.org/officeDocument/2006/relationships/hyperlink" Target="https://www.sec.gov/Archives/edgar/data/1653384/000114420416140270/v454968_ex10-3.htm" TargetMode="External"/><Relationship Id="rId35" Type="http://schemas.openxmlformats.org/officeDocument/2006/relationships/hyperlink" Target="https://www.sec.gov/Archives/edgar/data/1653384/000114420416140270/v454968_ex10-3.htm" TargetMode="External"/><Relationship Id="rId36" Type="http://schemas.openxmlformats.org/officeDocument/2006/relationships/hyperlink" Target="https://www.sec.gov/Archives/edgar/data/1653384/000114420416140270/v454968_ex10-4.htm" TargetMode="External"/><Relationship Id="rId37" Type="http://schemas.openxmlformats.org/officeDocument/2006/relationships/hyperlink" Target="https://www.sec.gov/Archives/edgar/data/1653384/000114420416140270/v454968_ex10-4.htm" TargetMode="External"/><Relationship Id="rId38" Type="http://schemas.openxmlformats.org/officeDocument/2006/relationships/hyperlink" Target="https://www.sec.gov/Archives/edgar/data/1653384/000095017023039764/rway-ex4_1.htm" TargetMode="External"/><Relationship Id="rId39" Type="http://schemas.openxmlformats.org/officeDocument/2006/relationships/hyperlink" Target="https://www.sec.gov/Archives/edgar/data/1653384/000114420416140270/v454968_ex10-4.htm" TargetMode="External"/><Relationship Id="rId40" Type="http://schemas.openxmlformats.org/officeDocument/2006/relationships/hyperlink" Target="https://www.sec.gov/Archives/edgar/data/1653384/000165338421000025/rgc-20211027xex10.htm" TargetMode="External"/><Relationship Id="rId41" Type="http://schemas.openxmlformats.org/officeDocument/2006/relationships/hyperlink" Target="https://www.sec.gov/Archives/edgar/data/1653384/000165338421000025/rgc-20211027xex10.htm" TargetMode="External"/><Relationship Id="rId42" Type="http://schemas.openxmlformats.org/officeDocument/2006/relationships/hyperlink" Target="https://www.sec.gov/Archives/edgar/data/1653384/000165338421000025/rgc-20211027xex10.htm" TargetMode="External"/><Relationship Id="rId43" Type="http://schemas.openxmlformats.org/officeDocument/2006/relationships/hyperlink" Target="https://www.sec.gov/Archives/edgar/data/1653384/000114420416081404/v428811_ex10-5.htm" TargetMode="External"/><Relationship Id="rId44" Type="http://schemas.openxmlformats.org/officeDocument/2006/relationships/hyperlink" Target="https://www.sec.gov/Archives/edgar/data/1653384/000114420416081404/v428811_ex10-5.htm" TargetMode="External"/><Relationship Id="rId45" Type="http://schemas.openxmlformats.org/officeDocument/2006/relationships/hyperlink" Target="https://www.sec.gov/Archives/edgar/data/1653384/000114420416081404/v428811_ex10-5.htm" TargetMode="External"/><Relationship Id="rId46" Type="http://schemas.openxmlformats.org/officeDocument/2006/relationships/hyperlink" Target="https://www.sec.gov/Archives/edgar/data/1653384/000165338421000019/rgc-20210923xex10.htm" TargetMode="External"/><Relationship Id="rId47" Type="http://schemas.openxmlformats.org/officeDocument/2006/relationships/hyperlink" Target="https://www.sec.gov/Archives/edgar/data/1653384/000165338421000019/rgc-20210923xex10.htm" TargetMode="External"/><Relationship Id="rId48" Type="http://schemas.openxmlformats.org/officeDocument/2006/relationships/hyperlink" Target="https://www.sec.gov/Archives/edgar/data/1653384/000165338421000019/rgc-20210923xex10.htm" TargetMode="External"/><Relationship Id="rId49" Type="http://schemas.openxmlformats.org/officeDocument/2006/relationships/hyperlink" Target="https://www.sec.gov/Archives/edgar/data/1653384/000114420418066500/tv509942_ex10-1.htm" TargetMode="External"/><Relationship Id="rId50" Type="http://schemas.openxmlformats.org/officeDocument/2006/relationships/hyperlink" Target="https://www.sec.gov/Archives/edgar/data/1653384/000114420418066500/tv509942_ex10-1.htm" TargetMode="External"/><Relationship Id="rId51" Type="http://schemas.openxmlformats.org/officeDocument/2006/relationships/hyperlink" Target="https://www.sec.gov/Archives/edgar/data/1653384/000114420418066500/tv509942_ex10-1.htm" TargetMode="External"/><Relationship Id="rId52" Type="http://schemas.openxmlformats.org/officeDocument/2006/relationships/hyperlink" Target="https://www.sec.gov/Archives/edgar/data/1653384/000114420419030106/tv523088_ex10-1.htm" TargetMode="External"/><Relationship Id="rId53" Type="http://schemas.openxmlformats.org/officeDocument/2006/relationships/hyperlink" Target="https://www.sec.gov/Archives/edgar/data/1653384/000114420419030106/tv523088_ex10-1.htm" TargetMode="External"/><Relationship Id="rId54" Type="http://schemas.openxmlformats.org/officeDocument/2006/relationships/hyperlink" Target="https://www.sec.gov/Archives/edgar/data/1653384/000114420419030106/tv523088_ex10-1.htm" TargetMode="External"/><Relationship Id="rId55" Type="http://schemas.openxmlformats.org/officeDocument/2006/relationships/hyperlink" Target="https://www.sec.gov/Archives/edgar/data/1653384/000155837020013679/rgc-20200930xex10d1.htm" TargetMode="External"/><Relationship Id="rId56" Type="http://schemas.openxmlformats.org/officeDocument/2006/relationships/hyperlink" Target="https://www.sec.gov/Archives/edgar/data/1653384/000155837020013679/rgc-20200930xex10d1.htm" TargetMode="External"/><Relationship Id="rId57" Type="http://schemas.openxmlformats.org/officeDocument/2006/relationships/hyperlink" Target="https://www.sec.gov/Archives/edgar/data/1653384/000165338420000004/rgc-20201202ex1019c880b.htm" TargetMode="External"/><Relationship Id="rId58" Type="http://schemas.openxmlformats.org/officeDocument/2006/relationships/hyperlink" Target="https://www.sec.gov/Archives/edgar/data/1653384/000165338420000004/rgc-20201202ex1019c880b.htm" TargetMode="External"/><Relationship Id="rId59" Type="http://schemas.openxmlformats.org/officeDocument/2006/relationships/hyperlink" Target="https://www.sec.gov/Archives/edgar/data/1653384/000110465921119827/tm2120547d5_ex99-k11.htm" TargetMode="External"/><Relationship Id="rId60" Type="http://schemas.openxmlformats.org/officeDocument/2006/relationships/hyperlink" Target="https://www.sec.gov/Archives/edgar/data/1653384/000110465921119827/tm2120547d5_ex99-k11.htm" TargetMode="External"/><Relationship Id="rId61" Type="http://schemas.openxmlformats.org/officeDocument/2006/relationships/hyperlink" Target="https://www.sec.gov/Archives/edgar/data/1653384/000155837021010525/rgc-20210630ex102799fdc.htm" TargetMode="External"/><Relationship Id="rId62" Type="http://schemas.openxmlformats.org/officeDocument/2006/relationships/hyperlink" Target="https://www.sec.gov/Archives/edgar/data/1653384/000155837021010525/rgc-20210630ex102799fdc.htm" TargetMode="External"/><Relationship Id="rId63" Type="http://schemas.openxmlformats.org/officeDocument/2006/relationships/hyperlink" Target="https://www.sec.gov/Archives/edgar/data/1653384/000165338421000028/rgc-20211213xex10.htm" TargetMode="External"/><Relationship Id="rId64" Type="http://schemas.openxmlformats.org/officeDocument/2006/relationships/hyperlink" Target="https://www.sec.gov/Archives/edgar/data/1653384/000165338421000028/rgc-20211213xex10.htm" TargetMode="External"/><Relationship Id="rId65" Type="http://schemas.openxmlformats.org/officeDocument/2006/relationships/hyperlink" Target="https://www.sec.gov/Archives/edgar/data/1653384/000110465923045577/tm2312875d1_ex10-1.htm" TargetMode="External"/><Relationship Id="rId66" Type="http://schemas.openxmlformats.org/officeDocument/2006/relationships/hyperlink" Target="https://www.sec.gov/Archives/edgar/data/1653384/000155837022002804/rgc-20211231xex10d17.htm" TargetMode="External"/><Relationship Id="rId67" Type="http://schemas.openxmlformats.org/officeDocument/2006/relationships/hyperlink" Target="https://www.sec.gov/Archives/edgar/data/1653384/000155837022002804/rgc-20211231xex10d17.htm" TargetMode="External"/><Relationship Id="rId68" Type="http://schemas.openxmlformats.org/officeDocument/2006/relationships/hyperlink" Target="https://www.sec.gov/Archives/edgar/data/1653384/000110465922048941/tm2213243d1_ex10-1.htm" TargetMode="External"/><Relationship Id="rId69" Type="http://schemas.openxmlformats.org/officeDocument/2006/relationships/hyperlink" Target="https://www.sec.gov/Archives/edgar/data/1653384/000110465922048941/tm2213243d1_ex10-1.htm" TargetMode="External"/><Relationship Id="rId70" Type="http://schemas.openxmlformats.org/officeDocument/2006/relationships/hyperlink" Target="https://www.sec.gov/Archives/edgar/data/1653384/000110465922048941/tm2213243d1_ex10-1.htm" TargetMode="External"/><Relationship Id="rId71" Type="http://schemas.openxmlformats.org/officeDocument/2006/relationships/hyperlink" Target="https://www.sec.gov/Archives/edgar/data/1653384/000110465923002333/tm232751d1_ex10-1.htm" TargetMode="External"/><Relationship Id="rId72" Type="http://schemas.openxmlformats.org/officeDocument/2006/relationships/hyperlink" Target="https://www.sec.gov/Archives/edgar/data/1653384/000110465923002333/tm232751d1_ex10-1.htm" TargetMode="External"/><Relationship Id="rId73" Type="http://schemas.openxmlformats.org/officeDocument/2006/relationships/hyperlink" Target="https://www.sec.gov/Archives/edgar/data/1653384/000110465923124036/tm2332294d1_ex10-1.htm" TargetMode="External"/><Relationship Id="rId74" Type="http://schemas.openxmlformats.org/officeDocument/2006/relationships/hyperlink" Target="https://www.sec.gov/Archives/edgar/data/1653384/000110465923124036/tm2332294d1_ex10-2.htm" TargetMode="External"/><Relationship Id="rId75" Type="http://schemas.openxmlformats.org/officeDocument/2006/relationships/hyperlink" Target="https://www.sec.gov/Archives/edgar/data/1653384/000155837021010525/rgc-20210630ex14128472e.htm" TargetMode="External"/><Relationship Id="rId76" Type="http://schemas.openxmlformats.org/officeDocument/2006/relationships/hyperlink" Target="https://www.sec.gov/Archives/edgar/data/1653384/000155837021010525/rgc-20210630ex14128472e.htm" TargetMode="External"/><Relationship Id="rId77" Type="http://schemas.openxmlformats.org/officeDocument/2006/relationships/fontTable" Target="fontTable.xml"/><Relationship Id="rId7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96531</Words>
  <Characters>522115</Characters>
  <CharactersWithSpaces>631040</CharactersWithSpaces>
  <Paragraphs>28319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