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4914d1_n23c2.htm"/>
      <w:bookmarkStart w:id="1" w:name="kstm264914d1_n23c2"/>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Intention To Redeem Securities Pursuant to Rule 23c-2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Investment Company Act of 1940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file number: 814-01180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Runway Growth Finance Corp.</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 N. Michigan Ave.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4200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ind w:left="0" w:right="0" w:firstLine="80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the class of securities of Runway Growth Finance Corp. (the “Company”) to be redeemed: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7.50% Notes due 2027 (CUSIP No. 78163D 209; NasdaqGS: RWAYL) (the “7.50 Notes”);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8.00% Notes due 2027 (CUSIP No. 78163D 308; NasdaqGS: RWAYZ) (the “8.00% Notes,” and together with the 7.50% Notes, the “Notes”)</w:t>
            </w:r>
          </w:p>
        </w:tc>
      </w:tr>
    </w:tbl>
    <w:p>
      <w:pPr>
        <w:pStyle w:val="TextBody"/>
        <w:bidi w:val="0"/>
        <w:spacing w:before="0" w:after="0"/>
        <w:ind w:left="72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245"/>
        <w:gridCol w:w="39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on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redeemed on March 5, 2026 (the “Redemption Date”).</w:t>
      </w:r>
    </w:p>
    <w:p>
      <w:pPr>
        <w:pStyle w:val="TextBody"/>
        <w:bidi w:val="0"/>
        <w:spacing w:before="0" w:after="0"/>
        <w:ind w:left="0" w:right="0" w:firstLine="72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245"/>
        <w:gridCol w:w="83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provisions of the governing instrument pursuant to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redeemed pursuant to (i) Section 1104 of the Company’s base indenture governing the Notes, dated as of July 28, 2022 (the “Base Indenture”), between the Company and U.S. Bank Trust Company, National Association, as trustee (“the Trustee”), as amended, (ii) Section 1.01(h) of the First Supplemental Indenture, dated as of July 28, 2022, between the Company and the Trustee (the “First Supplemental Indenture”) and (iii) Section 1.01(h) of the Second Supplemental Indenture, dated as of December 7, 2022, between the Company and the Trustee (the “Second Supplemental Indenture”).</w:t>
      </w:r>
    </w:p>
    <w:p>
      <w:pPr>
        <w:pStyle w:val="TextBody"/>
        <w:bidi w:val="0"/>
        <w:spacing w:before="0" w:after="0"/>
        <w:ind w:left="0" w:right="0" w:firstLine="72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260"/>
        <w:gridCol w:w="93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principal amount or number of shares and the basis upon which the securities to be redeemed are to be selected: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$40,250,000 in aggregate principal amount of the issued and outstanding 7.50% Notes pursuant to the terms of the Base Indenture and the First Supplemental Indenture. Additionally, the Company will redeem $51,750,000 in aggregate principal amount of the issued and outstanding 8.00% Notes pursuant to the terms of the Base Indenture and the 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23c-2 under the Investment Company Act of 1940, as amended, the Company has duly caused this Notice of Intention to Redeem Securities to be signed on its behalf by the undersigned on this 3rd day of February, 2026.</w:t>
      </w:r>
    </w:p>
    <w:p>
      <w:pPr>
        <w:pStyle w:val="TextBody"/>
        <w:bidi w:val="0"/>
        <w:spacing w:before="0" w:after="0"/>
        <w:ind w:left="0" w:right="0" w:firstLine="720"/>
        <w:jc w:val="left"/>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75"/>
        <w:gridCol w:w="320"/>
        <w:gridCol w:w="545"/>
        <w:gridCol w:w="5870"/>
      </w:tblGrid>
      <w:tr>
        <w:trPr/>
        <w:tc>
          <w:tcPr>
            <w:tcW w:w="75" w:type="dxa"/>
            <w:tcBorders/>
            <w:vAlign w:val="center"/>
          </w:tcPr>
          <w:p>
            <w:pPr>
              <w:pStyle w:val="TableContents"/>
              <w:bidi w:val="0"/>
              <w:spacing w:before="0" w:after="283"/>
              <w:jc w:val="left"/>
              <w:rPr/>
            </w:pPr>
            <w:r>
              <w:rPr/>
              <w:t> </w:t>
            </w:r>
          </w:p>
        </w:tc>
        <w:tc>
          <w:tcPr>
            <w:tcW w:w="673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Runway Growth Finance Corp.</w:t>
            </w:r>
          </w:p>
        </w:tc>
      </w:tr>
      <w:tr>
        <w:trPr/>
        <w:tc>
          <w:tcPr>
            <w:tcW w:w="75" w:type="dxa"/>
            <w:tcBorders/>
            <w:vAlign w:val="center"/>
          </w:tcPr>
          <w:p>
            <w:pPr>
              <w:pStyle w:val="TableContents"/>
              <w:bidi w:val="0"/>
              <w:spacing w:before="0" w:after="283"/>
              <w:jc w:val="left"/>
              <w:rPr/>
            </w:pPr>
            <w:r>
              <w:rPr/>
              <w:t> </w:t>
            </w:r>
          </w:p>
        </w:tc>
        <w:tc>
          <w:tcPr>
            <w:tcW w:w="673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B. Raterman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870" w:type="dxa"/>
            <w:tcBorders/>
            <w:vAlign w:val="center"/>
          </w:tcPr>
          <w:p>
            <w:pPr>
              <w:pStyle w:val="TableContents"/>
              <w:bidi w:val="0"/>
              <w:spacing w:before="0" w:after="283"/>
              <w:jc w:val="left"/>
              <w:rPr>
                <w:sz w:val="20"/>
              </w:rPr>
            </w:pPr>
            <w:r>
              <w:rPr>
                <w:sz w:val="20"/>
              </w:rPr>
              <w:t>Thomas B. Raterman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Operating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428</Words>
  <Characters>2276</Characters>
  <CharactersWithSpaces>2709</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