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500" w:right="1900" w:hanging="3492"/>
        <w:spacing w:after="0" w:line="479" w:lineRule="auto"/>
        <w:tabs>
          <w:tab w:leader="none" w:pos="544"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38" w:lineRule="exact"/>
        <w:rPr>
          <w:sz w:val="24"/>
          <w:szCs w:val="24"/>
          <w:color w:val="auto"/>
        </w:rPr>
      </w:pPr>
    </w:p>
    <w:p>
      <w:pPr>
        <w:ind w:left="3920" w:right="1520" w:hanging="3912"/>
        <w:spacing w:after="0" w:line="497" w:lineRule="auto"/>
        <w:tabs>
          <w:tab w:leader="none" w:pos="569"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814-01180</w:t>
      </w:r>
    </w:p>
    <w:p>
      <w:pPr>
        <w:jc w:val="center"/>
        <w:spacing w:after="0"/>
        <w:rPr>
          <w:sz w:val="20"/>
          <w:szCs w:val="20"/>
          <w:color w:val="auto"/>
        </w:rPr>
      </w:pPr>
      <w:r>
        <w:rPr>
          <w:rFonts w:ascii="Times New Roman" w:cs="Times New Roman" w:eastAsia="Times New Roman" w:hAnsi="Times New Roman"/>
          <w:sz w:val="25"/>
          <w:szCs w:val="25"/>
          <w:b w:val="1"/>
          <w:bCs w:val="1"/>
          <w:color w:val="auto"/>
        </w:rPr>
        <w:t>Runway Growth Finance Corp.</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460" w:type="dxa"/>
        <w:tblCellMar>
          <w:top w:w="0" w:type="dxa"/>
          <w:left w:w="0" w:type="dxa"/>
          <w:bottom w:w="0" w:type="dxa"/>
          <w:right w:w="0" w:type="dxa"/>
        </w:tblCellMar>
      </w:tblPr>
      <w:tr>
        <w:trPr>
          <w:trHeight w:val="220"/>
        </w:trPr>
        <w:tc>
          <w:tcPr>
            <w:tcW w:w="426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402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47-5049745</w:t>
            </w:r>
          </w:p>
        </w:tc>
      </w:tr>
      <w:tr>
        <w:trPr>
          <w:trHeight w:val="234"/>
        </w:trPr>
        <w:tc>
          <w:tcPr>
            <w:tcW w:w="4260" w:type="dxa"/>
            <w:vAlign w:val="bottom"/>
          </w:tcPr>
          <w:p>
            <w:pPr>
              <w:jc w:val="center"/>
              <w:ind w:right="1290"/>
              <w:spacing w:after="0"/>
              <w:rPr>
                <w:sz w:val="20"/>
                <w:szCs w:val="20"/>
                <w:color w:val="auto"/>
              </w:rPr>
            </w:pPr>
            <w:r>
              <w:rPr>
                <w:rFonts w:ascii="Times New Roman" w:cs="Times New Roman" w:eastAsia="Times New Roman" w:hAnsi="Times New Roman"/>
                <w:sz w:val="18"/>
                <w:szCs w:val="18"/>
                <w:color w:val="auto"/>
                <w:w w:val="99"/>
              </w:rPr>
              <w:t>(State of incorporation)</w:t>
            </w:r>
          </w:p>
        </w:tc>
        <w:tc>
          <w:tcPr>
            <w:tcW w:w="402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5"/>
        </w:trPr>
        <w:tc>
          <w:tcPr>
            <w:tcW w:w="4260" w:type="dxa"/>
            <w:vAlign w:val="bottom"/>
          </w:tcPr>
          <w:p>
            <w:pPr>
              <w:jc w:val="center"/>
              <w:ind w:right="1290"/>
              <w:spacing w:after="0"/>
              <w:rPr>
                <w:sz w:val="20"/>
                <w:szCs w:val="20"/>
                <w:color w:val="auto"/>
              </w:rPr>
            </w:pPr>
            <w:r>
              <w:rPr>
                <w:rFonts w:ascii="Times New Roman" w:cs="Times New Roman" w:eastAsia="Times New Roman" w:hAnsi="Times New Roman"/>
                <w:sz w:val="18"/>
                <w:szCs w:val="18"/>
                <w:b w:val="1"/>
                <w:bCs w:val="1"/>
                <w:color w:val="auto"/>
                <w:w w:val="99"/>
              </w:rPr>
              <w:t>205 N. Michigan Ave., Suite 4200</w:t>
            </w:r>
          </w:p>
        </w:tc>
        <w:tc>
          <w:tcPr>
            <w:tcW w:w="4020" w:type="dxa"/>
            <w:vAlign w:val="bottom"/>
          </w:tcPr>
          <w:p>
            <w:pPr>
              <w:spacing w:after="0"/>
              <w:rPr>
                <w:sz w:val="23"/>
                <w:szCs w:val="23"/>
                <w:color w:val="auto"/>
              </w:rPr>
            </w:pPr>
          </w:p>
        </w:tc>
      </w:tr>
      <w:tr>
        <w:trPr>
          <w:trHeight w:val="220"/>
        </w:trPr>
        <w:tc>
          <w:tcPr>
            <w:tcW w:w="4260" w:type="dxa"/>
            <w:vAlign w:val="bottom"/>
          </w:tcPr>
          <w:p>
            <w:pPr>
              <w:jc w:val="center"/>
              <w:ind w:right="129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402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60601</w:t>
            </w:r>
          </w:p>
        </w:tc>
      </w:tr>
      <w:tr>
        <w:trPr>
          <w:trHeight w:val="234"/>
        </w:trPr>
        <w:tc>
          <w:tcPr>
            <w:tcW w:w="426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2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(312) 698-6902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350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86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9"/>
        </w:trPr>
        <w:tc>
          <w:tcPr>
            <w:tcW w:w="35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0"/>
              </w:rPr>
              <w:t>RWAY</w:t>
            </w:r>
          </w:p>
        </w:tc>
        <w:tc>
          <w:tcPr>
            <w:tcW w:w="3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Nasdaq Global Select Market LLC</w:t>
            </w:r>
          </w:p>
        </w:tc>
      </w:tr>
      <w:tr>
        <w:trPr>
          <w:trHeight w:val="230"/>
        </w:trPr>
        <w:tc>
          <w:tcPr>
            <w:tcW w:w="35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7.50% Notes due 2027</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RWAYL</w:t>
            </w:r>
          </w:p>
        </w:tc>
        <w:tc>
          <w:tcPr>
            <w:tcW w:w="3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Nasdaq Global Select Market LLC</w:t>
            </w:r>
          </w:p>
        </w:tc>
      </w:tr>
      <w:tr>
        <w:trPr>
          <w:trHeight w:val="234"/>
        </w:trPr>
        <w:tc>
          <w:tcPr>
            <w:tcW w:w="35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8.00% Notes due 2027</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RWAYZ</w:t>
            </w:r>
          </w:p>
        </w:tc>
        <w:tc>
          <w:tcPr>
            <w:tcW w:w="3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Nasdaq Global Select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98" w:right="339" w:bottom="163" w:gutter="0" w:footer="0" w:header="0"/>
        </w:sectPr>
      </w:pPr>
    </w:p>
    <w:p>
      <w:pPr>
        <w:spacing w:after="0" w:line="135"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416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15" w:lineRule="exact"/>
        <w:rPr>
          <w:sz w:val="24"/>
          <w:szCs w:val="24"/>
          <w:color w:val="auto"/>
        </w:rPr>
      </w:pPr>
    </w:p>
    <w:p>
      <w:pPr>
        <w:sectPr>
          <w:pgSz w:w="11900" w:h="16838" w:orient="portrait"/>
          <w:cols w:equalWidth="0" w:num="2">
            <w:col w:w="4940" w:space="720"/>
            <w:col w:w="5580"/>
          </w:cols>
          <w:pgMar w:left="320" w:top="698" w:right="339" w:bottom="163" w:gutter="0" w:footer="0" w:header="0"/>
          <w:type w:val="continuous"/>
        </w:sectPr>
      </w:pPr>
    </w:p>
    <w:p>
      <w:pPr>
        <w:spacing w:after="0" w:line="4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Non-accelerated filer </w:t>
      </w:r>
      <w:r>
        <w:rPr>
          <w:rFonts w:ascii="Wingdings" w:cs="Wingdings" w:eastAsia="Wingdings" w:hAnsi="Wingdings"/>
          <w:sz w:val="17"/>
          <w:szCs w:val="17"/>
          <w:b w:val="1"/>
          <w:bCs w:val="1"/>
          <w:color w:val="auto"/>
        </w:rPr>
        <w:t>x</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55" w:lineRule="exact"/>
        <w:rPr>
          <w:sz w:val="24"/>
          <w:szCs w:val="24"/>
          <w:color w:val="auto"/>
        </w:rPr>
      </w:pPr>
    </w:p>
    <w:p>
      <w:pPr>
        <w:sectPr>
          <w:pgSz w:w="11900" w:h="16838" w:orient="portrait"/>
          <w:cols w:equalWidth="0" w:num="2">
            <w:col w:w="4940" w:space="720"/>
            <w:col w:w="5580"/>
          </w:cols>
          <w:pgMar w:left="320" w:top="698" w:right="339" w:bottom="163"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ectPr>
          <w:pgSz w:w="11900" w:h="16838" w:orient="portrait"/>
          <w:cols w:equalWidth="0" w:num="1">
            <w:col w:w="11240"/>
          </w:cols>
          <w:pgMar w:left="320" w:top="698" w:right="339" w:bottom="163" w:gutter="0" w:footer="0" w:header="0"/>
          <w:type w:val="continuous"/>
        </w:sectPr>
      </w:pPr>
    </w:p>
    <w:p>
      <w:pPr>
        <w:spacing w:after="0" w:line="23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698" w:right="339" w:bottom="163" w:gutter="0" w:footer="0" w:header="0"/>
          <w:type w:val="continuous"/>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231F20"/>
        </w:rPr>
        <w:t>☐</w:t>
      </w:r>
    </w:p>
    <w:p>
      <w:pPr>
        <w:spacing w:after="0" w:line="170"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231F20"/>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as of the last day of the Registrant's most recently completed second fiscal quarter was approximately $322 million based upon the last close price of $11.76 reported for such date on the Nasdaq Global Select Market LLC.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37,347,428 shares of the Registrant’s common stock outstanding as of March 18, 2025.</w:t>
      </w:r>
    </w:p>
    <w:p>
      <w:pPr>
        <w:spacing w:after="0" w:line="225" w:lineRule="exact"/>
        <w:rPr>
          <w:sz w:val="20"/>
          <w:szCs w:val="20"/>
          <w:color w:val="auto"/>
        </w:rPr>
      </w:pPr>
    </w:p>
    <w:p>
      <w:pPr>
        <w:spacing w:after="0"/>
        <w:tabs>
          <w:tab w:leader="none" w:pos="2800" w:val="left"/>
          <w:tab w:leader="none" w:pos="6180" w:val="left"/>
        </w:tabs>
        <w:rPr>
          <w:sz w:val="20"/>
          <w:szCs w:val="20"/>
          <w:color w:val="auto"/>
        </w:rPr>
      </w:pPr>
      <w:r>
        <w:rPr>
          <w:rFonts w:ascii="Times New Roman" w:cs="Times New Roman" w:eastAsia="Times New Roman" w:hAnsi="Times New Roman"/>
          <w:sz w:val="18"/>
          <w:szCs w:val="18"/>
          <w:color w:val="auto"/>
        </w:rPr>
        <w:t>Auditor Firm ID: 34</w:t>
      </w:r>
      <w:r>
        <w:rPr>
          <w:sz w:val="20"/>
          <w:szCs w:val="20"/>
          <w:color w:val="auto"/>
        </w:rPr>
        <w:tab/>
      </w:r>
      <w:r>
        <w:rPr>
          <w:rFonts w:ascii="Times New Roman" w:cs="Times New Roman" w:eastAsia="Times New Roman" w:hAnsi="Times New Roman"/>
          <w:sz w:val="18"/>
          <w:szCs w:val="18"/>
          <w:color w:val="auto"/>
        </w:rPr>
        <w:t>Auditor Name: Deloitte &amp; Touche LLP</w:t>
      </w:r>
      <w:r>
        <w:rPr>
          <w:sz w:val="20"/>
          <w:szCs w:val="20"/>
          <w:color w:val="auto"/>
        </w:rPr>
        <w:tab/>
      </w:r>
      <w:r>
        <w:rPr>
          <w:rFonts w:ascii="Times New Roman" w:cs="Times New Roman" w:eastAsia="Times New Roman" w:hAnsi="Times New Roman"/>
          <w:sz w:val="17"/>
          <w:szCs w:val="17"/>
          <w:color w:val="auto"/>
        </w:rPr>
        <w:t>Auditor Location: New York, New York</w:t>
      </w:r>
    </w:p>
    <w:p>
      <w:pPr>
        <w:spacing w:after="0" w:line="221" w:lineRule="exact"/>
        <w:rPr>
          <w:sz w:val="20"/>
          <w:szCs w:val="20"/>
          <w:color w:val="auto"/>
        </w:rPr>
      </w:pPr>
    </w:p>
    <w:p>
      <w:pPr>
        <w:jc w:val="both"/>
        <w:ind w:left="140" w:right="140" w:firstLine="26"/>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Documents Incorporated by Reference: </w:t>
      </w:r>
      <w:r>
        <w:rPr>
          <w:rFonts w:ascii="Times New Roman" w:cs="Times New Roman" w:eastAsia="Times New Roman" w:hAnsi="Times New Roman"/>
          <w:sz w:val="17"/>
          <w:szCs w:val="17"/>
          <w:color w:val="auto"/>
        </w:rPr>
        <w:t>Portions of the registrant’s Proxy Statement for its 2025 Annual Meeting of Stockholders to be filed not later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than 120 days after the end of the fiscal year covered by this Annual Report on Form 10-K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466090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Runway Growth Finance Corp. (the “Company”) is filing this Amendment No. 1 on Form 10-K/A (the “Amendment”) to the Company’s annual report on Form 10-K for the year ended December 31, 2024 (the “Form 10-K”), filed with the Securities and Exchange Commission on March 20, 2025 (the “Original Filing”).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Amendment is being filed for the purpose of correcting the Report of RSM US LLP included in the Original Filing (the “Report”) to correct the administrative error related to the date the Report was issued. The changes made to the Report do not in any way change the conclusions expressed in the Report included in the Form 10-K.</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the Company is filing herewith a consent of Deloitte &amp; Touche LLP to incorporate by reference into the Registration Statement on Form N-2 (File No. 333-284781) of its report dated March 20, 2025, relating to the consolidated financial statements of the Company, and the related notes, appearing in the Form 10-K.</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cover page attached hereto has been updated to reflect the Amendment and to state the Company’s intent to incorporate by reference portions of the Company’s proxy statement for its 2025 annual meeting of stockholders into Part III of its Form 10-K.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required by Rule 12b-15 under Securities Exchange Act of 1934, as amended, the Amendment includes certifications from the Company’s principal executive officer and principal financial officer dated as of the filing of this Amendment. As this Amendment does not contain or amend any disclosure with respect to Items 307 and 308 of Regulation S-K, paragraphs 3, 4, and 5 of the certifications have been omitted. The Company is not including new certifications pursuant to Section 1350 of Chapter 63 of Title 18 of the United States Code (18 U.S.C. 1350) as no financial statements are being filed with this Amendment.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Amendment does not affect any other items in the Original Filing, including the Company’s financial statements and the notes to the financial statements. Except as otherwise indicated, the Amendment speaks as of the date of the Original Filing and reflects only the changes discussed above. Accordingly, this Amendment should be read in conjunction with the Original Filing.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Index to Audited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document is being filed as part of this Amendment: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Report of Independent Registered Public Accounting Firm (RSM US LLP; Chicago, Illinois, PCAOB ID No. 49)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documents were included in the Original Filing:</w:t>
      </w:r>
    </w:p>
    <w:p>
      <w:pPr>
        <w:spacing w:after="0" w:line="229" w:lineRule="exact"/>
        <w:rPr>
          <w:sz w:val="20"/>
          <w:szCs w:val="20"/>
          <w:color w:val="auto"/>
        </w:rPr>
      </w:pPr>
    </w:p>
    <w:p>
      <w:pPr>
        <w:ind w:right="939"/>
        <w:spacing w:after="0" w:line="261" w:lineRule="auto"/>
        <w:rPr>
          <w:rFonts w:ascii="Times New Roman" w:cs="Times New Roman" w:eastAsia="Times New Roman" w:hAnsi="Times New Roman"/>
          <w:sz w:val="18"/>
          <w:szCs w:val="18"/>
          <w:u w:val="single" w:color="auto"/>
          <w:color w:val="0000EE"/>
        </w:rPr>
      </w:pPr>
      <w:hyperlink r:id="rId18">
        <w:r>
          <w:rPr>
            <w:rFonts w:ascii="Times New Roman" w:cs="Times New Roman" w:eastAsia="Times New Roman" w:hAnsi="Times New Roman"/>
            <w:sz w:val="18"/>
            <w:szCs w:val="18"/>
            <w:u w:val="single" w:color="auto"/>
            <w:color w:val="0000EE"/>
          </w:rPr>
          <w:t>Report of Independent Registered Public Accounting Firm (Deloitte &amp; Touche LLP; New York, New York, PCAOB ID No. 34)</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Consolidated Statements of Assets and Liabilities as of December 31, 2024 and 2023</w:t>
        </w:r>
      </w:hyperlink>
    </w:p>
    <w:p>
      <w:pPr>
        <w:ind w:right="2439"/>
        <w:spacing w:after="0" w:line="253" w:lineRule="auto"/>
        <w:rPr>
          <w:rFonts w:ascii="Times New Roman" w:cs="Times New Roman" w:eastAsia="Times New Roman" w:hAnsi="Times New Roman"/>
          <w:sz w:val="18"/>
          <w:szCs w:val="18"/>
          <w:u w:val="single" w:color="auto"/>
          <w:color w:val="0000EE"/>
        </w:rPr>
      </w:pPr>
      <w:hyperlink r:id="rId20">
        <w:r>
          <w:rPr>
            <w:rFonts w:ascii="Times New Roman" w:cs="Times New Roman" w:eastAsia="Times New Roman" w:hAnsi="Times New Roman"/>
            <w:sz w:val="18"/>
            <w:szCs w:val="18"/>
            <w:u w:val="single" w:color="auto"/>
            <w:color w:val="0000EE"/>
          </w:rPr>
          <w:t>Consolidated Statements of Operations for the years ended December 31, 2024, 2023 and 2022</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Consolidated Statements of Changes in Net Assets for the years ended December 31, 2024, 2023 and 2022</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Consolidated Statements of Cash Flows for the years ended December 31, 2024, 2023 and 2022</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Consolidated Schedules of Investments as of December 31, 2024 and 2023</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Notes to Consolidated Financial Statements</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03" w:lineRule="exact"/>
        <w:rPr>
          <w:rFonts w:ascii="Times New Roman" w:cs="Times New Roman" w:eastAsia="Times New Roman" w:hAnsi="Times New Roman"/>
          <w:sz w:val="18"/>
          <w:szCs w:val="18"/>
          <w:u w:val="single" w:color="auto"/>
          <w:color w:val="0000EE"/>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 w:name="page5"/>
    <w:bookmarkEnd w:id="4"/>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Runway Growth Finance Corp.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audited the accompanying consolidated statement of assets and liabilities of Runway Growth Finance Corp. and its subsidiary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consolidated schedule of investments, as of December 31, 2023, the related consolidated statements of operations, changes in net assets,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for each of the two years in the period ended December 31, 2023, and the related notes to the consolidated financial statements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In our opinion, the financial statements present fairly, in all material respects, the financial position of the Company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the results of its operations, changes in net assets and cash flows for each of the two years in the period ended December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conformity with accounting principles generally accepted in the United States of America.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procedures included confirmation of investments owned as of December 31, 2023, by correspondence with the custodians and other appropriate procedures where replies were not received.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2015 to January 23,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2024</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or incorporated by reference as part of the Company’s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Consolidated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Consolidated Financial Statements:</w:t>
      </w:r>
    </w:p>
    <w:p>
      <w:pPr>
        <w:spacing w:after="0" w:line="225" w:lineRule="exact"/>
        <w:rPr>
          <w:sz w:val="20"/>
          <w:szCs w:val="20"/>
          <w:color w:val="auto"/>
        </w:rPr>
      </w:pPr>
    </w:p>
    <w:p>
      <w:pPr>
        <w:ind w:right="1760"/>
        <w:spacing w:after="0" w:line="255" w:lineRule="auto"/>
        <w:rPr>
          <w:rFonts w:ascii="Times New Roman" w:cs="Times New Roman" w:eastAsia="Times New Roman" w:hAnsi="Times New Roman"/>
          <w:sz w:val="18"/>
          <w:szCs w:val="18"/>
          <w:u w:val="single" w:color="auto"/>
          <w:color w:val="0000EE"/>
        </w:rPr>
      </w:pPr>
      <w:hyperlink r:id="rId18">
        <w:r>
          <w:rPr>
            <w:rFonts w:ascii="Times New Roman" w:cs="Times New Roman" w:eastAsia="Times New Roman" w:hAnsi="Times New Roman"/>
            <w:sz w:val="18"/>
            <w:szCs w:val="18"/>
            <w:u w:val="single" w:color="auto"/>
            <w:color w:val="0000EE"/>
          </w:rPr>
          <w:t>Report of Independent Registered Public Accounting Firm (Deloitte &amp; Touche LLP; New York, New York, PCAOB ID No. 34)**</w:t>
        </w:r>
      </w:hyperlink>
      <w:r>
        <w:rPr>
          <w:rFonts w:ascii="Times New Roman" w:cs="Times New Roman" w:eastAsia="Times New Roman" w:hAnsi="Times New Roman"/>
          <w:sz w:val="18"/>
          <w:szCs w:val="18"/>
          <w:u w:val="single" w:color="auto"/>
          <w:color w:val="0000EE"/>
        </w:rPr>
        <w:t xml:space="preserve"> Report of Independent Registered Public Accounting Firm (RSM US LLP; Chicago, Illinois, PCAOB ID No. 49) * </w:t>
      </w:r>
      <w:hyperlink r:id="rId19">
        <w:r>
          <w:rPr>
            <w:rFonts w:ascii="Times New Roman" w:cs="Times New Roman" w:eastAsia="Times New Roman" w:hAnsi="Times New Roman"/>
            <w:sz w:val="18"/>
            <w:szCs w:val="18"/>
            <w:u w:val="single" w:color="auto"/>
            <w:color w:val="0000EE"/>
          </w:rPr>
          <w:t>Consolidated Statements of Assets and Liabilities as of December 31, 2024 and 2023 **</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Consolidated Statements of Operations for the years ended December 31, 2024, 2023 and 2022 **</w:t>
        </w:r>
      </w:hyperlink>
    </w:p>
    <w:p>
      <w:pPr>
        <w:spacing w:after="0" w:line="3"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21">
        <w:r>
          <w:rPr>
            <w:rFonts w:ascii="Times New Roman" w:cs="Times New Roman" w:eastAsia="Times New Roman" w:hAnsi="Times New Roman"/>
            <w:sz w:val="18"/>
            <w:szCs w:val="18"/>
            <w:u w:val="single" w:color="auto"/>
            <w:color w:val="0000EE"/>
          </w:rPr>
          <w:t>Consolidated Statements of Changes in Net Assets for the years ended December 31, 2024, 2023 and 2022 **</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22">
        <w:r>
          <w:rPr>
            <w:rFonts w:ascii="Times New Roman" w:cs="Times New Roman" w:eastAsia="Times New Roman" w:hAnsi="Times New Roman"/>
            <w:sz w:val="18"/>
            <w:szCs w:val="18"/>
            <w:u w:val="single" w:color="auto"/>
            <w:color w:val="0000EE"/>
          </w:rPr>
          <w:t>Consolidated Statements of Cash Flows for the years ended December 31, 2024, 2023 and 2022 **</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23">
        <w:r>
          <w:rPr>
            <w:rFonts w:ascii="Times New Roman" w:cs="Times New Roman" w:eastAsia="Times New Roman" w:hAnsi="Times New Roman"/>
            <w:sz w:val="18"/>
            <w:szCs w:val="18"/>
            <w:u w:val="single" w:color="auto"/>
            <w:color w:val="0000EE"/>
          </w:rPr>
          <w:t>Consolidated Schedules of Investments as of December 31, 2024 and 2023 **</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24">
        <w:r>
          <w:rPr>
            <w:rFonts w:ascii="Times New Roman" w:cs="Times New Roman" w:eastAsia="Times New Roman" w:hAnsi="Times New Roman"/>
            <w:sz w:val="18"/>
            <w:szCs w:val="18"/>
            <w:u w:val="single" w:color="auto"/>
            <w:color w:val="0000EE"/>
          </w:rPr>
          <w:t>Notes to Consolidated Financial Statements **</w:t>
        </w:r>
      </w:hyperlink>
    </w:p>
    <w:p>
      <w:pPr>
        <w:spacing w:after="0" w:line="207"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 Filed with the Company’s Annual Report on Form 10-K for the fiscal year ended December 31, 2024, filed on March 20, 2025.</w:t>
      </w:r>
    </w:p>
    <w:p>
      <w:pPr>
        <w:spacing w:after="0" w:line="203"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 to exhibits previously filed with the SEC:</w:t>
      </w:r>
    </w:p>
    <w:p>
      <w:pPr>
        <w:sectPr>
          <w:pgSz w:w="11900" w:h="16838" w:orient="portrait"/>
          <w:cols w:equalWidth="0" w:num="1">
            <w:col w:w="11140"/>
          </w:cols>
          <w:pgMar w:left="320" w:top="900" w:right="439" w:bottom="1440" w:gutter="0" w:footer="0" w:header="0"/>
        </w:sectPr>
      </w:pPr>
    </w:p>
    <w:p>
      <w:pPr>
        <w:spacing w:after="0" w:line="221"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27305</wp:posOffset>
            </wp:positionV>
            <wp:extent cx="6254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72"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28">
        <w:r>
          <w:rPr>
            <w:rFonts w:ascii="Times New Roman" w:cs="Times New Roman" w:eastAsia="Times New Roman" w:hAnsi="Times New Roman"/>
            <w:sz w:val="18"/>
            <w:szCs w:val="18"/>
            <w:u w:val="single" w:color="auto"/>
            <w:color w:val="0000EE"/>
          </w:rPr>
          <w:t>3.1</w:t>
        </w:r>
      </w:hyperlink>
    </w:p>
    <w:p>
      <w:pPr>
        <w:spacing w:after="0" w:line="131"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29">
        <w:r>
          <w:rPr>
            <w:rFonts w:ascii="Times New Roman" w:cs="Times New Roman" w:eastAsia="Times New Roman" w:hAnsi="Times New Roman"/>
            <w:sz w:val="18"/>
            <w:szCs w:val="18"/>
            <w:u w:val="single" w:color="auto"/>
            <w:color w:val="0000EE"/>
          </w:rPr>
          <w:t>3.2</w:t>
        </w:r>
      </w:hyperlink>
    </w:p>
    <w:p>
      <w:pPr>
        <w:spacing w:after="0" w:line="131"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30">
        <w:r>
          <w:rPr>
            <w:rFonts w:ascii="Times New Roman" w:cs="Times New Roman" w:eastAsia="Times New Roman" w:hAnsi="Times New Roman"/>
            <w:sz w:val="18"/>
            <w:szCs w:val="18"/>
            <w:u w:val="single" w:color="auto"/>
            <w:color w:val="0000EE"/>
          </w:rPr>
          <w:t>3.3</w:t>
        </w:r>
      </w:hyperlink>
    </w:p>
    <w:p>
      <w:pPr>
        <w:spacing w:after="0" w:line="131"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31">
        <w:r>
          <w:rPr>
            <w:rFonts w:ascii="Times New Roman" w:cs="Times New Roman" w:eastAsia="Times New Roman" w:hAnsi="Times New Roman"/>
            <w:sz w:val="18"/>
            <w:szCs w:val="18"/>
            <w:u w:val="single" w:color="auto"/>
            <w:color w:val="0000EE"/>
          </w:rPr>
          <w:t>4.1</w:t>
        </w:r>
      </w:hyperlink>
    </w:p>
    <w:p>
      <w:pPr>
        <w:spacing w:after="0" w:line="131"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32">
        <w:r>
          <w:rPr>
            <w:rFonts w:ascii="Times New Roman" w:cs="Times New Roman" w:eastAsia="Times New Roman" w:hAnsi="Times New Roman"/>
            <w:sz w:val="18"/>
            <w:szCs w:val="18"/>
            <w:u w:val="single" w:color="auto"/>
            <w:color w:val="0000EE"/>
          </w:rPr>
          <w:t>4.2</w:t>
        </w:r>
      </w:hyperlink>
    </w:p>
    <w:p>
      <w:pPr>
        <w:spacing w:after="0" w:line="347"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33">
        <w:r>
          <w:rPr>
            <w:rFonts w:ascii="Times New Roman" w:cs="Times New Roman" w:eastAsia="Times New Roman" w:hAnsi="Times New Roman"/>
            <w:sz w:val="18"/>
            <w:szCs w:val="18"/>
            <w:u w:val="single" w:color="auto"/>
            <w:color w:val="0000EE"/>
          </w:rPr>
          <w:t>4.3</w:t>
        </w:r>
      </w:hyperlink>
    </w:p>
    <w:p>
      <w:pPr>
        <w:spacing w:after="0" w:line="347"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33">
        <w:r>
          <w:rPr>
            <w:rFonts w:ascii="Times New Roman" w:cs="Times New Roman" w:eastAsia="Times New Roman" w:hAnsi="Times New Roman"/>
            <w:sz w:val="18"/>
            <w:szCs w:val="18"/>
            <w:u w:val="single" w:color="auto"/>
            <w:color w:val="0000EE"/>
          </w:rPr>
          <w:t>4.4</w:t>
        </w:r>
      </w:hyperlink>
    </w:p>
    <w:p>
      <w:pPr>
        <w:spacing w:after="0" w:line="131"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34">
        <w:r>
          <w:rPr>
            <w:rFonts w:ascii="Times New Roman" w:cs="Times New Roman" w:eastAsia="Times New Roman" w:hAnsi="Times New Roman"/>
            <w:sz w:val="18"/>
            <w:szCs w:val="18"/>
            <w:u w:val="single" w:color="auto"/>
            <w:color w:val="0000EE"/>
          </w:rPr>
          <w:t>4.5</w:t>
        </w:r>
      </w:hyperlink>
    </w:p>
    <w:p>
      <w:pPr>
        <w:spacing w:after="0" w:line="347"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34">
        <w:r>
          <w:rPr>
            <w:rFonts w:ascii="Times New Roman" w:cs="Times New Roman" w:eastAsia="Times New Roman" w:hAnsi="Times New Roman"/>
            <w:sz w:val="18"/>
            <w:szCs w:val="18"/>
            <w:u w:val="single" w:color="auto"/>
            <w:color w:val="0000EE"/>
          </w:rPr>
          <w:t>4.6</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1"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19685</wp:posOffset>
            </wp:positionV>
            <wp:extent cx="63861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6386195" cy="8255"/>
                    </a:xfrm>
                    <a:prstGeom prst="rect">
                      <a:avLst/>
                    </a:prstGeom>
                    <a:noFill/>
                  </pic:spPr>
                </pic:pic>
              </a:graphicData>
            </a:graphic>
          </wp:anchor>
        </w:drawing>
      </w:r>
    </w:p>
    <w:p>
      <w:pPr>
        <w:spacing w:after="0" w:line="64"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28">
        <w:r>
          <w:rPr>
            <w:rFonts w:ascii="Times New Roman" w:cs="Times New Roman" w:eastAsia="Times New Roman" w:hAnsi="Times New Roman"/>
            <w:sz w:val="18"/>
            <w:szCs w:val="18"/>
            <w:u w:val="single" w:color="auto"/>
            <w:color w:val="0000EE"/>
          </w:rPr>
          <w:t>Articles of Amendment and Restatement</w:t>
        </w:r>
      </w:hyperlink>
      <w:r>
        <w:rPr>
          <w:rFonts w:ascii="Times New Roman" w:cs="Times New Roman" w:eastAsia="Times New Roman" w:hAnsi="Times New Roman"/>
          <w:sz w:val="29"/>
          <w:szCs w:val="29"/>
          <w:u w:val="single" w:color="auto"/>
          <w:color w:val="0000EE"/>
          <w:vertAlign w:val="superscript"/>
        </w:rPr>
        <w:t>(1)</w:t>
      </w:r>
    </w:p>
    <w:p>
      <w:pPr>
        <w:spacing w:after="0" w:line="3"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29">
        <w:r>
          <w:rPr>
            <w:rFonts w:ascii="Times New Roman" w:cs="Times New Roman" w:eastAsia="Times New Roman" w:hAnsi="Times New Roman"/>
            <w:sz w:val="18"/>
            <w:szCs w:val="18"/>
            <w:u w:val="single" w:color="auto"/>
            <w:color w:val="0000EE"/>
          </w:rPr>
          <w:t>Articles of Amendment</w:t>
        </w:r>
        <w:r>
          <w:rPr>
            <w:rFonts w:ascii="Times New Roman" w:cs="Times New Roman" w:eastAsia="Times New Roman" w:hAnsi="Times New Roman"/>
            <w:sz w:val="29"/>
            <w:szCs w:val="29"/>
            <w:u w:val="single" w:color="auto"/>
            <w:color w:val="0000EE"/>
            <w:vertAlign w:val="superscript"/>
          </w:rPr>
          <w:t>(13)</w:t>
        </w:r>
      </w:hyperlink>
    </w:p>
    <w:p>
      <w:pPr>
        <w:spacing w:after="0" w:line="5"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30">
        <w:r>
          <w:rPr>
            <w:rFonts w:ascii="Times New Roman" w:cs="Times New Roman" w:eastAsia="Times New Roman" w:hAnsi="Times New Roman"/>
            <w:sz w:val="18"/>
            <w:szCs w:val="18"/>
            <w:u w:val="single" w:color="auto"/>
            <w:color w:val="0000EE"/>
          </w:rPr>
          <w:t>Second Amended and Restated Bylaws</w:t>
        </w:r>
      </w:hyperlink>
      <w:r>
        <w:rPr>
          <w:rFonts w:ascii="Times New Roman" w:cs="Times New Roman" w:eastAsia="Times New Roman" w:hAnsi="Times New Roman"/>
          <w:sz w:val="29"/>
          <w:szCs w:val="29"/>
          <w:u w:val="single" w:color="auto"/>
          <w:color w:val="0000EE"/>
          <w:vertAlign w:val="superscript"/>
        </w:rPr>
        <w:t>(13)</w:t>
      </w:r>
    </w:p>
    <w:p>
      <w:pPr>
        <w:spacing w:after="0" w:line="3"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31">
        <w:r>
          <w:rPr>
            <w:rFonts w:ascii="Times New Roman" w:cs="Times New Roman" w:eastAsia="Times New Roman" w:hAnsi="Times New Roman"/>
            <w:sz w:val="18"/>
            <w:szCs w:val="18"/>
            <w:u w:val="single" w:color="auto"/>
            <w:color w:val="0000EE"/>
          </w:rPr>
          <w:t>Description of Securities</w:t>
        </w:r>
        <w:r>
          <w:rPr>
            <w:rFonts w:ascii="Times New Roman" w:cs="Times New Roman" w:eastAsia="Times New Roman" w:hAnsi="Times New Roman"/>
            <w:sz w:val="29"/>
            <w:szCs w:val="29"/>
            <w:u w:val="single" w:color="auto"/>
            <w:color w:val="0000EE"/>
            <w:vertAlign w:val="superscript"/>
          </w:rPr>
          <w:t>(9)</w:t>
        </w:r>
      </w:hyperlink>
    </w:p>
    <w:p>
      <w:pPr>
        <w:spacing w:after="0" w:line="1" w:lineRule="exact"/>
        <w:rPr>
          <w:rFonts w:ascii="Times New Roman" w:cs="Times New Roman" w:eastAsia="Times New Roman" w:hAnsi="Times New Roman"/>
          <w:sz w:val="18"/>
          <w:szCs w:val="18"/>
          <w:u w:val="single" w:color="auto"/>
          <w:color w:val="0000EE"/>
        </w:rPr>
      </w:pPr>
    </w:p>
    <w:p>
      <w:pPr>
        <w:ind w:right="160"/>
        <w:spacing w:after="0" w:line="254" w:lineRule="auto"/>
        <w:rPr>
          <w:rFonts w:ascii="Times New Roman" w:cs="Times New Roman" w:eastAsia="Times New Roman" w:hAnsi="Times New Roman"/>
          <w:sz w:val="18"/>
          <w:szCs w:val="18"/>
          <w:u w:val="single" w:color="auto"/>
          <w:color w:val="0000EE"/>
        </w:rPr>
      </w:pPr>
      <w:hyperlink r:id="rId32">
        <w:r>
          <w:rPr>
            <w:rFonts w:ascii="Times New Roman" w:cs="Times New Roman" w:eastAsia="Times New Roman" w:hAnsi="Times New Roman"/>
            <w:sz w:val="18"/>
            <w:szCs w:val="18"/>
            <w:u w:val="single" w:color="auto"/>
            <w:color w:val="0000EE"/>
          </w:rPr>
          <w:t>Indenture, dated July 28, 2022, by and between Runway Growth Finance Corp. and U.S. Bank Trust Company, National Association, as</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trustee</w:t>
        </w:r>
        <w:r>
          <w:rPr>
            <w:rFonts w:ascii="Times New Roman" w:cs="Times New Roman" w:eastAsia="Times New Roman" w:hAnsi="Times New Roman"/>
            <w:sz w:val="29"/>
            <w:szCs w:val="29"/>
            <w:u w:val="single" w:color="auto"/>
            <w:color w:val="0000EE"/>
            <w:vertAlign w:val="superscript"/>
          </w:rPr>
          <w:t>(19)</w:t>
        </w:r>
      </w:hyperlink>
    </w:p>
    <w:p>
      <w:pPr>
        <w:spacing w:after="0" w:line="2" w:lineRule="exact"/>
        <w:rPr>
          <w:sz w:val="20"/>
          <w:szCs w:val="20"/>
          <w:color w:val="auto"/>
        </w:rPr>
      </w:pPr>
    </w:p>
    <w:p>
      <w:pPr>
        <w:ind w:right="540"/>
        <w:spacing w:after="0" w:line="245" w:lineRule="auto"/>
        <w:rPr>
          <w:rFonts w:ascii="Times New Roman" w:cs="Times New Roman" w:eastAsia="Times New Roman" w:hAnsi="Times New Roman"/>
          <w:sz w:val="18"/>
          <w:szCs w:val="18"/>
          <w:u w:val="single" w:color="auto"/>
          <w:color w:val="0000EE"/>
        </w:rPr>
      </w:pPr>
      <w:hyperlink r:id="rId33">
        <w:r>
          <w:rPr>
            <w:rFonts w:ascii="Times New Roman" w:cs="Times New Roman" w:eastAsia="Times New Roman" w:hAnsi="Times New Roman"/>
            <w:sz w:val="18"/>
            <w:szCs w:val="18"/>
            <w:u w:val="single" w:color="auto"/>
            <w:color w:val="0000EE"/>
          </w:rPr>
          <w:t>First Supplemental Indenture, dated July 28, 2022, by and between Runway Growth Finance Corp. and U.S. Bank Trust Company,</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National Association, as trustee</w:t>
        </w:r>
        <w:r>
          <w:rPr>
            <w:rFonts w:ascii="Times New Roman" w:cs="Times New Roman" w:eastAsia="Times New Roman" w:hAnsi="Times New Roman"/>
            <w:sz w:val="29"/>
            <w:szCs w:val="29"/>
            <w:u w:val="single" w:color="auto"/>
            <w:color w:val="0000EE"/>
            <w:vertAlign w:val="superscript"/>
          </w:rPr>
          <w:t>(19)</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33">
        <w:r>
          <w:rPr>
            <w:rFonts w:ascii="Times New Roman" w:cs="Times New Roman" w:eastAsia="Times New Roman" w:hAnsi="Times New Roman"/>
            <w:sz w:val="18"/>
            <w:szCs w:val="18"/>
            <w:u w:val="single" w:color="auto"/>
            <w:color w:val="0000EE"/>
          </w:rPr>
          <w:t>Form of Global Note 7.50% Note Due 2027 (included as part of Exhibit 4.3)</w:t>
        </w:r>
      </w:hyperlink>
      <w:r>
        <w:rPr>
          <w:rFonts w:ascii="Times New Roman" w:cs="Times New Roman" w:eastAsia="Times New Roman" w:hAnsi="Times New Roman"/>
          <w:sz w:val="29"/>
          <w:szCs w:val="29"/>
          <w:u w:val="single" w:color="auto"/>
          <w:color w:val="0000EE"/>
          <w:vertAlign w:val="superscript"/>
        </w:rPr>
        <w:t>(19)</w:t>
      </w:r>
    </w:p>
    <w:p>
      <w:pPr>
        <w:spacing w:after="0" w:line="4" w:lineRule="exact"/>
        <w:rPr>
          <w:sz w:val="20"/>
          <w:szCs w:val="20"/>
          <w:color w:val="auto"/>
        </w:rPr>
      </w:pPr>
    </w:p>
    <w:p>
      <w:pPr>
        <w:spacing w:after="0" w:line="245" w:lineRule="auto"/>
        <w:rPr>
          <w:rFonts w:ascii="Times New Roman" w:cs="Times New Roman" w:eastAsia="Times New Roman" w:hAnsi="Times New Roman"/>
          <w:sz w:val="18"/>
          <w:szCs w:val="18"/>
          <w:u w:val="single" w:color="auto"/>
          <w:color w:val="0000EE"/>
        </w:rPr>
      </w:pPr>
      <w:hyperlink r:id="rId34">
        <w:r>
          <w:rPr>
            <w:rFonts w:ascii="Times New Roman" w:cs="Times New Roman" w:eastAsia="Times New Roman" w:hAnsi="Times New Roman"/>
            <w:sz w:val="18"/>
            <w:szCs w:val="18"/>
            <w:u w:val="single" w:color="auto"/>
            <w:color w:val="0000EE"/>
          </w:rPr>
          <w:t>Second Supplemental Indenture, dated December 7, 2022, by and between Runway Growth Finance Corp. and U.S. Bank Trust Company,</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National Association, as trustee</w:t>
        </w:r>
        <w:r>
          <w:rPr>
            <w:rFonts w:ascii="Times New Roman" w:cs="Times New Roman" w:eastAsia="Times New Roman" w:hAnsi="Times New Roman"/>
            <w:sz w:val="29"/>
            <w:szCs w:val="29"/>
            <w:u w:val="single" w:color="auto"/>
            <w:color w:val="0000EE"/>
            <w:vertAlign w:val="superscript"/>
          </w:rPr>
          <w:t>(20)</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34">
        <w:r>
          <w:rPr>
            <w:rFonts w:ascii="Times New Roman" w:cs="Times New Roman" w:eastAsia="Times New Roman" w:hAnsi="Times New Roman"/>
            <w:sz w:val="18"/>
            <w:szCs w:val="18"/>
            <w:u w:val="single" w:color="auto"/>
            <w:color w:val="0000EE"/>
          </w:rPr>
          <w:t>Form of Global Note 8.00% Note Due 2027 (included as part of Exhibit 4.5)</w:t>
        </w:r>
      </w:hyperlink>
      <w:r>
        <w:rPr>
          <w:rFonts w:ascii="Times New Roman" w:cs="Times New Roman" w:eastAsia="Times New Roman" w:hAnsi="Times New Roman"/>
          <w:sz w:val="29"/>
          <w:szCs w:val="29"/>
          <w:u w:val="single" w:color="auto"/>
          <w:color w:val="0000EE"/>
          <w:vertAlign w:val="superscript"/>
        </w:rPr>
        <w:t>(20)</w:t>
      </w:r>
    </w:p>
    <w:p>
      <w:pPr>
        <w:spacing w:after="0" w:line="200" w:lineRule="exact"/>
        <w:rPr>
          <w:sz w:val="20"/>
          <w:szCs w:val="20"/>
          <w:color w:val="auto"/>
        </w:rPr>
      </w:pPr>
    </w:p>
    <w:p>
      <w:pPr>
        <w:sectPr>
          <w:pgSz w:w="11900" w:h="16838" w:orient="portrait"/>
          <w:cols w:equalWidth="0" w:num="2">
            <w:col w:w="880" w:space="300"/>
            <w:col w:w="9960"/>
          </w:cols>
          <w:pgMar w:left="320" w:top="900" w:right="439" w:bottom="1440" w:gutter="0" w:footer="0" w:header="0"/>
          <w:type w:val="continuous"/>
        </w:sectPr>
      </w:pP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0"/>
        </w:trPr>
        <w:tc>
          <w:tcPr>
            <w:tcW w:w="240" w:type="dxa"/>
            <w:vAlign w:val="bottom"/>
            <w:vMerge w:val="restart"/>
          </w:tcPr>
          <w:p>
            <w:pPr>
              <w:spacing w:after="0"/>
              <w:rPr>
                <w:rFonts w:ascii="Times New Roman" w:cs="Times New Roman" w:eastAsia="Times New Roman" w:hAnsi="Times New Roman"/>
                <w:sz w:val="18"/>
                <w:szCs w:val="18"/>
                <w:color w:val="0000EE"/>
                <w:w w:val="97"/>
              </w:rPr>
            </w:pPr>
            <w:hyperlink r:id="rId37">
              <w:r>
                <w:rPr>
                  <w:rFonts w:ascii="Times New Roman" w:cs="Times New Roman" w:eastAsia="Times New Roman" w:hAnsi="Times New Roman"/>
                  <w:sz w:val="18"/>
                  <w:szCs w:val="18"/>
                  <w:color w:val="0000EE"/>
                  <w:w w:val="97"/>
                </w:rPr>
                <w:t>9.</w:t>
              </w:r>
              <w:r>
                <w:rPr>
                  <w:rFonts w:ascii="Times New Roman" w:cs="Times New Roman" w:eastAsia="Times New Roman" w:hAnsi="Times New Roman"/>
                  <w:sz w:val="18"/>
                  <w:szCs w:val="18"/>
                  <w:u w:val="single" w:color="auto"/>
                  <w:color w:val="0000EE"/>
                  <w:w w:val="97"/>
                </w:rPr>
                <w:t>1</w:t>
              </w:r>
            </w:hyperlink>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0" w:type="dxa"/>
            <w:vAlign w:val="bottom"/>
            <w:gridSpan w:val="20"/>
            <w:vMerge w:val="restart"/>
          </w:tcPr>
          <w:p>
            <w:pPr>
              <w:spacing w:after="0"/>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Voting Proxy of OCM Growth Holdings, LLC in favor of Runway Growth Credit Fund Inc.</w:t>
              </w:r>
            </w:hyperlink>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5"/>
                <w:szCs w:val="15"/>
                <w:color w:val="0000EE"/>
                <w:w w:val="91"/>
              </w:rPr>
              <w:t>(3)</w:t>
            </w:r>
          </w:p>
        </w:tc>
        <w:tc>
          <w:tcPr>
            <w:tcW w:w="540" w:type="dxa"/>
            <w:vAlign w:val="bottom"/>
            <w:vMerge w:val="restart"/>
          </w:tcPr>
          <w:p>
            <w:pPr>
              <w:spacing w:after="0"/>
              <w:rPr>
                <w:sz w:val="17"/>
                <w:szCs w:val="17"/>
                <w:color w:val="auto"/>
              </w:rPr>
            </w:pPr>
          </w:p>
        </w:tc>
        <w:tc>
          <w:tcPr>
            <w:tcW w:w="180" w:type="dxa"/>
            <w:vAlign w:val="bottom"/>
            <w:vMerge w:val="restart"/>
          </w:tcPr>
          <w:p>
            <w:pPr>
              <w:spacing w:after="0"/>
              <w:rPr>
                <w:sz w:val="17"/>
                <w:szCs w:val="17"/>
                <w:color w:val="auto"/>
              </w:rPr>
            </w:pPr>
          </w:p>
        </w:tc>
        <w:tc>
          <w:tcPr>
            <w:tcW w:w="232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vMerge w:val="continu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6600" w:type="dxa"/>
            <w:vAlign w:val="bottom"/>
            <w:gridSpan w:val="20"/>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3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6600" w:type="dxa"/>
            <w:vAlign w:val="bottom"/>
            <w:tcBorders>
              <w:bottom w:val="single" w:sz="8" w:color="0000EE"/>
            </w:tcBorders>
            <w:gridSpan w:val="20"/>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3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5"/>
              </w:rPr>
            </w:pPr>
            <w:hyperlink r:id="rId38">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820" w:type="dxa"/>
            <w:vAlign w:val="bottom"/>
          </w:tcPr>
          <w:p>
            <w:pPr>
              <w:spacing w:after="0"/>
              <w:rPr>
                <w:sz w:val="23"/>
                <w:szCs w:val="23"/>
                <w:color w:val="auto"/>
              </w:rPr>
            </w:pPr>
          </w:p>
        </w:tc>
        <w:tc>
          <w:tcPr>
            <w:tcW w:w="98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Second Amended and Restated Investment Advisory Agreement between Runway Growth Credit Fund Inc. and Runway Growth Capital</w:t>
              </w:r>
            </w:hyperlink>
          </w:p>
        </w:tc>
        <w:tc>
          <w:tcPr>
            <w:tcW w:w="22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40" w:type="dxa"/>
            <w:vAlign w:val="bottom"/>
            <w:gridSpan w:val="13"/>
            <w:vMerge w:val="restart"/>
          </w:tcPr>
          <w:p>
            <w:pPr>
              <w:spacing w:after="0"/>
              <w:rPr>
                <w:rFonts w:ascii="Times New Roman" w:cs="Times New Roman" w:eastAsia="Times New Roman" w:hAnsi="Times New Roman"/>
                <w:sz w:val="18"/>
                <w:szCs w:val="18"/>
                <w:color w:val="0000EE"/>
                <w:w w:val="98"/>
              </w:rPr>
            </w:pPr>
            <w:hyperlink r:id="rId38">
              <w:r>
                <w:rPr>
                  <w:rFonts w:ascii="Times New Roman" w:cs="Times New Roman" w:eastAsia="Times New Roman" w:hAnsi="Times New Roman"/>
                  <w:sz w:val="18"/>
                  <w:szCs w:val="18"/>
                  <w:color w:val="0000EE"/>
                  <w:w w:val="98"/>
                </w:rPr>
                <w:t>LLC, as the investment adviser</w:t>
              </w:r>
            </w:hyperlink>
          </w:p>
        </w:tc>
        <w:tc>
          <w:tcPr>
            <w:tcW w:w="180" w:type="dxa"/>
            <w:vAlign w:val="bottom"/>
            <w:tcBorders>
              <w:bottom w:val="single" w:sz="8" w:color="0000EE"/>
            </w:tcBorders>
            <w:gridSpan w:val="2"/>
          </w:tcPr>
          <w:p>
            <w:pPr>
              <w:jc w:val="right"/>
              <w:spacing w:after="0" w:line="156" w:lineRule="exact"/>
              <w:rPr>
                <w:rFonts w:ascii="Times New Roman" w:cs="Times New Roman" w:eastAsia="Times New Roman" w:hAnsi="Times New Roman"/>
                <w:sz w:val="15"/>
                <w:szCs w:val="15"/>
                <w:color w:val="0000EE"/>
                <w:w w:val="91"/>
              </w:rPr>
            </w:pPr>
            <w:hyperlink r:id="rId38">
              <w:r>
                <w:rPr>
                  <w:rFonts w:ascii="Times New Roman" w:cs="Times New Roman" w:eastAsia="Times New Roman" w:hAnsi="Times New Roman"/>
                  <w:sz w:val="15"/>
                  <w:szCs w:val="15"/>
                  <w:color w:val="0000EE"/>
                  <w:w w:val="91"/>
                </w:rPr>
                <w:t>(4)</w:t>
              </w:r>
            </w:hyperlink>
          </w:p>
        </w:tc>
        <w:tc>
          <w:tcPr>
            <w:tcW w:w="200" w:type="dxa"/>
            <w:vAlign w:val="bottom"/>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980" w:type="dxa"/>
            <w:vAlign w:val="bottom"/>
            <w:vMerge w:val="restart"/>
          </w:tcPr>
          <w:p>
            <w:pPr>
              <w:spacing w:after="0"/>
              <w:rPr>
                <w:sz w:val="14"/>
                <w:szCs w:val="14"/>
                <w:color w:val="auto"/>
              </w:rPr>
            </w:pPr>
          </w:p>
        </w:tc>
        <w:tc>
          <w:tcPr>
            <w:tcW w:w="260" w:type="dxa"/>
            <w:vAlign w:val="bottom"/>
            <w:vMerge w:val="restart"/>
          </w:tcPr>
          <w:p>
            <w:pPr>
              <w:spacing w:after="0"/>
              <w:rPr>
                <w:sz w:val="14"/>
                <w:szCs w:val="14"/>
                <w:color w:val="auto"/>
              </w:rPr>
            </w:pPr>
          </w:p>
        </w:tc>
        <w:tc>
          <w:tcPr>
            <w:tcW w:w="3280" w:type="dxa"/>
            <w:vAlign w:val="bottom"/>
            <w:gridSpan w:val="3"/>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2320" w:type="dxa"/>
            <w:vAlign w:val="bottom"/>
            <w:vMerge w:val="restart"/>
          </w:tcPr>
          <w:p>
            <w:pPr>
              <w:spacing w:after="0"/>
              <w:rPr>
                <w:sz w:val="14"/>
                <w:szCs w:val="14"/>
                <w:color w:val="auto"/>
              </w:rPr>
            </w:pPr>
          </w:p>
        </w:tc>
        <w:tc>
          <w:tcPr>
            <w:tcW w:w="180" w:type="dxa"/>
            <w:vAlign w:val="bottom"/>
            <w:gridSpan w:val="2"/>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40" w:type="dxa"/>
            <w:vAlign w:val="bottom"/>
            <w:tcBorders>
              <w:bottom w:val="single" w:sz="8" w:color="0000EE"/>
            </w:tcBorders>
            <w:gridSpan w:val="13"/>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3280" w:type="dxa"/>
            <w:vAlign w:val="bottom"/>
            <w:gridSpan w:val="3"/>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32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20" w:type="dxa"/>
            <w:vAlign w:val="bottom"/>
            <w:gridSpan w:val="2"/>
          </w:tcPr>
          <w:p>
            <w:pPr>
              <w:spacing w:after="0"/>
              <w:rPr>
                <w:rFonts w:ascii="Times New Roman" w:cs="Times New Roman" w:eastAsia="Times New Roman" w:hAnsi="Times New Roman"/>
                <w:sz w:val="18"/>
                <w:szCs w:val="18"/>
                <w:color w:val="0000EE"/>
                <w:w w:val="95"/>
              </w:rPr>
            </w:pPr>
            <w:hyperlink r:id="rId39">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hyperlink>
          </w:p>
        </w:tc>
        <w:tc>
          <w:tcPr>
            <w:tcW w:w="820" w:type="dxa"/>
            <w:vAlign w:val="bottom"/>
          </w:tcPr>
          <w:p>
            <w:pPr>
              <w:spacing w:after="0"/>
              <w:rPr>
                <w:sz w:val="24"/>
                <w:szCs w:val="24"/>
                <w:color w:val="auto"/>
              </w:rPr>
            </w:pPr>
          </w:p>
        </w:tc>
        <w:tc>
          <w:tcPr>
            <w:tcW w:w="10100" w:type="dxa"/>
            <w:vAlign w:val="bottom"/>
            <w:gridSpan w:val="28"/>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Third Amended and Restated Investment Advisory Agreement between Runway Growth Finance Corp. and Runway Growth Capital LLC,</w:t>
              </w:r>
            </w:hyperlink>
          </w:p>
        </w:tc>
        <w:tc>
          <w:tcPr>
            <w:tcW w:w="0" w:type="dxa"/>
            <w:vAlign w:val="bottom"/>
          </w:tcPr>
          <w:p>
            <w:pPr>
              <w:spacing w:after="0"/>
              <w:rPr>
                <w:sz w:val="1"/>
                <w:szCs w:val="1"/>
                <w:color w:val="auto"/>
              </w:rPr>
            </w:pPr>
          </w:p>
        </w:tc>
      </w:tr>
      <w:tr>
        <w:trPr>
          <w:trHeight w:val="169"/>
        </w:trPr>
        <w:tc>
          <w:tcPr>
            <w:tcW w:w="2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20" w:type="dxa"/>
            <w:vAlign w:val="bottom"/>
          </w:tcPr>
          <w:p>
            <w:pPr>
              <w:spacing w:after="0"/>
              <w:rPr>
                <w:sz w:val="14"/>
                <w:szCs w:val="14"/>
                <w:color w:val="auto"/>
              </w:rPr>
            </w:pPr>
          </w:p>
        </w:tc>
        <w:tc>
          <w:tcPr>
            <w:tcW w:w="1820" w:type="dxa"/>
            <w:vAlign w:val="bottom"/>
            <w:tcBorders>
              <w:top w:val="single" w:sz="8" w:color="0000EE"/>
              <w:bottom w:val="single" w:sz="8" w:color="0000EE"/>
            </w:tcBorders>
            <w:gridSpan w:val="7"/>
            <w:vMerge w:val="restart"/>
          </w:tcPr>
          <w:p>
            <w:pPr>
              <w:spacing w:after="0"/>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as the investment adviser</w:t>
              </w:r>
            </w:hyperlink>
          </w:p>
        </w:tc>
        <w:tc>
          <w:tcPr>
            <w:tcW w:w="240" w:type="dxa"/>
            <w:vAlign w:val="bottom"/>
            <w:tcBorders>
              <w:top w:val="single" w:sz="8" w:color="0000EE"/>
              <w:bottom w:val="single" w:sz="8" w:color="0000EE"/>
            </w:tcBorders>
            <w:gridSpan w:val="4"/>
          </w:tcPr>
          <w:p>
            <w:pPr>
              <w:jc w:val="right"/>
              <w:spacing w:after="0" w:line="156" w:lineRule="exact"/>
              <w:rPr>
                <w:rFonts w:ascii="Times New Roman" w:cs="Times New Roman" w:eastAsia="Times New Roman" w:hAnsi="Times New Roman"/>
                <w:sz w:val="15"/>
                <w:szCs w:val="15"/>
                <w:color w:val="0000EE"/>
                <w:w w:val="87"/>
              </w:rPr>
            </w:pPr>
            <w:hyperlink r:id="rId39">
              <w:r>
                <w:rPr>
                  <w:rFonts w:ascii="Times New Roman" w:cs="Times New Roman" w:eastAsia="Times New Roman" w:hAnsi="Times New Roman"/>
                  <w:sz w:val="15"/>
                  <w:szCs w:val="15"/>
                  <w:color w:val="0000EE"/>
                  <w:w w:val="87"/>
                </w:rPr>
                <w:t>(26)</w:t>
              </w:r>
            </w:hyperlink>
          </w:p>
        </w:tc>
        <w:tc>
          <w:tcPr>
            <w:tcW w:w="120" w:type="dxa"/>
            <w:vAlign w:val="bottom"/>
            <w:tcBorders>
              <w:top w:val="single" w:sz="8" w:color="0000EE"/>
              <w:bottom w:val="single" w:sz="8" w:color="0000EE"/>
            </w:tcBorders>
            <w:vMerge w:val="restart"/>
          </w:tcPr>
          <w:p>
            <w:pPr>
              <w:spacing w:after="0"/>
              <w:rPr>
                <w:sz w:val="14"/>
                <w:szCs w:val="14"/>
                <w:color w:val="auto"/>
              </w:rPr>
            </w:pPr>
          </w:p>
        </w:tc>
        <w:tc>
          <w:tcPr>
            <w:tcW w:w="440" w:type="dxa"/>
            <w:vAlign w:val="bottom"/>
            <w:tcBorders>
              <w:top w:val="single" w:sz="8" w:color="0000EE"/>
              <w:bottom w:val="single" w:sz="8" w:color="0000EE"/>
            </w:tcBorders>
            <w:gridSpan w:val="4"/>
            <w:vMerge w:val="restart"/>
          </w:tcPr>
          <w:p>
            <w:pPr>
              <w:spacing w:after="0"/>
              <w:rPr>
                <w:sz w:val="14"/>
                <w:szCs w:val="14"/>
                <w:color w:val="auto"/>
              </w:rPr>
            </w:pPr>
          </w:p>
        </w:tc>
        <w:tc>
          <w:tcPr>
            <w:tcW w:w="180" w:type="dxa"/>
            <w:vAlign w:val="bottom"/>
            <w:tcBorders>
              <w:top w:val="single" w:sz="8" w:color="0000EE"/>
              <w:bottom w:val="single" w:sz="8" w:color="0000EE"/>
            </w:tcBorders>
            <w:vMerge w:val="restart"/>
          </w:tcPr>
          <w:p>
            <w:pPr>
              <w:spacing w:after="0"/>
              <w:rPr>
                <w:sz w:val="14"/>
                <w:szCs w:val="14"/>
                <w:color w:val="auto"/>
              </w:rPr>
            </w:pPr>
          </w:p>
        </w:tc>
        <w:tc>
          <w:tcPr>
            <w:tcW w:w="980" w:type="dxa"/>
            <w:vAlign w:val="bottom"/>
            <w:tcBorders>
              <w:top w:val="single" w:sz="8" w:color="0000EE"/>
              <w:bottom w:val="single" w:sz="8" w:color="0000EE"/>
            </w:tcBorders>
            <w:vMerge w:val="restart"/>
          </w:tcPr>
          <w:p>
            <w:pPr>
              <w:spacing w:after="0"/>
              <w:rPr>
                <w:sz w:val="14"/>
                <w:szCs w:val="14"/>
                <w:color w:val="auto"/>
              </w:rPr>
            </w:pPr>
          </w:p>
        </w:tc>
        <w:tc>
          <w:tcPr>
            <w:tcW w:w="260" w:type="dxa"/>
            <w:vAlign w:val="bottom"/>
            <w:tcBorders>
              <w:top w:val="single" w:sz="8" w:color="0000EE"/>
              <w:bottom w:val="single" w:sz="8" w:color="0000EE"/>
            </w:tcBorders>
            <w:vMerge w:val="restart"/>
          </w:tcPr>
          <w:p>
            <w:pPr>
              <w:spacing w:after="0"/>
              <w:rPr>
                <w:sz w:val="14"/>
                <w:szCs w:val="14"/>
                <w:color w:val="auto"/>
              </w:rPr>
            </w:pPr>
          </w:p>
        </w:tc>
        <w:tc>
          <w:tcPr>
            <w:tcW w:w="3280" w:type="dxa"/>
            <w:vAlign w:val="bottom"/>
            <w:tcBorders>
              <w:top w:val="single" w:sz="8" w:color="0000EE"/>
              <w:bottom w:val="single" w:sz="8" w:color="0000EE"/>
            </w:tcBorders>
            <w:gridSpan w:val="3"/>
            <w:vMerge w:val="restart"/>
          </w:tcPr>
          <w:p>
            <w:pPr>
              <w:spacing w:after="0"/>
              <w:rPr>
                <w:sz w:val="14"/>
                <w:szCs w:val="14"/>
                <w:color w:val="auto"/>
              </w:rPr>
            </w:pPr>
          </w:p>
        </w:tc>
        <w:tc>
          <w:tcPr>
            <w:tcW w:w="180" w:type="dxa"/>
            <w:vAlign w:val="bottom"/>
            <w:tcBorders>
              <w:top w:val="single" w:sz="8" w:color="0000EE"/>
              <w:bottom w:val="single" w:sz="8" w:color="0000EE"/>
            </w:tcBorders>
            <w:vMerge w:val="restart"/>
          </w:tcPr>
          <w:p>
            <w:pPr>
              <w:spacing w:after="0"/>
              <w:rPr>
                <w:sz w:val="14"/>
                <w:szCs w:val="14"/>
                <w:color w:val="auto"/>
              </w:rPr>
            </w:pPr>
          </w:p>
        </w:tc>
        <w:tc>
          <w:tcPr>
            <w:tcW w:w="2320" w:type="dxa"/>
            <w:vAlign w:val="bottom"/>
            <w:tcBorders>
              <w:top w:val="single" w:sz="8" w:color="0000EE"/>
              <w:bottom w:val="single" w:sz="8" w:color="0000EE"/>
            </w:tcBorders>
            <w:vMerge w:val="restart"/>
          </w:tcPr>
          <w:p>
            <w:pPr>
              <w:spacing w:after="0"/>
              <w:rPr>
                <w:sz w:val="14"/>
                <w:szCs w:val="14"/>
                <w:color w:val="auto"/>
              </w:rPr>
            </w:pPr>
          </w:p>
        </w:tc>
        <w:tc>
          <w:tcPr>
            <w:tcW w:w="180" w:type="dxa"/>
            <w:vAlign w:val="bottom"/>
            <w:tcBorders>
              <w:top w:val="single" w:sz="8" w:color="0000EE"/>
              <w:bottom w:val="single" w:sz="8" w:color="0000EE"/>
            </w:tcBorders>
            <w:gridSpan w:val="2"/>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20" w:type="dxa"/>
            <w:vAlign w:val="bottom"/>
            <w:tcBorders>
              <w:bottom w:val="single" w:sz="8" w:color="0000EE"/>
            </w:tcBorders>
            <w:gridSpan w:val="7"/>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440" w:type="dxa"/>
            <w:vAlign w:val="bottom"/>
            <w:gridSpan w:val="4"/>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3280" w:type="dxa"/>
            <w:vAlign w:val="bottom"/>
            <w:gridSpan w:val="3"/>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32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5"/>
              </w:rPr>
            </w:pPr>
            <w:hyperlink r:id="rId40">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hyperlink>
          </w:p>
        </w:tc>
        <w:tc>
          <w:tcPr>
            <w:tcW w:w="820" w:type="dxa"/>
            <w:vAlign w:val="bottom"/>
          </w:tcPr>
          <w:p>
            <w:pPr>
              <w:spacing w:after="0"/>
              <w:rPr>
                <w:sz w:val="24"/>
                <w:szCs w:val="24"/>
                <w:color w:val="auto"/>
              </w:rPr>
            </w:pPr>
          </w:p>
        </w:tc>
        <w:tc>
          <w:tcPr>
            <w:tcW w:w="1010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Amended and Restated Administration Agreement between Runway Growth Credit Fund Inc. and Runway Administrator Services, LLC, as</w:t>
              </w:r>
            </w:hyperlink>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gridSpan w:val="4"/>
            <w:vMerge w:val="restart"/>
          </w:tcPr>
          <w:p>
            <w:pPr>
              <w:spacing w:after="0"/>
              <w:rPr>
                <w:rFonts w:ascii="Times New Roman" w:cs="Times New Roman" w:eastAsia="Times New Roman" w:hAnsi="Times New Roman"/>
                <w:sz w:val="18"/>
                <w:szCs w:val="18"/>
                <w:color w:val="0000EE"/>
                <w:w w:val="97"/>
              </w:rPr>
            </w:pPr>
            <w:hyperlink r:id="rId40">
              <w:r>
                <w:rPr>
                  <w:rFonts w:ascii="Times New Roman" w:cs="Times New Roman" w:eastAsia="Times New Roman" w:hAnsi="Times New Roman"/>
                  <w:sz w:val="18"/>
                  <w:szCs w:val="18"/>
                  <w:color w:val="0000EE"/>
                  <w:w w:val="97"/>
                </w:rPr>
                <w:t>the administrator</w:t>
              </w:r>
            </w:hyperlink>
          </w:p>
        </w:tc>
        <w:tc>
          <w:tcPr>
            <w:tcW w:w="260" w:type="dxa"/>
            <w:vAlign w:val="bottom"/>
            <w:tcBorders>
              <w:bottom w:val="single" w:sz="8" w:color="0000EE"/>
            </w:tcBorders>
            <w:gridSpan w:val="2"/>
          </w:tcPr>
          <w:p>
            <w:pPr>
              <w:jc w:val="right"/>
              <w:spacing w:after="0" w:line="156" w:lineRule="exact"/>
              <w:rPr>
                <w:rFonts w:ascii="Times New Roman" w:cs="Times New Roman" w:eastAsia="Times New Roman" w:hAnsi="Times New Roman"/>
                <w:sz w:val="15"/>
                <w:szCs w:val="15"/>
                <w:color w:val="0000EE"/>
                <w:w w:val="95"/>
              </w:rPr>
            </w:pPr>
            <w:hyperlink r:id="rId40">
              <w:r>
                <w:rPr>
                  <w:rFonts w:ascii="Times New Roman" w:cs="Times New Roman" w:eastAsia="Times New Roman" w:hAnsi="Times New Roman"/>
                  <w:sz w:val="15"/>
                  <w:szCs w:val="15"/>
                  <w:color w:val="0000EE"/>
                  <w:w w:val="95"/>
                </w:rPr>
                <w:t>(12)</w:t>
              </w:r>
            </w:hyperlink>
          </w:p>
        </w:tc>
        <w:tc>
          <w:tcPr>
            <w:tcW w:w="460" w:type="dxa"/>
            <w:vAlign w:val="bottom"/>
            <w:gridSpan w:val="3"/>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20" w:type="dxa"/>
            <w:vAlign w:val="bottom"/>
            <w:gridSpan w:val="2"/>
            <w:vMerge w:val="restart"/>
          </w:tcPr>
          <w:p>
            <w:pPr>
              <w:spacing w:after="0"/>
              <w:rPr>
                <w:sz w:val="14"/>
                <w:szCs w:val="14"/>
                <w:color w:val="auto"/>
              </w:rPr>
            </w:pPr>
          </w:p>
        </w:tc>
        <w:tc>
          <w:tcPr>
            <w:tcW w:w="440" w:type="dxa"/>
            <w:vAlign w:val="bottom"/>
            <w:gridSpan w:val="4"/>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980" w:type="dxa"/>
            <w:vAlign w:val="bottom"/>
            <w:vMerge w:val="restart"/>
          </w:tcPr>
          <w:p>
            <w:pPr>
              <w:spacing w:after="0"/>
              <w:rPr>
                <w:sz w:val="14"/>
                <w:szCs w:val="14"/>
                <w:color w:val="auto"/>
              </w:rPr>
            </w:pPr>
          </w:p>
        </w:tc>
        <w:tc>
          <w:tcPr>
            <w:tcW w:w="260" w:type="dxa"/>
            <w:vAlign w:val="bottom"/>
            <w:vMerge w:val="restart"/>
          </w:tcPr>
          <w:p>
            <w:pPr>
              <w:spacing w:after="0"/>
              <w:rPr>
                <w:sz w:val="14"/>
                <w:szCs w:val="14"/>
                <w:color w:val="auto"/>
              </w:rPr>
            </w:pPr>
          </w:p>
        </w:tc>
        <w:tc>
          <w:tcPr>
            <w:tcW w:w="3280" w:type="dxa"/>
            <w:vAlign w:val="bottom"/>
            <w:gridSpan w:val="3"/>
            <w:vMerge w:val="restart"/>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vMerge w:val="restart"/>
          </w:tcPr>
          <w:p>
            <w:pPr>
              <w:spacing w:after="0"/>
              <w:rPr>
                <w:sz w:val="14"/>
                <w:szCs w:val="14"/>
                <w:color w:val="auto"/>
              </w:rPr>
            </w:pPr>
          </w:p>
        </w:tc>
        <w:tc>
          <w:tcPr>
            <w:tcW w:w="240" w:type="dxa"/>
            <w:vAlign w:val="bottom"/>
            <w:gridSpan w:val="3"/>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20" w:type="dxa"/>
            <w:vAlign w:val="bottom"/>
            <w:gridSpan w:val="2"/>
            <w:vMerge w:val="restart"/>
          </w:tcPr>
          <w:p>
            <w:pPr>
              <w:spacing w:after="0"/>
              <w:rPr>
                <w:rFonts w:ascii="Times New Roman" w:cs="Times New Roman" w:eastAsia="Times New Roman" w:hAnsi="Times New Roman"/>
                <w:sz w:val="18"/>
                <w:szCs w:val="18"/>
                <w:color w:val="0000EE"/>
                <w:w w:val="95"/>
              </w:rPr>
            </w:pPr>
            <w:hyperlink r:id="rId41">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4</w:t>
              </w:r>
            </w:hyperlink>
          </w:p>
        </w:tc>
        <w:tc>
          <w:tcPr>
            <w:tcW w:w="820" w:type="dxa"/>
            <w:vAlign w:val="bottom"/>
          </w:tcPr>
          <w:p>
            <w:pPr>
              <w:spacing w:after="0"/>
              <w:rPr>
                <w:sz w:val="4"/>
                <w:szCs w:val="4"/>
                <w:color w:val="auto"/>
              </w:rPr>
            </w:pPr>
          </w:p>
        </w:tc>
        <w:tc>
          <w:tcPr>
            <w:tcW w:w="1220" w:type="dxa"/>
            <w:vAlign w:val="bottom"/>
            <w:tcBorders>
              <w:bottom w:val="single" w:sz="8" w:color="0000EE"/>
            </w:tcBorders>
            <w:gridSpan w:val="4"/>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gridSpan w:val="3"/>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440" w:type="dxa"/>
            <w:vAlign w:val="bottom"/>
            <w:gridSpan w:val="4"/>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3280" w:type="dxa"/>
            <w:vAlign w:val="bottom"/>
            <w:gridSpan w:val="3"/>
            <w:vMerge w:val="continue"/>
          </w:tcPr>
          <w:p>
            <w:pPr>
              <w:spacing w:after="0"/>
              <w:rPr>
                <w:sz w:val="4"/>
                <w:szCs w:val="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EE"/>
                <w:w w:val="91"/>
              </w:rPr>
              <w:t>(1)</w:t>
            </w:r>
          </w:p>
        </w:tc>
        <w:tc>
          <w:tcPr>
            <w:tcW w:w="2320" w:type="dxa"/>
            <w:vAlign w:val="bottom"/>
            <w:vMerge w:val="continue"/>
          </w:tcPr>
          <w:p>
            <w:pPr>
              <w:spacing w:after="0"/>
              <w:rPr>
                <w:sz w:val="4"/>
                <w:szCs w:val="4"/>
                <w:color w:val="auto"/>
              </w:rPr>
            </w:pPr>
          </w:p>
        </w:tc>
        <w:tc>
          <w:tcPr>
            <w:tcW w:w="240" w:type="dxa"/>
            <w:vAlign w:val="bottom"/>
            <w:gridSpan w:val="3"/>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320" w:type="dxa"/>
            <w:vAlign w:val="bottom"/>
            <w:gridSpan w:val="2"/>
            <w:vMerge w:val="continue"/>
          </w:tcPr>
          <w:p>
            <w:pPr>
              <w:spacing w:after="0"/>
              <w:rPr>
                <w:sz w:val="21"/>
                <w:szCs w:val="21"/>
                <w:color w:val="auto"/>
              </w:rPr>
            </w:pPr>
          </w:p>
        </w:tc>
        <w:tc>
          <w:tcPr>
            <w:tcW w:w="820" w:type="dxa"/>
            <w:vAlign w:val="bottom"/>
          </w:tcPr>
          <w:p>
            <w:pPr>
              <w:spacing w:after="0"/>
              <w:rPr>
                <w:sz w:val="21"/>
                <w:szCs w:val="21"/>
                <w:color w:val="auto"/>
              </w:rPr>
            </w:pPr>
          </w:p>
        </w:tc>
        <w:tc>
          <w:tcPr>
            <w:tcW w:w="7320" w:type="dxa"/>
            <w:vAlign w:val="bottom"/>
            <w:gridSpan w:val="22"/>
            <w:vMerge w:val="restart"/>
          </w:tcPr>
          <w:p>
            <w:pPr>
              <w:spacing w:after="0"/>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Stockholder Agreement between Runway Growth Credit Fund Inc. and OCM Growth Holdings, LLC</w:t>
              </w:r>
            </w:hyperlink>
          </w:p>
        </w:tc>
        <w:tc>
          <w:tcPr>
            <w:tcW w:w="180" w:type="dxa"/>
            <w:vAlign w:val="bottom"/>
            <w:tcBorders>
              <w:bottom w:val="single" w:sz="8" w:color="0000EE"/>
            </w:tcBorders>
            <w:vMerge w:val="continue"/>
          </w:tcPr>
          <w:p>
            <w:pPr>
              <w:spacing w:after="0"/>
              <w:rPr>
                <w:sz w:val="21"/>
                <w:szCs w:val="21"/>
                <w:color w:val="auto"/>
              </w:rPr>
            </w:pPr>
          </w:p>
        </w:tc>
        <w:tc>
          <w:tcPr>
            <w:tcW w:w="2320" w:type="dxa"/>
            <w:vAlign w:val="bottom"/>
            <w:vMerge w:val="restart"/>
          </w:tcPr>
          <w:p>
            <w:pPr>
              <w:spacing w:after="0"/>
              <w:rPr>
                <w:sz w:val="21"/>
                <w:szCs w:val="21"/>
                <w:color w:val="auto"/>
              </w:rPr>
            </w:pPr>
          </w:p>
        </w:tc>
        <w:tc>
          <w:tcPr>
            <w:tcW w:w="240" w:type="dxa"/>
            <w:vAlign w:val="bottom"/>
            <w:gridSpan w:val="3"/>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320" w:type="dxa"/>
            <w:vAlign w:val="bottom"/>
            <w:tcBorders>
              <w:bottom w:val="single" w:sz="8" w:color="0000EE"/>
            </w:tcBorders>
            <w:gridSpan w:val="2"/>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20" w:type="dxa"/>
            <w:vAlign w:val="bottom"/>
            <w:gridSpan w:val="22"/>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320" w:type="dxa"/>
            <w:vAlign w:val="bottom"/>
            <w:vMerge w:val="continue"/>
          </w:tcPr>
          <w:p>
            <w:pPr>
              <w:spacing w:after="0" w:line="20" w:lineRule="exact"/>
              <w:rPr>
                <w:sz w:val="1"/>
                <w:szCs w:val="1"/>
                <w:color w:val="auto"/>
              </w:rPr>
            </w:pPr>
          </w:p>
        </w:tc>
        <w:tc>
          <w:tcPr>
            <w:tcW w:w="240" w:type="dxa"/>
            <w:vAlign w:val="bottom"/>
            <w:gridSpan w:val="3"/>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3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20" w:type="dxa"/>
            <w:vAlign w:val="bottom"/>
            <w:tcBorders>
              <w:bottom w:val="single" w:sz="8" w:color="0000EE"/>
            </w:tcBorders>
            <w:gridSpan w:val="2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320" w:type="dxa"/>
            <w:vAlign w:val="bottom"/>
            <w:vMerge w:val="continue"/>
          </w:tcPr>
          <w:p>
            <w:pPr>
              <w:spacing w:after="0" w:line="20" w:lineRule="exact"/>
              <w:rPr>
                <w:sz w:val="1"/>
                <w:szCs w:val="1"/>
                <w:color w:val="auto"/>
              </w:rPr>
            </w:pPr>
          </w:p>
        </w:tc>
        <w:tc>
          <w:tcPr>
            <w:tcW w:w="240" w:type="dxa"/>
            <w:vAlign w:val="bottom"/>
            <w:gridSpan w:val="3"/>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gridSpan w:val="2"/>
          </w:tcPr>
          <w:p>
            <w:pPr>
              <w:spacing w:after="0"/>
              <w:rPr>
                <w:rFonts w:ascii="Times New Roman" w:cs="Times New Roman" w:eastAsia="Times New Roman" w:hAnsi="Times New Roman"/>
                <w:sz w:val="18"/>
                <w:szCs w:val="18"/>
                <w:color w:val="0000EE"/>
                <w:w w:val="95"/>
              </w:rPr>
            </w:pPr>
            <w:hyperlink r:id="rId42">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5</w:t>
              </w:r>
            </w:hyperlink>
          </w:p>
        </w:tc>
        <w:tc>
          <w:tcPr>
            <w:tcW w:w="820" w:type="dxa"/>
            <w:vAlign w:val="bottom"/>
          </w:tcPr>
          <w:p>
            <w:pPr>
              <w:spacing w:after="0"/>
              <w:rPr>
                <w:sz w:val="23"/>
                <w:szCs w:val="23"/>
                <w:color w:val="auto"/>
              </w:rPr>
            </w:pPr>
          </w:p>
        </w:tc>
        <w:tc>
          <w:tcPr>
            <w:tcW w:w="10100" w:type="dxa"/>
            <w:vAlign w:val="bottom"/>
            <w:gridSpan w:val="28"/>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Custody Agreement between Runway Growth Credit Fund Inc. and U.S. Bank National Association, as the custodian dated as of December</w:t>
              </w:r>
            </w:hyperlink>
          </w:p>
        </w:tc>
        <w:tc>
          <w:tcPr>
            <w:tcW w:w="0" w:type="dxa"/>
            <w:vAlign w:val="bottom"/>
          </w:tcPr>
          <w:p>
            <w:pPr>
              <w:spacing w:after="0"/>
              <w:rPr>
                <w:sz w:val="1"/>
                <w:szCs w:val="1"/>
                <w:color w:val="auto"/>
              </w:rPr>
            </w:pPr>
          </w:p>
        </w:tc>
      </w:tr>
      <w:tr>
        <w:trPr>
          <w:trHeight w:val="169"/>
        </w:trPr>
        <w:tc>
          <w:tcPr>
            <w:tcW w:w="2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Borders>
              <w:top w:val="single" w:sz="8" w:color="0000EE"/>
              <w:bottom w:val="single" w:sz="8" w:color="0000EE"/>
            </w:tcBorders>
            <w:vMerge w:val="restart"/>
          </w:tcPr>
          <w:p>
            <w:pPr>
              <w:spacing w:after="0"/>
              <w:rPr>
                <w:rFonts w:ascii="Times New Roman" w:cs="Times New Roman" w:eastAsia="Times New Roman" w:hAnsi="Times New Roman"/>
                <w:sz w:val="18"/>
                <w:szCs w:val="18"/>
                <w:color w:val="0000EE"/>
                <w:w w:val="98"/>
              </w:rPr>
            </w:pPr>
            <w:hyperlink r:id="rId42">
              <w:r>
                <w:rPr>
                  <w:rFonts w:ascii="Times New Roman" w:cs="Times New Roman" w:eastAsia="Times New Roman" w:hAnsi="Times New Roman"/>
                  <w:sz w:val="18"/>
                  <w:szCs w:val="18"/>
                  <w:color w:val="0000EE"/>
                  <w:w w:val="98"/>
                </w:rPr>
                <w:t>16, 2016</w:t>
              </w:r>
            </w:hyperlink>
          </w:p>
        </w:tc>
        <w:tc>
          <w:tcPr>
            <w:tcW w:w="160" w:type="dxa"/>
            <w:vAlign w:val="bottom"/>
            <w:tcBorders>
              <w:top w:val="single" w:sz="8" w:color="0000EE"/>
              <w:bottom w:val="single" w:sz="8" w:color="0000EE"/>
            </w:tcBorders>
            <w:gridSpan w:val="2"/>
          </w:tcPr>
          <w:p>
            <w:pPr>
              <w:jc w:val="right"/>
              <w:spacing w:after="0" w:line="156" w:lineRule="exact"/>
              <w:rPr>
                <w:rFonts w:ascii="Times New Roman" w:cs="Times New Roman" w:eastAsia="Times New Roman" w:hAnsi="Times New Roman"/>
                <w:sz w:val="15"/>
                <w:szCs w:val="15"/>
                <w:color w:val="0000EE"/>
                <w:w w:val="79"/>
              </w:rPr>
            </w:pPr>
            <w:hyperlink r:id="rId42">
              <w:r>
                <w:rPr>
                  <w:rFonts w:ascii="Times New Roman" w:cs="Times New Roman" w:eastAsia="Times New Roman" w:hAnsi="Times New Roman"/>
                  <w:sz w:val="15"/>
                  <w:szCs w:val="15"/>
                  <w:color w:val="0000EE"/>
                  <w:w w:val="79"/>
                </w:rPr>
                <w:t>(1)</w:t>
              </w:r>
            </w:hyperlink>
          </w:p>
        </w:tc>
        <w:tc>
          <w:tcPr>
            <w:tcW w:w="4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98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56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3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Borders>
              <w:bottom w:val="single" w:sz="8" w:color="0000EE"/>
            </w:tcBorders>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20" w:type="dxa"/>
            <w:vAlign w:val="bottom"/>
            <w:gridSpan w:val="2"/>
          </w:tcPr>
          <w:p>
            <w:pPr>
              <w:spacing w:after="0"/>
              <w:rPr>
                <w:rFonts w:ascii="Times New Roman" w:cs="Times New Roman" w:eastAsia="Times New Roman" w:hAnsi="Times New Roman"/>
                <w:sz w:val="18"/>
                <w:szCs w:val="18"/>
                <w:color w:val="0000EE"/>
                <w:w w:val="95"/>
              </w:rPr>
            </w:pPr>
            <w:hyperlink r:id="rId43">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6</w:t>
              </w:r>
            </w:hyperlink>
          </w:p>
        </w:tc>
        <w:tc>
          <w:tcPr>
            <w:tcW w:w="820" w:type="dxa"/>
            <w:vAlign w:val="bottom"/>
          </w:tcPr>
          <w:p>
            <w:pPr>
              <w:spacing w:after="0"/>
              <w:rPr>
                <w:sz w:val="24"/>
                <w:szCs w:val="24"/>
                <w:color w:val="auto"/>
              </w:rPr>
            </w:pPr>
          </w:p>
        </w:tc>
        <w:tc>
          <w:tcPr>
            <w:tcW w:w="10100" w:type="dxa"/>
            <w:vAlign w:val="bottom"/>
            <w:gridSpan w:val="28"/>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First Amendment to Custody Agreement between Runway Growth Finance Corp. and U.S. Bank National Association, as the custodian,</w:t>
              </w:r>
            </w:hyperlink>
          </w:p>
        </w:tc>
        <w:tc>
          <w:tcPr>
            <w:tcW w:w="0" w:type="dxa"/>
            <w:vAlign w:val="bottom"/>
          </w:tcPr>
          <w:p>
            <w:pPr>
              <w:spacing w:after="0"/>
              <w:rPr>
                <w:sz w:val="1"/>
                <w:szCs w:val="1"/>
                <w:color w:val="auto"/>
              </w:rPr>
            </w:pPr>
          </w:p>
        </w:tc>
      </w:tr>
      <w:tr>
        <w:trPr>
          <w:trHeight w:val="169"/>
        </w:trPr>
        <w:tc>
          <w:tcPr>
            <w:tcW w:w="2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20" w:type="dxa"/>
            <w:vAlign w:val="bottom"/>
          </w:tcPr>
          <w:p>
            <w:pPr>
              <w:spacing w:after="0"/>
              <w:rPr>
                <w:sz w:val="14"/>
                <w:szCs w:val="14"/>
                <w:color w:val="auto"/>
              </w:rPr>
            </w:pPr>
          </w:p>
        </w:tc>
        <w:tc>
          <w:tcPr>
            <w:tcW w:w="1940" w:type="dxa"/>
            <w:vAlign w:val="bottom"/>
            <w:tcBorders>
              <w:top w:val="single" w:sz="8" w:color="0000EE"/>
              <w:bottom w:val="single" w:sz="8" w:color="0000EE"/>
            </w:tcBorders>
            <w:gridSpan w:val="9"/>
            <w:vMerge w:val="restart"/>
          </w:tcPr>
          <w:p>
            <w:pPr>
              <w:spacing w:after="0"/>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dated as of August 3, 2023</w:t>
              </w:r>
            </w:hyperlink>
          </w:p>
        </w:tc>
        <w:tc>
          <w:tcPr>
            <w:tcW w:w="240" w:type="dxa"/>
            <w:vAlign w:val="bottom"/>
            <w:tcBorders>
              <w:top w:val="single" w:sz="8" w:color="0000EE"/>
              <w:bottom w:val="single" w:sz="8" w:color="0000EE"/>
            </w:tcBorders>
            <w:gridSpan w:val="3"/>
          </w:tcPr>
          <w:p>
            <w:pPr>
              <w:jc w:val="right"/>
              <w:spacing w:after="0" w:line="156" w:lineRule="exact"/>
              <w:rPr>
                <w:rFonts w:ascii="Times New Roman" w:cs="Times New Roman" w:eastAsia="Times New Roman" w:hAnsi="Times New Roman"/>
                <w:sz w:val="15"/>
                <w:szCs w:val="15"/>
                <w:color w:val="0000EE"/>
                <w:w w:val="87"/>
              </w:rPr>
            </w:pPr>
            <w:hyperlink r:id="rId43">
              <w:r>
                <w:rPr>
                  <w:rFonts w:ascii="Times New Roman" w:cs="Times New Roman" w:eastAsia="Times New Roman" w:hAnsi="Times New Roman"/>
                  <w:sz w:val="15"/>
                  <w:szCs w:val="15"/>
                  <w:color w:val="0000EE"/>
                  <w:w w:val="87"/>
                </w:rPr>
                <w:t>(23)</w:t>
              </w:r>
            </w:hyperlink>
          </w:p>
        </w:tc>
        <w:tc>
          <w:tcPr>
            <w:tcW w:w="440" w:type="dxa"/>
            <w:vAlign w:val="bottom"/>
            <w:tcBorders>
              <w:top w:val="single" w:sz="8" w:color="0000EE"/>
              <w:bottom w:val="single" w:sz="8" w:color="0000EE"/>
            </w:tcBorders>
            <w:gridSpan w:val="4"/>
            <w:vMerge w:val="restart"/>
          </w:tcPr>
          <w:p>
            <w:pPr>
              <w:spacing w:after="0"/>
              <w:rPr>
                <w:sz w:val="14"/>
                <w:szCs w:val="14"/>
                <w:color w:val="auto"/>
              </w:rPr>
            </w:pPr>
          </w:p>
        </w:tc>
        <w:tc>
          <w:tcPr>
            <w:tcW w:w="180" w:type="dxa"/>
            <w:vAlign w:val="bottom"/>
            <w:tcBorders>
              <w:top w:val="single" w:sz="8" w:color="0000EE"/>
              <w:bottom w:val="single" w:sz="8" w:color="0000EE"/>
            </w:tcBorders>
            <w:vMerge w:val="restart"/>
          </w:tcPr>
          <w:p>
            <w:pPr>
              <w:spacing w:after="0"/>
              <w:rPr>
                <w:sz w:val="14"/>
                <w:szCs w:val="14"/>
                <w:color w:val="auto"/>
              </w:rPr>
            </w:pPr>
          </w:p>
        </w:tc>
        <w:tc>
          <w:tcPr>
            <w:tcW w:w="980" w:type="dxa"/>
            <w:vAlign w:val="bottom"/>
            <w:tcBorders>
              <w:top w:val="single" w:sz="8" w:color="0000EE"/>
              <w:bottom w:val="single" w:sz="8" w:color="0000EE"/>
            </w:tcBorders>
            <w:vMerge w:val="restart"/>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5780" w:type="dxa"/>
            <w:vAlign w:val="bottom"/>
            <w:tcBorders>
              <w:top w:val="single" w:sz="8" w:color="0000EE"/>
              <w:bottom w:val="single" w:sz="8" w:color="0000EE"/>
            </w:tcBorders>
            <w:gridSpan w:val="5"/>
            <w:vMerge w:val="restart"/>
          </w:tcPr>
          <w:p>
            <w:pPr>
              <w:spacing w:after="0"/>
              <w:rPr>
                <w:sz w:val="14"/>
                <w:szCs w:val="14"/>
                <w:color w:val="auto"/>
              </w:rPr>
            </w:pPr>
          </w:p>
        </w:tc>
        <w:tc>
          <w:tcPr>
            <w:tcW w:w="280" w:type="dxa"/>
            <w:vAlign w:val="bottom"/>
            <w:gridSpan w:val="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20" w:type="dxa"/>
            <w:vAlign w:val="bottom"/>
            <w:gridSpan w:val="2"/>
            <w:vMerge w:val="restart"/>
          </w:tcPr>
          <w:p>
            <w:pPr>
              <w:spacing w:after="0"/>
              <w:rPr>
                <w:rFonts w:ascii="Times New Roman" w:cs="Times New Roman" w:eastAsia="Times New Roman" w:hAnsi="Times New Roman"/>
                <w:sz w:val="18"/>
                <w:szCs w:val="18"/>
                <w:color w:val="0000EE"/>
                <w:w w:val="95"/>
              </w:rPr>
            </w:pPr>
            <w:hyperlink r:id="rId44">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7</w:t>
              </w:r>
            </w:hyperlink>
          </w:p>
        </w:tc>
        <w:tc>
          <w:tcPr>
            <w:tcW w:w="820" w:type="dxa"/>
            <w:vAlign w:val="bottom"/>
          </w:tcPr>
          <w:p>
            <w:pPr>
              <w:spacing w:after="0"/>
              <w:rPr>
                <w:sz w:val="4"/>
                <w:szCs w:val="4"/>
                <w:color w:val="auto"/>
              </w:rPr>
            </w:pPr>
          </w:p>
        </w:tc>
        <w:tc>
          <w:tcPr>
            <w:tcW w:w="1940" w:type="dxa"/>
            <w:vAlign w:val="bottom"/>
            <w:tcBorders>
              <w:bottom w:val="single" w:sz="8" w:color="0000EE"/>
            </w:tcBorders>
            <w:gridSpan w:val="9"/>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20" w:type="dxa"/>
            <w:vAlign w:val="bottom"/>
            <w:gridSpan w:val="2"/>
          </w:tcPr>
          <w:p>
            <w:pPr>
              <w:spacing w:after="0"/>
              <w:rPr>
                <w:sz w:val="4"/>
                <w:szCs w:val="4"/>
                <w:color w:val="auto"/>
              </w:rPr>
            </w:pPr>
          </w:p>
        </w:tc>
        <w:tc>
          <w:tcPr>
            <w:tcW w:w="440" w:type="dxa"/>
            <w:vAlign w:val="bottom"/>
            <w:gridSpan w:val="4"/>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EE"/>
                <w:w w:val="95"/>
              </w:rPr>
              <w:t>(17)</w:t>
            </w:r>
          </w:p>
        </w:tc>
        <w:tc>
          <w:tcPr>
            <w:tcW w:w="5780" w:type="dxa"/>
            <w:vAlign w:val="bottom"/>
            <w:gridSpan w:val="5"/>
            <w:vMerge w:val="continue"/>
          </w:tcPr>
          <w:p>
            <w:pPr>
              <w:spacing w:after="0"/>
              <w:rPr>
                <w:sz w:val="4"/>
                <w:szCs w:val="4"/>
                <w:color w:val="auto"/>
              </w:rPr>
            </w:pPr>
          </w:p>
        </w:tc>
        <w:tc>
          <w:tcPr>
            <w:tcW w:w="2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320" w:type="dxa"/>
            <w:vAlign w:val="bottom"/>
            <w:gridSpan w:val="2"/>
            <w:vMerge w:val="continue"/>
          </w:tcPr>
          <w:p>
            <w:pPr>
              <w:spacing w:after="0"/>
              <w:rPr>
                <w:sz w:val="21"/>
                <w:szCs w:val="21"/>
                <w:color w:val="auto"/>
              </w:rPr>
            </w:pPr>
          </w:p>
        </w:tc>
        <w:tc>
          <w:tcPr>
            <w:tcW w:w="820" w:type="dxa"/>
            <w:vAlign w:val="bottom"/>
          </w:tcPr>
          <w:p>
            <w:pPr>
              <w:spacing w:after="0"/>
              <w:rPr>
                <w:sz w:val="21"/>
                <w:szCs w:val="21"/>
                <w:color w:val="auto"/>
              </w:rPr>
            </w:pPr>
          </w:p>
        </w:tc>
        <w:tc>
          <w:tcPr>
            <w:tcW w:w="3780" w:type="dxa"/>
            <w:vAlign w:val="bottom"/>
            <w:gridSpan w:val="18"/>
            <w:vMerge w:val="restart"/>
          </w:tcPr>
          <w:p>
            <w:pPr>
              <w:spacing w:after="0"/>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Amended and Restated Dividend Reinvestment Plan</w:t>
              </w:r>
            </w:hyperlink>
          </w:p>
        </w:tc>
        <w:tc>
          <w:tcPr>
            <w:tcW w:w="260" w:type="dxa"/>
            <w:vAlign w:val="bottom"/>
            <w:tcBorders>
              <w:bottom w:val="single" w:sz="8" w:color="0000EE"/>
            </w:tcBorders>
            <w:vMerge w:val="continue"/>
          </w:tcPr>
          <w:p>
            <w:pPr>
              <w:spacing w:after="0"/>
              <w:rPr>
                <w:sz w:val="21"/>
                <w:szCs w:val="21"/>
                <w:color w:val="auto"/>
              </w:rPr>
            </w:pPr>
          </w:p>
        </w:tc>
        <w:tc>
          <w:tcPr>
            <w:tcW w:w="6060" w:type="dxa"/>
            <w:vAlign w:val="bottom"/>
            <w:gridSpan w:val="9"/>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320" w:type="dxa"/>
            <w:vAlign w:val="bottom"/>
            <w:tcBorders>
              <w:bottom w:val="single" w:sz="8" w:color="0000EE"/>
            </w:tcBorders>
            <w:gridSpan w:val="2"/>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80" w:type="dxa"/>
            <w:vAlign w:val="bottom"/>
            <w:gridSpan w:val="18"/>
            <w:vMerge w:val="continue"/>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6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320" w:type="dxa"/>
            <w:vAlign w:val="bottom"/>
            <w:gridSpan w:val="2"/>
            <w:vMerge w:val="restart"/>
          </w:tcPr>
          <w:p>
            <w:pPr>
              <w:spacing w:after="0"/>
              <w:rPr>
                <w:rFonts w:ascii="Times New Roman" w:cs="Times New Roman" w:eastAsia="Times New Roman" w:hAnsi="Times New Roman"/>
                <w:sz w:val="18"/>
                <w:szCs w:val="18"/>
                <w:color w:val="0000EE"/>
                <w:w w:val="95"/>
              </w:rPr>
            </w:pPr>
            <w:hyperlink r:id="rId45">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8</w:t>
              </w:r>
            </w:hyperlink>
          </w:p>
        </w:tc>
        <w:tc>
          <w:tcPr>
            <w:tcW w:w="820" w:type="dxa"/>
            <w:vAlign w:val="bottom"/>
          </w:tcPr>
          <w:p>
            <w:pPr>
              <w:spacing w:after="0" w:line="20" w:lineRule="exact"/>
              <w:rPr>
                <w:sz w:val="1"/>
                <w:szCs w:val="1"/>
                <w:color w:val="auto"/>
              </w:rPr>
            </w:pPr>
          </w:p>
        </w:tc>
        <w:tc>
          <w:tcPr>
            <w:tcW w:w="3780" w:type="dxa"/>
            <w:vAlign w:val="bottom"/>
            <w:tcBorders>
              <w:bottom w:val="single" w:sz="8" w:color="0000EE"/>
            </w:tcBorders>
            <w:gridSpan w:val="18"/>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606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20" w:type="dxa"/>
            <w:vAlign w:val="bottom"/>
            <w:gridSpan w:val="2"/>
            <w:vMerge w:val="continue"/>
          </w:tcPr>
          <w:p>
            <w:pPr>
              <w:spacing w:after="0"/>
              <w:rPr>
                <w:sz w:val="20"/>
                <w:szCs w:val="20"/>
                <w:color w:val="auto"/>
              </w:rPr>
            </w:pPr>
          </w:p>
        </w:tc>
        <w:tc>
          <w:tcPr>
            <w:tcW w:w="820" w:type="dxa"/>
            <w:vAlign w:val="bottom"/>
          </w:tcPr>
          <w:p>
            <w:pPr>
              <w:spacing w:after="0"/>
              <w:rPr>
                <w:sz w:val="20"/>
                <w:szCs w:val="20"/>
                <w:color w:val="auto"/>
              </w:rPr>
            </w:pPr>
          </w:p>
        </w:tc>
        <w:tc>
          <w:tcPr>
            <w:tcW w:w="2620" w:type="dxa"/>
            <w:vAlign w:val="bottom"/>
            <w:gridSpan w:val="16"/>
            <w:vMerge w:val="restart"/>
          </w:tcPr>
          <w:p>
            <w:pPr>
              <w:spacing w:after="0"/>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Form of Indemnification Agreement</w:t>
              </w:r>
            </w:hyperlink>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5"/>
                <w:szCs w:val="15"/>
                <w:color w:val="0000EE"/>
                <w:w w:val="91"/>
              </w:rPr>
              <w:t>(5)</w:t>
            </w:r>
          </w:p>
        </w:tc>
        <w:tc>
          <w:tcPr>
            <w:tcW w:w="7300" w:type="dxa"/>
            <w:vAlign w:val="bottom"/>
            <w:gridSpan w:val="11"/>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20" w:type="dxa"/>
            <w:vAlign w:val="bottom"/>
            <w:tcBorders>
              <w:bottom w:val="single" w:sz="8" w:color="0000EE"/>
            </w:tcBorders>
            <w:gridSpan w:val="2"/>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20" w:type="dxa"/>
            <w:vAlign w:val="bottom"/>
            <w:gridSpan w:val="16"/>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300" w:type="dxa"/>
            <w:vAlign w:val="bottom"/>
            <w:gridSpan w:val="11"/>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3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20" w:type="dxa"/>
            <w:vAlign w:val="bottom"/>
            <w:tcBorders>
              <w:bottom w:val="single" w:sz="8" w:color="0000EE"/>
            </w:tcBorders>
            <w:gridSpan w:val="16"/>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7300" w:type="dxa"/>
            <w:vAlign w:val="bottom"/>
            <w:gridSpan w:val="11"/>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1">
            <w:col w:w="11240"/>
          </w:cols>
          <w:pgMar w:left="320" w:top="898" w:right="339" w:bottom="1440" w:gutter="0" w:footer="0" w:header="0"/>
        </w:sectPr>
      </w:pPr>
    </w:p>
    <w:p>
      <w:pPr>
        <w:spacing w:after="0"/>
        <w:rPr>
          <w:rFonts w:ascii="Times New Roman" w:cs="Times New Roman" w:eastAsia="Times New Roman" w:hAnsi="Times New Roman"/>
          <w:sz w:val="18"/>
          <w:szCs w:val="18"/>
          <w:u w:val="single" w:color="auto"/>
          <w:color w:val="0000EE"/>
        </w:rPr>
      </w:pPr>
      <w:hyperlink r:id="rId46">
        <w:r>
          <w:rPr>
            <w:rFonts w:ascii="Times New Roman" w:cs="Times New Roman" w:eastAsia="Times New Roman" w:hAnsi="Times New Roman"/>
            <w:sz w:val="18"/>
            <w:szCs w:val="18"/>
            <w:u w:val="single" w:color="auto"/>
            <w:color w:val="0000EE"/>
          </w:rPr>
          <w:t>10.9</w:t>
        </w:r>
      </w:hyperlink>
    </w:p>
    <w:p>
      <w:pPr>
        <w:spacing w:after="0" w:line="13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47">
        <w:r>
          <w:rPr>
            <w:rFonts w:ascii="Times New Roman" w:cs="Times New Roman" w:eastAsia="Times New Roman" w:hAnsi="Times New Roman"/>
            <w:sz w:val="18"/>
            <w:szCs w:val="18"/>
            <w:u w:val="single" w:color="auto"/>
            <w:color w:val="0000EE"/>
          </w:rPr>
          <w:t>10.10</w:t>
        </w:r>
      </w:hyperlink>
    </w:p>
    <w:p>
      <w:pPr>
        <w:spacing w:after="0" w:line="13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48">
        <w:r>
          <w:rPr>
            <w:rFonts w:ascii="Times New Roman" w:cs="Times New Roman" w:eastAsia="Times New Roman" w:hAnsi="Times New Roman"/>
            <w:sz w:val="18"/>
            <w:szCs w:val="18"/>
            <w:u w:val="single" w:color="auto"/>
            <w:color w:val="0000EE"/>
          </w:rPr>
          <w:t>10.11</w:t>
        </w:r>
      </w:hyperlink>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u w:val="single" w:color="auto"/>
          <w:color w:val="0000EE"/>
        </w:rPr>
      </w:pPr>
      <w:hyperlink r:id="rId46">
        <w:r>
          <w:rPr>
            <w:rFonts w:ascii="Times New Roman" w:cs="Times New Roman" w:eastAsia="Times New Roman" w:hAnsi="Times New Roman"/>
            <w:sz w:val="18"/>
            <w:szCs w:val="18"/>
            <w:u w:val="single" w:color="auto"/>
            <w:color w:val="0000EE"/>
          </w:rPr>
          <w:t>Trademark License Agreement by and between Runway Growth Capital LLC and the Runway Growth Finance Corp.</w:t>
        </w:r>
      </w:hyperlink>
      <w:r>
        <w:rPr>
          <w:rFonts w:ascii="Times New Roman" w:cs="Times New Roman" w:eastAsia="Times New Roman" w:hAnsi="Times New Roman"/>
          <w:sz w:val="29"/>
          <w:szCs w:val="29"/>
          <w:u w:val="single" w:color="auto"/>
          <w:color w:val="0000EE"/>
          <w:vertAlign w:val="superscript"/>
        </w:rPr>
        <w:t>(16)</w:t>
      </w:r>
    </w:p>
    <w:p>
      <w:pPr>
        <w:spacing w:after="0" w:line="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47">
        <w:r>
          <w:rPr>
            <w:rFonts w:ascii="Times New Roman" w:cs="Times New Roman" w:eastAsia="Times New Roman" w:hAnsi="Times New Roman"/>
            <w:sz w:val="18"/>
            <w:szCs w:val="18"/>
            <w:u w:val="single" w:color="auto"/>
            <w:color w:val="0000EE"/>
          </w:rPr>
          <w:t>Transfer Agent Agreement by and between American Stock Transfer &amp; Trust Company, LLC and the Registrant</w:t>
        </w:r>
        <w:r>
          <w:rPr>
            <w:rFonts w:ascii="Times New Roman" w:cs="Times New Roman" w:eastAsia="Times New Roman" w:hAnsi="Times New Roman"/>
            <w:sz w:val="29"/>
            <w:szCs w:val="29"/>
            <w:u w:val="single" w:color="auto"/>
            <w:color w:val="0000EE"/>
            <w:vertAlign w:val="superscript"/>
          </w:rPr>
          <w:t>(7)</w:t>
        </w:r>
      </w:hyperlink>
    </w:p>
    <w:p>
      <w:pPr>
        <w:spacing w:after="0" w:line="1" w:lineRule="exact"/>
        <w:rPr>
          <w:sz w:val="20"/>
          <w:szCs w:val="20"/>
          <w:color w:val="auto"/>
        </w:rPr>
      </w:pPr>
    </w:p>
    <w:p>
      <w:pPr>
        <w:jc w:val="both"/>
        <w:ind w:right="200"/>
        <w:spacing w:after="0" w:line="253" w:lineRule="auto"/>
        <w:rPr>
          <w:rFonts w:ascii="Times New Roman" w:cs="Times New Roman" w:eastAsia="Times New Roman" w:hAnsi="Times New Roman"/>
          <w:sz w:val="18"/>
          <w:szCs w:val="18"/>
          <w:u w:val="single" w:color="auto"/>
          <w:color w:val="0000EE"/>
        </w:rPr>
      </w:pPr>
      <w:hyperlink r:id="rId48">
        <w:r>
          <w:rPr>
            <w:rFonts w:ascii="Times New Roman" w:cs="Times New Roman" w:eastAsia="Times New Roman" w:hAnsi="Times New Roman"/>
            <w:sz w:val="18"/>
            <w:szCs w:val="18"/>
            <w:u w:val="single" w:color="auto"/>
            <w:color w:val="0000EE"/>
          </w:rPr>
          <w:t>Credit Agreement, dated as of May 31, 2019, by and among the Company, as borrower, KeyBank National Association, as administrative</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agent and syndication agent, CIBC Bank USA, as documentation agent, U.S. Bank National Association, as paying agent, the guarantors</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from time to time party thereto, and the lenders from time to time party thereto</w:t>
        </w:r>
        <w:r>
          <w:rPr>
            <w:rFonts w:ascii="Times New Roman" w:cs="Times New Roman" w:eastAsia="Times New Roman" w:hAnsi="Times New Roman"/>
            <w:sz w:val="29"/>
            <w:szCs w:val="29"/>
            <w:u w:val="single" w:color="auto"/>
            <w:color w:val="0000EE"/>
            <w:vertAlign w:val="superscript"/>
          </w:rPr>
          <w:t>(8)</w:t>
        </w:r>
      </w:hyperlink>
    </w:p>
    <w:p>
      <w:pPr>
        <w:spacing w:after="0" w:line="1"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420" w:space="720"/>
            <w:col w:w="10100"/>
          </w:cols>
          <w:pgMar w:left="320" w:top="898" w:right="33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420" w:type="dxa"/>
            <w:vAlign w:val="bottom"/>
          </w:tcPr>
          <w:p>
            <w:pPr>
              <w:jc w:val="right"/>
              <w:spacing w:after="0" w:line="176" w:lineRule="exact"/>
              <w:rPr>
                <w:rFonts w:ascii="Times New Roman" w:cs="Times New Roman" w:eastAsia="Times New Roman" w:hAnsi="Times New Roman"/>
                <w:sz w:val="18"/>
                <w:szCs w:val="18"/>
                <w:color w:val="0000EE"/>
                <w:w w:val="98"/>
              </w:rPr>
            </w:pPr>
            <w:hyperlink r:id="rId4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12</w:t>
              </w:r>
            </w:hyperlink>
          </w:p>
        </w:tc>
        <w:tc>
          <w:tcPr>
            <w:tcW w:w="720" w:type="dxa"/>
            <w:vAlign w:val="bottom"/>
          </w:tcPr>
          <w:p>
            <w:pPr>
              <w:spacing w:after="0"/>
              <w:rPr>
                <w:sz w:val="15"/>
                <w:szCs w:val="15"/>
                <w:color w:val="auto"/>
              </w:rPr>
            </w:pPr>
          </w:p>
        </w:tc>
        <w:tc>
          <w:tcPr>
            <w:tcW w:w="10000" w:type="dxa"/>
            <w:vAlign w:val="bottom"/>
            <w:gridSpan w:val="15"/>
          </w:tcPr>
          <w:p>
            <w:pPr>
              <w:spacing w:after="0" w:line="17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First Amendment to Credit Agreement, dated as of November 10, 2020, among the Company, as borrower; the financial institutions party</w:t>
              </w:r>
            </w:hyperlink>
          </w:p>
        </w:tc>
        <w:tc>
          <w:tcPr>
            <w:tcW w:w="0" w:type="dxa"/>
            <w:vAlign w:val="bottom"/>
          </w:tcPr>
          <w:p>
            <w:pPr>
              <w:spacing w:after="0"/>
              <w:rPr>
                <w:sz w:val="1"/>
                <w:szCs w:val="1"/>
                <w:color w:val="auto"/>
              </w:rPr>
            </w:pPr>
          </w:p>
        </w:tc>
      </w:tr>
      <w:tr>
        <w:trPr>
          <w:trHeight w:val="196"/>
        </w:trPr>
        <w:tc>
          <w:tcPr>
            <w:tcW w:w="42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96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thereto as lenders; KeyBank National Association, as administrative agent and lender; CIBC Bank USA, as documentation agent and</w:t>
              </w:r>
            </w:hyperlink>
          </w:p>
        </w:tc>
        <w:tc>
          <w:tcPr>
            <w:tcW w:w="300" w:type="dxa"/>
            <w:vAlign w:val="bottom"/>
            <w:tcBorders>
              <w:top w:val="single" w:sz="8" w:color="0000EE"/>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360" w:type="dxa"/>
            <w:vAlign w:val="bottom"/>
            <w:vMerge w:val="restart"/>
          </w:tcPr>
          <w:p>
            <w:pPr>
              <w:spacing w:after="0"/>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lender; and U.S. Bank National Association, as paying agent</w:t>
              </w:r>
            </w:hyperlink>
          </w:p>
        </w:tc>
        <w:tc>
          <w:tcPr>
            <w:tcW w:w="260" w:type="dxa"/>
            <w:vAlign w:val="bottom"/>
            <w:tcBorders>
              <w:bottom w:val="single" w:sz="8" w:color="0000EE"/>
            </w:tcBorders>
            <w:gridSpan w:val="2"/>
          </w:tcPr>
          <w:p>
            <w:pPr>
              <w:jc w:val="right"/>
              <w:spacing w:after="0" w:line="156" w:lineRule="exact"/>
              <w:rPr>
                <w:rFonts w:ascii="Times New Roman" w:cs="Times New Roman" w:eastAsia="Times New Roman" w:hAnsi="Times New Roman"/>
                <w:sz w:val="15"/>
                <w:szCs w:val="15"/>
                <w:color w:val="0000EE"/>
                <w:w w:val="95"/>
              </w:rPr>
            </w:pPr>
            <w:hyperlink r:id="rId49">
              <w:r>
                <w:rPr>
                  <w:rFonts w:ascii="Times New Roman" w:cs="Times New Roman" w:eastAsia="Times New Roman" w:hAnsi="Times New Roman"/>
                  <w:sz w:val="15"/>
                  <w:szCs w:val="15"/>
                  <w:color w:val="0000EE"/>
                  <w:w w:val="95"/>
                </w:rPr>
                <w:t>(10)</w:t>
              </w:r>
            </w:hyperlink>
          </w:p>
        </w:tc>
        <w:tc>
          <w:tcPr>
            <w:tcW w:w="400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2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20" w:type="dxa"/>
            <w:vAlign w:val="bottom"/>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360" w:type="dxa"/>
            <w:vAlign w:val="bottom"/>
            <w:gridSpan w:val="3"/>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360" w:type="dxa"/>
            <w:vAlign w:val="bottom"/>
            <w:tcBorders>
              <w:bottom w:val="single" w:sz="8" w:color="0000EE"/>
            </w:tcBorders>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400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360" w:type="dxa"/>
            <w:vAlign w:val="bottom"/>
            <w:gridSpan w:val="3"/>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140" w:type="dxa"/>
            <w:vAlign w:val="bottom"/>
            <w:gridSpan w:val="2"/>
          </w:tcPr>
          <w:p>
            <w:pPr>
              <w:jc w:val="right"/>
              <w:ind w:right="720"/>
              <w:spacing w:after="0"/>
              <w:rPr>
                <w:rFonts w:ascii="Times New Roman" w:cs="Times New Roman" w:eastAsia="Times New Roman" w:hAnsi="Times New Roman"/>
                <w:sz w:val="18"/>
                <w:szCs w:val="18"/>
                <w:color w:val="0000EE"/>
                <w:w w:val="98"/>
              </w:rPr>
            </w:pPr>
            <w:hyperlink r:id="rId5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13</w:t>
              </w:r>
            </w:hyperlink>
          </w:p>
        </w:tc>
        <w:tc>
          <w:tcPr>
            <w:tcW w:w="10000" w:type="dxa"/>
            <w:vAlign w:val="bottom"/>
            <w:gridSpan w:val="15"/>
          </w:tcPr>
          <w:p>
            <w:pPr>
              <w:spacing w:after="0"/>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Second Amendment to Credit Agreement, dated as of December 2, 2020, among the Company, as borrower; the financial institutions party</w:t>
              </w:r>
            </w:hyperlink>
          </w:p>
        </w:tc>
        <w:tc>
          <w:tcPr>
            <w:tcW w:w="0" w:type="dxa"/>
            <w:vAlign w:val="bottom"/>
          </w:tcPr>
          <w:p>
            <w:pPr>
              <w:spacing w:after="0"/>
              <w:rPr>
                <w:sz w:val="1"/>
                <w:szCs w:val="1"/>
                <w:color w:val="auto"/>
              </w:rPr>
            </w:pPr>
          </w:p>
        </w:tc>
      </w:tr>
      <w:tr>
        <w:trPr>
          <w:trHeight w:val="196"/>
        </w:trPr>
        <w:tc>
          <w:tcPr>
            <w:tcW w:w="42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96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thereto as lenders; KeyBank National Association, as administrative agent and lender; CIBC Bank USA, as documentation agent and</w:t>
              </w:r>
            </w:hyperlink>
          </w:p>
        </w:tc>
        <w:tc>
          <w:tcPr>
            <w:tcW w:w="400" w:type="dxa"/>
            <w:vAlign w:val="bottom"/>
            <w:tcBorders>
              <w:top w:val="single" w:sz="8" w:color="0000EE"/>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160" w:type="dxa"/>
            <w:vAlign w:val="bottom"/>
            <w:gridSpan w:val="8"/>
            <w:vMerge w:val="restart"/>
          </w:tcPr>
          <w:p>
            <w:pPr>
              <w:spacing w:after="0"/>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lender; MUFG Union Bank, N.A., as co-documentation agent and lender; and U.S. Bank National Association, as paying agent</w:t>
              </w:r>
            </w:hyperlink>
          </w:p>
        </w:tc>
        <w:tc>
          <w:tcPr>
            <w:tcW w:w="240" w:type="dxa"/>
            <w:vAlign w:val="bottom"/>
            <w:tcBorders>
              <w:bottom w:val="single" w:sz="8" w:color="0000EE"/>
            </w:tcBorders>
            <w:gridSpan w:val="2"/>
          </w:tcPr>
          <w:p>
            <w:pPr>
              <w:jc w:val="right"/>
              <w:spacing w:after="0" w:line="156" w:lineRule="exact"/>
              <w:rPr>
                <w:rFonts w:ascii="Times New Roman" w:cs="Times New Roman" w:eastAsia="Times New Roman" w:hAnsi="Times New Roman"/>
                <w:sz w:val="15"/>
                <w:szCs w:val="15"/>
                <w:color w:val="0000EE"/>
                <w:w w:val="87"/>
              </w:rPr>
            </w:pPr>
            <w:hyperlink r:id="rId50">
              <w:r>
                <w:rPr>
                  <w:rFonts w:ascii="Times New Roman" w:cs="Times New Roman" w:eastAsia="Times New Roman" w:hAnsi="Times New Roman"/>
                  <w:sz w:val="15"/>
                  <w:szCs w:val="15"/>
                  <w:color w:val="0000EE"/>
                  <w:w w:val="87"/>
                </w:rPr>
                <w:t>(11)</w:t>
              </w:r>
            </w:hyperlink>
          </w:p>
        </w:tc>
        <w:tc>
          <w:tcPr>
            <w:tcW w:w="180" w:type="dxa"/>
            <w:vAlign w:val="bottom"/>
            <w:vMerge w:val="restart"/>
          </w:tcPr>
          <w:p>
            <w:pPr>
              <w:spacing w:after="0"/>
              <w:rPr>
                <w:sz w:val="14"/>
                <w:szCs w:val="14"/>
                <w:color w:val="auto"/>
              </w:rPr>
            </w:pPr>
          </w:p>
        </w:tc>
        <w:tc>
          <w:tcPr>
            <w:tcW w:w="360" w:type="dxa"/>
            <w:vAlign w:val="bottom"/>
            <w:gridSpan w:val="3"/>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160" w:type="dxa"/>
            <w:vAlign w:val="bottom"/>
            <w:tcBorders>
              <w:bottom w:val="single" w:sz="8" w:color="0000EE"/>
            </w:tcBorders>
            <w:gridSpan w:val="8"/>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360" w:type="dxa"/>
            <w:vAlign w:val="bottom"/>
            <w:gridSpan w:val="3"/>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140" w:type="dxa"/>
            <w:vAlign w:val="bottom"/>
            <w:gridSpan w:val="2"/>
          </w:tcPr>
          <w:p>
            <w:pPr>
              <w:jc w:val="right"/>
              <w:ind w:right="720"/>
              <w:spacing w:after="0"/>
              <w:rPr>
                <w:rFonts w:ascii="Times New Roman" w:cs="Times New Roman" w:eastAsia="Times New Roman" w:hAnsi="Times New Roman"/>
                <w:sz w:val="18"/>
                <w:szCs w:val="18"/>
                <w:color w:val="0000EE"/>
                <w:w w:val="98"/>
              </w:rPr>
            </w:pPr>
            <w:hyperlink r:id="rId5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14</w:t>
              </w:r>
            </w:hyperlink>
          </w:p>
        </w:tc>
        <w:tc>
          <w:tcPr>
            <w:tcW w:w="10000" w:type="dxa"/>
            <w:vAlign w:val="bottom"/>
            <w:gridSpan w:val="15"/>
          </w:tcPr>
          <w:p>
            <w:pPr>
              <w:spacing w:after="0"/>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Third Amendment to Credit Agreement, dated as of June 1, 2021, among the Company, as borrower; the financial institutions party thereto</w:t>
              </w:r>
            </w:hyperlink>
          </w:p>
        </w:tc>
        <w:tc>
          <w:tcPr>
            <w:tcW w:w="0" w:type="dxa"/>
            <w:vAlign w:val="bottom"/>
          </w:tcPr>
          <w:p>
            <w:pPr>
              <w:spacing w:after="0"/>
              <w:rPr>
                <w:sz w:val="1"/>
                <w:szCs w:val="1"/>
                <w:color w:val="auto"/>
              </w:rPr>
            </w:pPr>
          </w:p>
        </w:tc>
      </w:tr>
      <w:tr>
        <w:trPr>
          <w:trHeight w:val="196"/>
        </w:trPr>
        <w:tc>
          <w:tcPr>
            <w:tcW w:w="42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100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as lenders; KeyBank National Association, as administrative agent and lender; CIBC Bank USA, as documentation agent and lender;</w:t>
              </w:r>
            </w:hyperlink>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20" w:type="dxa"/>
            <w:vAlign w:val="bottom"/>
            <w:tcBorders>
              <w:top w:val="single" w:sz="8" w:color="0000EE"/>
              <w:bottom w:val="single" w:sz="8" w:color="0000EE"/>
            </w:tcBorders>
            <w:gridSpan w:val="4"/>
            <w:vMerge w:val="restart"/>
          </w:tcPr>
          <w:p>
            <w:pPr>
              <w:spacing w:after="0"/>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MUFG Union Bank, N.A., as co-documentation agent and lender; and U.S. Bank National Association, as paying agent</w:t>
              </w:r>
            </w:hyperlink>
          </w:p>
        </w:tc>
        <w:tc>
          <w:tcPr>
            <w:tcW w:w="240" w:type="dxa"/>
            <w:vAlign w:val="bottom"/>
            <w:tcBorders>
              <w:top w:val="single" w:sz="8" w:color="0000EE"/>
              <w:bottom w:val="single" w:sz="8" w:color="0000EE"/>
            </w:tcBorders>
            <w:gridSpan w:val="2"/>
          </w:tcPr>
          <w:p>
            <w:pPr>
              <w:jc w:val="right"/>
              <w:spacing w:after="0" w:line="156" w:lineRule="exact"/>
              <w:rPr>
                <w:rFonts w:ascii="Times New Roman" w:cs="Times New Roman" w:eastAsia="Times New Roman" w:hAnsi="Times New Roman"/>
                <w:sz w:val="15"/>
                <w:szCs w:val="15"/>
                <w:color w:val="0000EE"/>
                <w:w w:val="87"/>
              </w:rPr>
            </w:pPr>
            <w:hyperlink r:id="rId51">
              <w:r>
                <w:rPr>
                  <w:rFonts w:ascii="Times New Roman" w:cs="Times New Roman" w:eastAsia="Times New Roman" w:hAnsi="Times New Roman"/>
                  <w:sz w:val="15"/>
                  <w:szCs w:val="15"/>
                  <w:color w:val="0000EE"/>
                  <w:w w:val="87"/>
                </w:rPr>
                <w:t>(14)</w:t>
              </w:r>
            </w:hyperlink>
          </w:p>
        </w:tc>
        <w:tc>
          <w:tcPr>
            <w:tcW w:w="120" w:type="dxa"/>
            <w:vAlign w:val="bottom"/>
            <w:tcBorders>
              <w:top w:val="single" w:sz="8" w:color="0000EE"/>
              <w:bottom w:val="single" w:sz="8" w:color="0000EE"/>
            </w:tcBorders>
            <w:vMerge w:val="restart"/>
          </w:tcPr>
          <w:p>
            <w:pPr>
              <w:spacing w:after="0"/>
              <w:rPr>
                <w:sz w:val="14"/>
                <w:szCs w:val="14"/>
                <w:color w:val="auto"/>
              </w:rPr>
            </w:pPr>
          </w:p>
        </w:tc>
        <w:tc>
          <w:tcPr>
            <w:tcW w:w="600" w:type="dxa"/>
            <w:vAlign w:val="bottom"/>
            <w:tcBorders>
              <w:top w:val="single" w:sz="8" w:color="0000EE"/>
              <w:bottom w:val="single" w:sz="8" w:color="0000EE"/>
            </w:tcBorders>
            <w:gridSpan w:val="4"/>
            <w:vMerge w:val="restart"/>
          </w:tcPr>
          <w:p>
            <w:pPr>
              <w:spacing w:after="0"/>
              <w:rPr>
                <w:sz w:val="14"/>
                <w:szCs w:val="14"/>
                <w:color w:val="auto"/>
              </w:rPr>
            </w:pPr>
          </w:p>
        </w:tc>
        <w:tc>
          <w:tcPr>
            <w:tcW w:w="360" w:type="dxa"/>
            <w:vAlign w:val="bottom"/>
            <w:gridSpan w:val="3"/>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20" w:type="dxa"/>
            <w:vAlign w:val="bottom"/>
            <w:tcBorders>
              <w:bottom w:val="single" w:sz="8" w:color="0000EE"/>
            </w:tcBorders>
            <w:gridSpan w:val="4"/>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00" w:type="dxa"/>
            <w:vAlign w:val="bottom"/>
            <w:gridSpan w:val="4"/>
            <w:vMerge w:val="continue"/>
          </w:tcPr>
          <w:p>
            <w:pPr>
              <w:spacing w:after="0"/>
              <w:rPr>
                <w:sz w:val="4"/>
                <w:szCs w:val="4"/>
                <w:color w:val="auto"/>
              </w:rPr>
            </w:pPr>
          </w:p>
        </w:tc>
        <w:tc>
          <w:tcPr>
            <w:tcW w:w="360" w:type="dxa"/>
            <w:vAlign w:val="bottom"/>
            <w:gridSpan w:val="3"/>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20" w:type="dxa"/>
            <w:vAlign w:val="bottom"/>
          </w:tcPr>
          <w:p>
            <w:pPr>
              <w:jc w:val="right"/>
              <w:spacing w:after="0"/>
              <w:rPr>
                <w:rFonts w:ascii="Times New Roman" w:cs="Times New Roman" w:eastAsia="Times New Roman" w:hAnsi="Times New Roman"/>
                <w:sz w:val="18"/>
                <w:szCs w:val="18"/>
                <w:color w:val="0000EE"/>
                <w:w w:val="98"/>
              </w:rPr>
            </w:pPr>
            <w:hyperlink r:id="rId5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15</w:t>
              </w:r>
            </w:hyperlink>
          </w:p>
        </w:tc>
        <w:tc>
          <w:tcPr>
            <w:tcW w:w="720" w:type="dxa"/>
            <w:vAlign w:val="bottom"/>
          </w:tcPr>
          <w:p>
            <w:pPr>
              <w:spacing w:after="0"/>
              <w:rPr>
                <w:sz w:val="24"/>
                <w:szCs w:val="24"/>
                <w:color w:val="auto"/>
              </w:rPr>
            </w:pPr>
          </w:p>
        </w:tc>
        <w:tc>
          <w:tcPr>
            <w:tcW w:w="10000" w:type="dxa"/>
            <w:vAlign w:val="bottom"/>
            <w:gridSpan w:val="15"/>
          </w:tcPr>
          <w:p>
            <w:pPr>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Fourth Amendment to Credit Agreement, dated as of August 3, 2021, among Runway Growth Credit Fund Inc., as borrower; the financial</w:t>
              </w:r>
            </w:hyperlink>
          </w:p>
        </w:tc>
        <w:tc>
          <w:tcPr>
            <w:tcW w:w="0" w:type="dxa"/>
            <w:vAlign w:val="bottom"/>
          </w:tcPr>
          <w:p>
            <w:pPr>
              <w:spacing w:after="0"/>
              <w:rPr>
                <w:sz w:val="1"/>
                <w:szCs w:val="1"/>
                <w:color w:val="auto"/>
              </w:rPr>
            </w:pPr>
          </w:p>
        </w:tc>
      </w:tr>
      <w:tr>
        <w:trPr>
          <w:trHeight w:val="196"/>
        </w:trPr>
        <w:tc>
          <w:tcPr>
            <w:tcW w:w="42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99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institutions party thereto as lenders; KeyBank National Association, as administrative agent and lender; CIBC Bank USA, as</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1140" w:right="100"/>
        <w:spacing w:after="0" w:line="292" w:lineRule="auto"/>
        <w:rPr>
          <w:rFonts w:ascii="Times New Roman" w:cs="Times New Roman" w:eastAsia="Times New Roman" w:hAnsi="Times New Roman"/>
          <w:sz w:val="18"/>
          <w:szCs w:val="18"/>
          <w:u w:val="single" w:color="auto"/>
          <w:color w:val="0000EE"/>
        </w:rPr>
      </w:pPr>
      <w:hyperlink r:id="rId52">
        <w:r>
          <w:rPr>
            <w:rFonts w:ascii="Times New Roman" w:cs="Times New Roman" w:eastAsia="Times New Roman" w:hAnsi="Times New Roman"/>
            <w:sz w:val="18"/>
            <w:szCs w:val="18"/>
            <w:u w:val="single" w:color="auto"/>
            <w:color w:val="0000EE"/>
          </w:rPr>
          <w:t>documentation agent and lender; MUFG Union Bank, N.A. as co-documentation agent and lender; and U.S. Bank National Association, as</w:t>
        </w:r>
      </w:hyperlink>
      <w:r>
        <w:rPr>
          <w:rFonts w:ascii="Times New Roman" w:cs="Times New Roman" w:eastAsia="Times New Roman" w:hAnsi="Times New Roman"/>
          <w:sz w:val="18"/>
          <w:szCs w:val="18"/>
          <w:u w:val="single" w:color="auto"/>
          <w:color w:val="0000EE"/>
        </w:rPr>
        <w:t xml:space="preserve"> </w:t>
      </w:r>
      <w:hyperlink r:id="rId52">
        <w:r>
          <w:rPr>
            <w:rFonts w:ascii="Times New Roman" w:cs="Times New Roman" w:eastAsia="Times New Roman" w:hAnsi="Times New Roman"/>
            <w:sz w:val="18"/>
            <w:szCs w:val="18"/>
            <w:u w:val="single" w:color="auto"/>
            <w:color w:val="0000EE"/>
          </w:rPr>
          <w:t>paying agent</w:t>
        </w:r>
        <w:r>
          <w:rPr>
            <w:rFonts w:ascii="Times New Roman" w:cs="Times New Roman" w:eastAsia="Times New Roman" w:hAnsi="Times New Roman"/>
            <w:sz w:val="29"/>
            <w:szCs w:val="29"/>
            <w:u w:val="single" w:color="auto"/>
            <w:color w:val="0000EE"/>
            <w:vertAlign w:val="superscript"/>
          </w:rPr>
          <w:t>(12)</w:t>
        </w:r>
      </w:hyperlink>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r:id="rId54">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16</w:t>
              </w:r>
            </w:hyperlink>
          </w:p>
        </w:tc>
        <w:tc>
          <w:tcPr>
            <w:tcW w:w="720" w:type="dxa"/>
            <w:vAlign w:val="bottom"/>
          </w:tcPr>
          <w:p>
            <w:pPr>
              <w:spacing w:after="0"/>
              <w:rPr>
                <w:sz w:val="17"/>
                <w:szCs w:val="17"/>
                <w:color w:val="auto"/>
              </w:rPr>
            </w:pPr>
          </w:p>
        </w:tc>
        <w:tc>
          <w:tcPr>
            <w:tcW w:w="990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Master Note Purchase Agreement, dated December 10, 2021, by and among Runway Growth Finance Corp. and the Purchasers signatory</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vMerge w:val="restart"/>
          </w:tcPr>
          <w:p>
            <w:pPr>
              <w:spacing w:after="0"/>
              <w:rPr>
                <w:rFonts w:ascii="Times New Roman" w:cs="Times New Roman" w:eastAsia="Times New Roman" w:hAnsi="Times New Roman"/>
                <w:sz w:val="18"/>
                <w:szCs w:val="18"/>
                <w:color w:val="0000EE"/>
                <w:w w:val="95"/>
              </w:rPr>
            </w:pPr>
            <w:hyperlink r:id="rId54">
              <w:r>
                <w:rPr>
                  <w:rFonts w:ascii="Times New Roman" w:cs="Times New Roman" w:eastAsia="Times New Roman" w:hAnsi="Times New Roman"/>
                  <w:sz w:val="18"/>
                  <w:szCs w:val="18"/>
                  <w:color w:val="0000EE"/>
                  <w:w w:val="95"/>
                </w:rPr>
                <w:t>thereto</w:t>
              </w:r>
            </w:hyperlink>
          </w:p>
        </w:tc>
        <w:tc>
          <w:tcPr>
            <w:tcW w:w="260" w:type="dxa"/>
            <w:vAlign w:val="bottom"/>
            <w:tcBorders>
              <w:bottom w:val="single" w:sz="8" w:color="0000EE"/>
            </w:tcBorders>
            <w:gridSpan w:val="2"/>
          </w:tcPr>
          <w:p>
            <w:pPr>
              <w:jc w:val="right"/>
              <w:spacing w:after="0" w:line="156" w:lineRule="exact"/>
              <w:rPr>
                <w:rFonts w:ascii="Times New Roman" w:cs="Times New Roman" w:eastAsia="Times New Roman" w:hAnsi="Times New Roman"/>
                <w:sz w:val="15"/>
                <w:szCs w:val="15"/>
                <w:color w:val="0000EE"/>
                <w:w w:val="95"/>
              </w:rPr>
            </w:pPr>
            <w:hyperlink r:id="rId54">
              <w:r>
                <w:rPr>
                  <w:rFonts w:ascii="Times New Roman" w:cs="Times New Roman" w:eastAsia="Times New Roman" w:hAnsi="Times New Roman"/>
                  <w:sz w:val="15"/>
                  <w:szCs w:val="15"/>
                  <w:color w:val="0000EE"/>
                  <w:w w:val="95"/>
                </w:rPr>
                <w:t>(15)</w:t>
              </w:r>
            </w:hyperlink>
          </w:p>
        </w:tc>
        <w:tc>
          <w:tcPr>
            <w:tcW w:w="1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3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40" w:type="dxa"/>
            <w:vAlign w:val="bottom"/>
            <w:vMerge w:val="restart"/>
          </w:tcPr>
          <w:p>
            <w:pPr>
              <w:spacing w:after="0"/>
              <w:rPr>
                <w:sz w:val="14"/>
                <w:szCs w:val="14"/>
                <w:color w:val="auto"/>
              </w:rPr>
            </w:pPr>
          </w:p>
        </w:tc>
        <w:tc>
          <w:tcPr>
            <w:tcW w:w="1000" w:type="dxa"/>
            <w:vAlign w:val="bottom"/>
            <w:vMerge w:val="restart"/>
          </w:tcPr>
          <w:p>
            <w:pPr>
              <w:spacing w:after="0"/>
              <w:rPr>
                <w:sz w:val="14"/>
                <w:szCs w:val="14"/>
                <w:color w:val="auto"/>
              </w:rPr>
            </w:pPr>
          </w:p>
        </w:tc>
        <w:tc>
          <w:tcPr>
            <w:tcW w:w="2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20" w:type="dxa"/>
            <w:vAlign w:val="bottom"/>
            <w:vMerge w:val="restart"/>
          </w:tcPr>
          <w:p>
            <w:pPr>
              <w:spacing w:after="0"/>
              <w:rPr>
                <w:sz w:val="14"/>
                <w:szCs w:val="14"/>
                <w:color w:val="auto"/>
              </w:rPr>
            </w:pPr>
          </w:p>
        </w:tc>
        <w:tc>
          <w:tcPr>
            <w:tcW w:w="13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20" w:type="dxa"/>
            <w:vAlign w:val="bottom"/>
            <w:vMerge w:val="restart"/>
          </w:tcPr>
          <w:p>
            <w:pPr>
              <w:spacing w:after="0"/>
              <w:rPr>
                <w:sz w:val="14"/>
                <w:szCs w:val="14"/>
                <w:color w:val="auto"/>
              </w:rPr>
            </w:pPr>
          </w:p>
        </w:tc>
        <w:tc>
          <w:tcPr>
            <w:tcW w:w="7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20" w:type="dxa"/>
            <w:vAlign w:val="bottom"/>
            <w:vMerge w:val="restart"/>
          </w:tcPr>
          <w:p>
            <w:pPr>
              <w:spacing w:after="0"/>
              <w:rPr>
                <w:sz w:val="14"/>
                <w:szCs w:val="14"/>
                <w:color w:val="auto"/>
              </w:rPr>
            </w:pPr>
          </w:p>
        </w:tc>
        <w:tc>
          <w:tcPr>
            <w:tcW w:w="104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56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60" w:type="dxa"/>
            <w:vAlign w:val="bottom"/>
            <w:gridSpan w:val="2"/>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Borders>
              <w:bottom w:val="single" w:sz="8" w:color="0000EE"/>
            </w:tcBorders>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3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140" w:type="dxa"/>
            <w:vAlign w:val="bottom"/>
            <w:gridSpan w:val="3"/>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17</w:t>
              </w:r>
            </w:hyperlink>
          </w:p>
        </w:tc>
        <w:tc>
          <w:tcPr>
            <w:tcW w:w="10100" w:type="dxa"/>
            <w:vAlign w:val="bottom"/>
            <w:gridSpan w:val="40"/>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First Supplement to Note Purchase Agreement, dated April 13, 2023, by and between Runway Growth Finance Corp. and the Purchasers</w:t>
              </w:r>
            </w:hyperlink>
          </w:p>
        </w:tc>
        <w:tc>
          <w:tcPr>
            <w:tcW w:w="0" w:type="dxa"/>
            <w:vAlign w:val="bottom"/>
          </w:tcPr>
          <w:p>
            <w:pPr>
              <w:spacing w:after="0"/>
              <w:rPr>
                <w:sz w:val="1"/>
                <w:szCs w:val="1"/>
                <w:color w:val="auto"/>
              </w:rPr>
            </w:pPr>
          </w:p>
        </w:tc>
      </w:tr>
      <w:tr>
        <w:trPr>
          <w:trHeight w:val="169"/>
        </w:trPr>
        <w:tc>
          <w:tcPr>
            <w:tcW w:w="3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Borders>
              <w:top w:val="single" w:sz="8" w:color="0000EE"/>
              <w:bottom w:val="single" w:sz="8" w:color="0000EE"/>
            </w:tcBorders>
            <w:gridSpan w:val="4"/>
            <w:vMerge w:val="restart"/>
          </w:tcPr>
          <w:p>
            <w:pPr>
              <w:spacing w:after="0"/>
              <w:rPr>
                <w:rFonts w:ascii="Times New Roman" w:cs="Times New Roman" w:eastAsia="Times New Roman" w:hAnsi="Times New Roman"/>
                <w:sz w:val="18"/>
                <w:szCs w:val="18"/>
                <w:color w:val="0000EE"/>
                <w:w w:val="98"/>
              </w:rPr>
            </w:pPr>
            <w:hyperlink r:id="rId55">
              <w:r>
                <w:rPr>
                  <w:rFonts w:ascii="Times New Roman" w:cs="Times New Roman" w:eastAsia="Times New Roman" w:hAnsi="Times New Roman"/>
                  <w:sz w:val="18"/>
                  <w:szCs w:val="18"/>
                  <w:color w:val="0000EE"/>
                  <w:w w:val="98"/>
                </w:rPr>
                <w:t>party thereto</w:t>
              </w:r>
            </w:hyperlink>
          </w:p>
        </w:tc>
        <w:tc>
          <w:tcPr>
            <w:tcW w:w="240" w:type="dxa"/>
            <w:vAlign w:val="bottom"/>
            <w:tcBorders>
              <w:top w:val="single" w:sz="8" w:color="0000EE"/>
              <w:bottom w:val="single" w:sz="8" w:color="0000EE"/>
            </w:tcBorders>
            <w:gridSpan w:val="3"/>
          </w:tcPr>
          <w:p>
            <w:pPr>
              <w:spacing w:after="0" w:line="156" w:lineRule="exact"/>
              <w:rPr>
                <w:rFonts w:ascii="Times New Roman" w:cs="Times New Roman" w:eastAsia="Times New Roman" w:hAnsi="Times New Roman"/>
                <w:sz w:val="15"/>
                <w:szCs w:val="15"/>
                <w:color w:val="0000EE"/>
                <w:w w:val="87"/>
              </w:rPr>
            </w:pPr>
            <w:hyperlink r:id="rId55">
              <w:r>
                <w:rPr>
                  <w:rFonts w:ascii="Times New Roman" w:cs="Times New Roman" w:eastAsia="Times New Roman" w:hAnsi="Times New Roman"/>
                  <w:sz w:val="15"/>
                  <w:szCs w:val="15"/>
                  <w:color w:val="0000EE"/>
                  <w:w w:val="87"/>
                </w:rPr>
                <w:t>(22)</w:t>
              </w:r>
            </w:hyperlink>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3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40" w:type="dxa"/>
            <w:vAlign w:val="bottom"/>
            <w:tcBorders>
              <w:top w:val="single" w:sz="8" w:color="0000EE"/>
              <w:bottom w:val="single" w:sz="8" w:color="0000EE"/>
            </w:tcBorders>
            <w:vMerge w:val="restart"/>
          </w:tcPr>
          <w:p>
            <w:pPr>
              <w:spacing w:after="0"/>
              <w:rPr>
                <w:sz w:val="14"/>
                <w:szCs w:val="14"/>
                <w:color w:val="auto"/>
              </w:rPr>
            </w:pPr>
          </w:p>
        </w:tc>
        <w:tc>
          <w:tcPr>
            <w:tcW w:w="1000" w:type="dxa"/>
            <w:vAlign w:val="bottom"/>
            <w:tcBorders>
              <w:top w:val="single" w:sz="8" w:color="0000EE"/>
              <w:bottom w:val="single" w:sz="8" w:color="0000EE"/>
            </w:tcBorders>
            <w:vMerge w:val="restart"/>
          </w:tcPr>
          <w:p>
            <w:pPr>
              <w:spacing w:after="0"/>
              <w:rPr>
                <w:sz w:val="14"/>
                <w:szCs w:val="14"/>
                <w:color w:val="auto"/>
              </w:rPr>
            </w:pPr>
          </w:p>
        </w:tc>
        <w:tc>
          <w:tcPr>
            <w:tcW w:w="24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20" w:type="dxa"/>
            <w:vAlign w:val="bottom"/>
            <w:tcBorders>
              <w:top w:val="single" w:sz="8" w:color="0000EE"/>
              <w:bottom w:val="single" w:sz="8" w:color="0000EE"/>
            </w:tcBorders>
            <w:vMerge w:val="restart"/>
          </w:tcPr>
          <w:p>
            <w:pPr>
              <w:spacing w:after="0"/>
              <w:rPr>
                <w:sz w:val="14"/>
                <w:szCs w:val="14"/>
                <w:color w:val="auto"/>
              </w:rPr>
            </w:pPr>
          </w:p>
        </w:tc>
        <w:tc>
          <w:tcPr>
            <w:tcW w:w="136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20" w:type="dxa"/>
            <w:vAlign w:val="bottom"/>
            <w:tcBorders>
              <w:top w:val="single" w:sz="8" w:color="0000EE"/>
              <w:bottom w:val="single" w:sz="8" w:color="0000EE"/>
            </w:tcBorders>
            <w:vMerge w:val="restart"/>
          </w:tcPr>
          <w:p>
            <w:pPr>
              <w:spacing w:after="0"/>
              <w:rPr>
                <w:sz w:val="14"/>
                <w:szCs w:val="14"/>
                <w:color w:val="auto"/>
              </w:rPr>
            </w:pPr>
          </w:p>
        </w:tc>
        <w:tc>
          <w:tcPr>
            <w:tcW w:w="7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20" w:type="dxa"/>
            <w:vAlign w:val="bottom"/>
            <w:tcBorders>
              <w:top w:val="single" w:sz="8" w:color="0000EE"/>
              <w:bottom w:val="single" w:sz="8" w:color="0000EE"/>
            </w:tcBorders>
            <w:vMerge w:val="restart"/>
          </w:tcPr>
          <w:p>
            <w:pPr>
              <w:spacing w:after="0"/>
              <w:rPr>
                <w:sz w:val="14"/>
                <w:szCs w:val="14"/>
                <w:color w:val="auto"/>
              </w:rPr>
            </w:pPr>
          </w:p>
        </w:tc>
        <w:tc>
          <w:tcPr>
            <w:tcW w:w="1040" w:type="dxa"/>
            <w:vAlign w:val="bottom"/>
            <w:tcBorders>
              <w:top w:val="single" w:sz="8" w:color="0000EE"/>
              <w:bottom w:val="single" w:sz="8" w:color="0000EE"/>
            </w:tcBorders>
            <w:vMerge w:val="restart"/>
          </w:tcPr>
          <w:p>
            <w:pPr>
              <w:spacing w:after="0"/>
              <w:rPr>
                <w:sz w:val="14"/>
                <w:szCs w:val="14"/>
                <w:color w:val="auto"/>
              </w:rPr>
            </w:pPr>
          </w:p>
        </w:tc>
        <w:tc>
          <w:tcPr>
            <w:tcW w:w="120" w:type="dxa"/>
            <w:vAlign w:val="bottom"/>
            <w:tcBorders>
              <w:top w:val="single" w:sz="8" w:color="0000EE"/>
              <w:bottom w:val="single" w:sz="8" w:color="0000EE"/>
            </w:tcBorders>
            <w:vMerge w:val="restart"/>
          </w:tcPr>
          <w:p>
            <w:pPr>
              <w:spacing w:after="0"/>
              <w:rPr>
                <w:sz w:val="14"/>
                <w:szCs w:val="14"/>
                <w:color w:val="auto"/>
              </w:rPr>
            </w:pPr>
          </w:p>
        </w:tc>
        <w:tc>
          <w:tcPr>
            <w:tcW w:w="1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560" w:type="dxa"/>
            <w:vAlign w:val="bottom"/>
            <w:tcBorders>
              <w:top w:val="single" w:sz="8" w:color="0000EE"/>
              <w:bottom w:val="single" w:sz="8" w:color="0000EE"/>
            </w:tcBorders>
            <w:vMerge w:val="restart"/>
          </w:tcPr>
          <w:p>
            <w:pPr>
              <w:spacing w:after="0"/>
              <w:rPr>
                <w:sz w:val="14"/>
                <w:szCs w:val="14"/>
                <w:color w:val="auto"/>
              </w:rPr>
            </w:pPr>
          </w:p>
        </w:tc>
        <w:tc>
          <w:tcPr>
            <w:tcW w:w="8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40" w:type="dxa"/>
            <w:vAlign w:val="bottom"/>
            <w:tcBorders>
              <w:top w:val="single" w:sz="8" w:color="0000EE"/>
              <w:bottom w:val="single" w:sz="8" w:color="0000EE"/>
            </w:tcBorders>
            <w:vMerge w:val="restart"/>
          </w:tcPr>
          <w:p>
            <w:pPr>
              <w:spacing w:after="0"/>
              <w:rPr>
                <w:sz w:val="14"/>
                <w:szCs w:val="14"/>
                <w:color w:val="auto"/>
              </w:rPr>
            </w:pPr>
          </w:p>
        </w:tc>
        <w:tc>
          <w:tcPr>
            <w:tcW w:w="60" w:type="dxa"/>
            <w:vAlign w:val="bottom"/>
            <w:gridSpan w:val="2"/>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Borders>
              <w:bottom w:val="single" w:sz="8" w:color="0000EE"/>
            </w:tcBorders>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23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r:id="rId56">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18</w:t>
              </w:r>
            </w:hyperlink>
          </w:p>
        </w:tc>
        <w:tc>
          <w:tcPr>
            <w:tcW w:w="720" w:type="dxa"/>
            <w:vAlign w:val="bottom"/>
          </w:tcPr>
          <w:p>
            <w:pPr>
              <w:spacing w:after="0"/>
              <w:rPr>
                <w:sz w:val="24"/>
                <w:szCs w:val="24"/>
                <w:color w:val="auto"/>
              </w:rPr>
            </w:pPr>
          </w:p>
        </w:tc>
        <w:tc>
          <w:tcPr>
            <w:tcW w:w="982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Fifth Amendment to Credit Agreement, dated as of October 19, 2021, among Runway Growth Finance Corp., as borrower; the financial</w:t>
              </w:r>
            </w:hyperlink>
          </w:p>
        </w:tc>
        <w:tc>
          <w:tcPr>
            <w:tcW w:w="2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100" w:type="dxa"/>
            <w:vAlign w:val="bottom"/>
            <w:gridSpan w:val="40"/>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institutions party thereto as lenders; KeyBank National Association, as administrative agent and lender; CIBC Bank USA, as</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100" w:type="dxa"/>
            <w:vAlign w:val="bottom"/>
            <w:gridSpan w:val="40"/>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documentation agent and lender; MUFG Union Bank, N.A. as co-documentation agent and lender; and U.S. Bank National Association, as</w:t>
              </w:r>
            </w:hyperlink>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Borders>
              <w:top w:val="single" w:sz="8" w:color="0000EE"/>
              <w:bottom w:val="single" w:sz="8" w:color="0000EE"/>
            </w:tcBorders>
            <w:gridSpan w:val="5"/>
            <w:vMerge w:val="restart"/>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paying agent</w:t>
              </w:r>
            </w:hyperlink>
          </w:p>
        </w:tc>
        <w:tc>
          <w:tcPr>
            <w:tcW w:w="240" w:type="dxa"/>
            <w:vAlign w:val="bottom"/>
            <w:tcBorders>
              <w:top w:val="single" w:sz="8" w:color="0000EE"/>
              <w:bottom w:val="single" w:sz="8" w:color="0000EE"/>
            </w:tcBorders>
            <w:gridSpan w:val="3"/>
          </w:tcPr>
          <w:p>
            <w:pPr>
              <w:spacing w:after="0" w:line="156" w:lineRule="exact"/>
              <w:rPr>
                <w:rFonts w:ascii="Times New Roman" w:cs="Times New Roman" w:eastAsia="Times New Roman" w:hAnsi="Times New Roman"/>
                <w:sz w:val="15"/>
                <w:szCs w:val="15"/>
                <w:color w:val="0000EE"/>
                <w:w w:val="87"/>
              </w:rPr>
            </w:pPr>
            <w:hyperlink r:id="rId56">
              <w:r>
                <w:rPr>
                  <w:rFonts w:ascii="Times New Roman" w:cs="Times New Roman" w:eastAsia="Times New Roman" w:hAnsi="Times New Roman"/>
                  <w:sz w:val="15"/>
                  <w:szCs w:val="15"/>
                  <w:color w:val="0000EE"/>
                  <w:w w:val="87"/>
                </w:rPr>
                <w:t>(17)</w:t>
              </w:r>
            </w:hyperlink>
          </w:p>
        </w:tc>
        <w:tc>
          <w:tcPr>
            <w:tcW w:w="23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40" w:type="dxa"/>
            <w:vAlign w:val="bottom"/>
            <w:tcBorders>
              <w:top w:val="single" w:sz="8" w:color="0000EE"/>
              <w:bottom w:val="single" w:sz="8" w:color="0000EE"/>
            </w:tcBorders>
            <w:vMerge w:val="restart"/>
          </w:tcPr>
          <w:p>
            <w:pPr>
              <w:spacing w:after="0"/>
              <w:rPr>
                <w:sz w:val="14"/>
                <w:szCs w:val="14"/>
                <w:color w:val="auto"/>
              </w:rPr>
            </w:pPr>
          </w:p>
        </w:tc>
        <w:tc>
          <w:tcPr>
            <w:tcW w:w="1000" w:type="dxa"/>
            <w:vAlign w:val="bottom"/>
            <w:tcBorders>
              <w:top w:val="single" w:sz="8" w:color="0000EE"/>
              <w:bottom w:val="single" w:sz="8" w:color="0000EE"/>
            </w:tcBorders>
            <w:vMerge w:val="restart"/>
          </w:tcPr>
          <w:p>
            <w:pPr>
              <w:spacing w:after="0"/>
              <w:rPr>
                <w:sz w:val="14"/>
                <w:szCs w:val="14"/>
                <w:color w:val="auto"/>
              </w:rPr>
            </w:pPr>
          </w:p>
        </w:tc>
        <w:tc>
          <w:tcPr>
            <w:tcW w:w="24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20" w:type="dxa"/>
            <w:vAlign w:val="bottom"/>
            <w:tcBorders>
              <w:top w:val="single" w:sz="8" w:color="0000EE"/>
              <w:bottom w:val="single" w:sz="8" w:color="0000EE"/>
            </w:tcBorders>
            <w:vMerge w:val="restart"/>
          </w:tcPr>
          <w:p>
            <w:pPr>
              <w:spacing w:after="0"/>
              <w:rPr>
                <w:sz w:val="14"/>
                <w:szCs w:val="14"/>
                <w:color w:val="auto"/>
              </w:rPr>
            </w:pPr>
          </w:p>
        </w:tc>
        <w:tc>
          <w:tcPr>
            <w:tcW w:w="136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20" w:type="dxa"/>
            <w:vAlign w:val="bottom"/>
            <w:tcBorders>
              <w:top w:val="single" w:sz="8" w:color="0000EE"/>
              <w:bottom w:val="single" w:sz="8" w:color="0000EE"/>
            </w:tcBorders>
            <w:vMerge w:val="restart"/>
          </w:tcPr>
          <w:p>
            <w:pPr>
              <w:spacing w:after="0"/>
              <w:rPr>
                <w:sz w:val="14"/>
                <w:szCs w:val="14"/>
                <w:color w:val="auto"/>
              </w:rPr>
            </w:pPr>
          </w:p>
        </w:tc>
        <w:tc>
          <w:tcPr>
            <w:tcW w:w="7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20" w:type="dxa"/>
            <w:vAlign w:val="bottom"/>
            <w:tcBorders>
              <w:top w:val="single" w:sz="8" w:color="0000EE"/>
              <w:bottom w:val="single" w:sz="8" w:color="0000EE"/>
            </w:tcBorders>
            <w:vMerge w:val="restart"/>
          </w:tcPr>
          <w:p>
            <w:pPr>
              <w:spacing w:after="0"/>
              <w:rPr>
                <w:sz w:val="14"/>
                <w:szCs w:val="14"/>
                <w:color w:val="auto"/>
              </w:rPr>
            </w:pPr>
          </w:p>
        </w:tc>
        <w:tc>
          <w:tcPr>
            <w:tcW w:w="1040" w:type="dxa"/>
            <w:vAlign w:val="bottom"/>
            <w:tcBorders>
              <w:top w:val="single" w:sz="8" w:color="0000EE"/>
              <w:bottom w:val="single" w:sz="8" w:color="0000EE"/>
            </w:tcBorders>
            <w:vMerge w:val="restart"/>
          </w:tcPr>
          <w:p>
            <w:pPr>
              <w:spacing w:after="0"/>
              <w:rPr>
                <w:sz w:val="14"/>
                <w:szCs w:val="14"/>
                <w:color w:val="auto"/>
              </w:rPr>
            </w:pPr>
          </w:p>
        </w:tc>
        <w:tc>
          <w:tcPr>
            <w:tcW w:w="240" w:type="dxa"/>
            <w:vAlign w:val="bottom"/>
            <w:tcBorders>
              <w:top w:val="single" w:sz="8" w:color="0000EE"/>
              <w:bottom w:val="single" w:sz="8" w:color="0000EE"/>
            </w:tcBorders>
            <w:gridSpan w:val="2"/>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560" w:type="dxa"/>
            <w:vAlign w:val="bottom"/>
            <w:tcBorders>
              <w:top w:val="single" w:sz="8" w:color="0000EE"/>
              <w:bottom w:val="single" w:sz="8" w:color="0000EE"/>
            </w:tcBorders>
            <w:vMerge w:val="restart"/>
          </w:tcPr>
          <w:p>
            <w:pPr>
              <w:spacing w:after="0"/>
              <w:rPr>
                <w:sz w:val="14"/>
                <w:szCs w:val="14"/>
                <w:color w:val="auto"/>
              </w:rPr>
            </w:pPr>
          </w:p>
        </w:tc>
        <w:tc>
          <w:tcPr>
            <w:tcW w:w="8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60" w:type="dxa"/>
            <w:vAlign w:val="bottom"/>
            <w:tcBorders>
              <w:top w:val="single" w:sz="8" w:color="0000EE"/>
              <w:bottom w:val="single" w:sz="8" w:color="0000EE"/>
            </w:tcBorders>
            <w:gridSpan w:val="2"/>
            <w:vMerge w:val="restart"/>
          </w:tcPr>
          <w:p>
            <w:pPr>
              <w:spacing w:after="0"/>
              <w:rPr>
                <w:sz w:val="14"/>
                <w:szCs w:val="14"/>
                <w:color w:val="auto"/>
              </w:rPr>
            </w:pPr>
          </w:p>
        </w:tc>
        <w:tc>
          <w:tcPr>
            <w:tcW w:w="60" w:type="dxa"/>
            <w:vAlign w:val="bottom"/>
            <w:tcBorders>
              <w:top w:val="single" w:sz="8" w:color="0000EE"/>
              <w:bottom w:val="single" w:sz="8" w:color="0000EE"/>
            </w:tcBorders>
            <w:gridSpan w:val="2"/>
            <w:vMerge w:val="restart"/>
          </w:tcPr>
          <w:p>
            <w:pPr>
              <w:spacing w:after="0"/>
              <w:rPr>
                <w:sz w:val="14"/>
                <w:szCs w:val="14"/>
                <w:color w:val="auto"/>
              </w:rPr>
            </w:pPr>
          </w:p>
        </w:tc>
        <w:tc>
          <w:tcPr>
            <w:tcW w:w="4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Borders>
              <w:bottom w:val="single" w:sz="8" w:color="0000EE"/>
            </w:tcBorders>
            <w:gridSpan w:val="5"/>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20" w:type="dxa"/>
            <w:vAlign w:val="bottom"/>
            <w:gridSpan w:val="2"/>
          </w:tcPr>
          <w:p>
            <w:pPr>
              <w:spacing w:after="0"/>
              <w:rPr>
                <w:sz w:val="4"/>
                <w:szCs w:val="4"/>
                <w:color w:val="auto"/>
              </w:rPr>
            </w:pPr>
          </w:p>
        </w:tc>
        <w:tc>
          <w:tcPr>
            <w:tcW w:w="23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r:id="rId57">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19</w:t>
              </w:r>
            </w:hyperlink>
          </w:p>
        </w:tc>
        <w:tc>
          <w:tcPr>
            <w:tcW w:w="720" w:type="dxa"/>
            <w:vAlign w:val="bottom"/>
          </w:tcPr>
          <w:p>
            <w:pPr>
              <w:spacing w:after="0"/>
              <w:rPr>
                <w:sz w:val="24"/>
                <w:szCs w:val="24"/>
                <w:color w:val="auto"/>
              </w:rPr>
            </w:pPr>
          </w:p>
        </w:tc>
        <w:tc>
          <w:tcPr>
            <w:tcW w:w="980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Amended and Restated Credit Agreement, dated as of April 20, 2022, among Runway Growth Finance Corp., as borrower; the financial</w:t>
              </w:r>
            </w:hyperlink>
          </w:p>
        </w:tc>
        <w:tc>
          <w:tcPr>
            <w:tcW w:w="3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100" w:type="dxa"/>
            <w:vAlign w:val="bottom"/>
            <w:gridSpan w:val="40"/>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institutions party thereto as lenders; KeyBank National Association, as administrative agent and lender; CIBC Bank USA, as</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0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100" w:type="dxa"/>
            <w:vAlign w:val="bottom"/>
            <w:gridSpan w:val="40"/>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documentation agent and lender; MUFG Union Bank, N.A. as co-documentation agent and lender; and U.S. Bank National Association, as</w:t>
              </w:r>
            </w:hyperlink>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Borders>
              <w:top w:val="single" w:sz="8" w:color="0000EE"/>
              <w:bottom w:val="single" w:sz="8" w:color="0000EE"/>
            </w:tcBorders>
            <w:gridSpan w:val="5"/>
            <w:vMerge w:val="restart"/>
          </w:tcPr>
          <w:p>
            <w:pPr>
              <w:spacing w:after="0"/>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paying agent</w:t>
              </w:r>
            </w:hyperlink>
          </w:p>
        </w:tc>
        <w:tc>
          <w:tcPr>
            <w:tcW w:w="240" w:type="dxa"/>
            <w:vAlign w:val="bottom"/>
            <w:tcBorders>
              <w:top w:val="single" w:sz="8" w:color="0000EE"/>
              <w:bottom w:val="single" w:sz="8" w:color="0000EE"/>
            </w:tcBorders>
            <w:gridSpan w:val="3"/>
          </w:tcPr>
          <w:p>
            <w:pPr>
              <w:spacing w:after="0" w:line="156" w:lineRule="exact"/>
              <w:rPr>
                <w:rFonts w:ascii="Times New Roman" w:cs="Times New Roman" w:eastAsia="Times New Roman" w:hAnsi="Times New Roman"/>
                <w:sz w:val="15"/>
                <w:szCs w:val="15"/>
                <w:color w:val="0000EE"/>
                <w:w w:val="87"/>
              </w:rPr>
            </w:pPr>
            <w:hyperlink r:id="rId57">
              <w:r>
                <w:rPr>
                  <w:rFonts w:ascii="Times New Roman" w:cs="Times New Roman" w:eastAsia="Times New Roman" w:hAnsi="Times New Roman"/>
                  <w:sz w:val="15"/>
                  <w:szCs w:val="15"/>
                  <w:color w:val="0000EE"/>
                  <w:w w:val="87"/>
                </w:rPr>
                <w:t>(18)</w:t>
              </w:r>
            </w:hyperlink>
          </w:p>
        </w:tc>
        <w:tc>
          <w:tcPr>
            <w:tcW w:w="23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40" w:type="dxa"/>
            <w:vAlign w:val="bottom"/>
            <w:tcBorders>
              <w:top w:val="single" w:sz="8" w:color="0000EE"/>
              <w:bottom w:val="single" w:sz="8" w:color="0000EE"/>
            </w:tcBorders>
            <w:vMerge w:val="restart"/>
          </w:tcPr>
          <w:p>
            <w:pPr>
              <w:spacing w:after="0"/>
              <w:rPr>
                <w:sz w:val="14"/>
                <w:szCs w:val="14"/>
                <w:color w:val="auto"/>
              </w:rPr>
            </w:pPr>
          </w:p>
        </w:tc>
        <w:tc>
          <w:tcPr>
            <w:tcW w:w="1000" w:type="dxa"/>
            <w:vAlign w:val="bottom"/>
            <w:tcBorders>
              <w:top w:val="single" w:sz="8" w:color="0000EE"/>
              <w:bottom w:val="single" w:sz="8" w:color="0000EE"/>
            </w:tcBorders>
            <w:vMerge w:val="restart"/>
          </w:tcPr>
          <w:p>
            <w:pPr>
              <w:spacing w:after="0"/>
              <w:rPr>
                <w:sz w:val="14"/>
                <w:szCs w:val="14"/>
                <w:color w:val="auto"/>
              </w:rPr>
            </w:pPr>
          </w:p>
        </w:tc>
        <w:tc>
          <w:tcPr>
            <w:tcW w:w="24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20" w:type="dxa"/>
            <w:vAlign w:val="bottom"/>
            <w:tcBorders>
              <w:top w:val="single" w:sz="8" w:color="0000EE"/>
              <w:bottom w:val="single" w:sz="8" w:color="0000EE"/>
            </w:tcBorders>
            <w:vMerge w:val="restart"/>
          </w:tcPr>
          <w:p>
            <w:pPr>
              <w:spacing w:after="0"/>
              <w:rPr>
                <w:sz w:val="14"/>
                <w:szCs w:val="14"/>
                <w:color w:val="auto"/>
              </w:rPr>
            </w:pPr>
          </w:p>
        </w:tc>
        <w:tc>
          <w:tcPr>
            <w:tcW w:w="136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20" w:type="dxa"/>
            <w:vAlign w:val="bottom"/>
            <w:tcBorders>
              <w:top w:val="single" w:sz="8" w:color="0000EE"/>
              <w:bottom w:val="single" w:sz="8" w:color="0000EE"/>
            </w:tcBorders>
            <w:vMerge w:val="restart"/>
          </w:tcPr>
          <w:p>
            <w:pPr>
              <w:spacing w:after="0"/>
              <w:rPr>
                <w:sz w:val="14"/>
                <w:szCs w:val="14"/>
                <w:color w:val="auto"/>
              </w:rPr>
            </w:pPr>
          </w:p>
        </w:tc>
        <w:tc>
          <w:tcPr>
            <w:tcW w:w="7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20" w:type="dxa"/>
            <w:vAlign w:val="bottom"/>
            <w:tcBorders>
              <w:top w:val="single" w:sz="8" w:color="0000EE"/>
              <w:bottom w:val="single" w:sz="8" w:color="0000EE"/>
            </w:tcBorders>
            <w:vMerge w:val="restart"/>
          </w:tcPr>
          <w:p>
            <w:pPr>
              <w:spacing w:after="0"/>
              <w:rPr>
                <w:sz w:val="14"/>
                <w:szCs w:val="14"/>
                <w:color w:val="auto"/>
              </w:rPr>
            </w:pPr>
          </w:p>
        </w:tc>
        <w:tc>
          <w:tcPr>
            <w:tcW w:w="1040" w:type="dxa"/>
            <w:vAlign w:val="bottom"/>
            <w:tcBorders>
              <w:top w:val="single" w:sz="8" w:color="0000EE"/>
              <w:bottom w:val="single" w:sz="8" w:color="0000EE"/>
            </w:tcBorders>
            <w:vMerge w:val="restart"/>
          </w:tcPr>
          <w:p>
            <w:pPr>
              <w:spacing w:after="0"/>
              <w:rPr>
                <w:sz w:val="14"/>
                <w:szCs w:val="14"/>
                <w:color w:val="auto"/>
              </w:rPr>
            </w:pPr>
          </w:p>
        </w:tc>
        <w:tc>
          <w:tcPr>
            <w:tcW w:w="240" w:type="dxa"/>
            <w:vAlign w:val="bottom"/>
            <w:tcBorders>
              <w:top w:val="single" w:sz="8" w:color="0000EE"/>
              <w:bottom w:val="single" w:sz="8" w:color="0000EE"/>
            </w:tcBorders>
            <w:gridSpan w:val="2"/>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560" w:type="dxa"/>
            <w:vAlign w:val="bottom"/>
            <w:tcBorders>
              <w:top w:val="single" w:sz="8" w:color="0000EE"/>
              <w:bottom w:val="single" w:sz="8" w:color="0000EE"/>
            </w:tcBorders>
            <w:vMerge w:val="restart"/>
          </w:tcPr>
          <w:p>
            <w:pPr>
              <w:spacing w:after="0"/>
              <w:rPr>
                <w:sz w:val="14"/>
                <w:szCs w:val="14"/>
                <w:color w:val="auto"/>
              </w:rPr>
            </w:pPr>
          </w:p>
        </w:tc>
        <w:tc>
          <w:tcPr>
            <w:tcW w:w="8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80" w:type="dxa"/>
            <w:vAlign w:val="bottom"/>
            <w:tcBorders>
              <w:top w:val="single" w:sz="8" w:color="0000EE"/>
              <w:bottom w:val="single" w:sz="8" w:color="0000EE"/>
            </w:tcBorders>
            <w:gridSpan w:val="3"/>
            <w:vMerge w:val="restart"/>
          </w:tcPr>
          <w:p>
            <w:pPr>
              <w:spacing w:after="0"/>
              <w:rPr>
                <w:sz w:val="14"/>
                <w:szCs w:val="14"/>
                <w:color w:val="auto"/>
              </w:rPr>
            </w:pPr>
          </w:p>
        </w:tc>
        <w:tc>
          <w:tcPr>
            <w:tcW w:w="60" w:type="dxa"/>
            <w:vAlign w:val="bottom"/>
            <w:tcBorders>
              <w:top w:val="single" w:sz="8" w:color="0000EE"/>
              <w:bottom w:val="single" w:sz="8" w:color="0000EE"/>
            </w:tcBorders>
            <w:gridSpan w:val="2"/>
            <w:vMerge w:val="restart"/>
          </w:tcPr>
          <w:p>
            <w:pPr>
              <w:spacing w:after="0"/>
              <w:rPr>
                <w:sz w:val="14"/>
                <w:szCs w:val="14"/>
                <w:color w:val="auto"/>
              </w:rPr>
            </w:pPr>
          </w:p>
        </w:tc>
        <w:tc>
          <w:tcPr>
            <w:tcW w:w="4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Borders>
              <w:bottom w:val="single" w:sz="8" w:color="0000EE"/>
            </w:tcBorders>
            <w:gridSpan w:val="5"/>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20" w:type="dxa"/>
            <w:vAlign w:val="bottom"/>
            <w:gridSpan w:val="2"/>
          </w:tcPr>
          <w:p>
            <w:pPr>
              <w:spacing w:after="0"/>
              <w:rPr>
                <w:sz w:val="4"/>
                <w:szCs w:val="4"/>
                <w:color w:val="auto"/>
              </w:rPr>
            </w:pPr>
          </w:p>
        </w:tc>
        <w:tc>
          <w:tcPr>
            <w:tcW w:w="23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80" w:type="dxa"/>
            <w:vAlign w:val="bottom"/>
            <w:gridSpan w:val="3"/>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r:id="rId5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20</w:t>
              </w:r>
            </w:hyperlink>
          </w:p>
        </w:tc>
        <w:tc>
          <w:tcPr>
            <w:tcW w:w="720" w:type="dxa"/>
            <w:vAlign w:val="bottom"/>
          </w:tcPr>
          <w:p>
            <w:pPr>
              <w:spacing w:after="0"/>
              <w:rPr>
                <w:sz w:val="24"/>
                <w:szCs w:val="24"/>
                <w:color w:val="auto"/>
              </w:rPr>
            </w:pPr>
          </w:p>
        </w:tc>
        <w:tc>
          <w:tcPr>
            <w:tcW w:w="996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Second Amendment to the Amended and Restated Credit Agreement, dated as of January 4, 2023, among Runway Growth Finance Corp.,</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as borrower; the financial institutions parties thereto as lenders; and KeyBank National Association, as administrative agent and lender;</w:t>
              </w:r>
            </w:hyperlink>
          </w:p>
        </w:tc>
        <w:tc>
          <w:tcPr>
            <w:tcW w:w="3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1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CIBC Bank USA, as documentation agent; MUFG Union Bank, Ltd (as successor-in-interest to MUFG Union Bank, N.A.), as</w:t>
              </w:r>
            </w:hyperlink>
          </w:p>
        </w:tc>
        <w:tc>
          <w:tcPr>
            <w:tcW w:w="10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20" w:type="dxa"/>
            <w:vAlign w:val="bottom"/>
            <w:gridSpan w:val="17"/>
            <w:vMerge w:val="restart"/>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documentation agent; and U.S. Bank Trust Company, National Association, as paying agent</w:t>
              </w:r>
            </w:hyperlink>
          </w:p>
        </w:tc>
        <w:tc>
          <w:tcPr>
            <w:tcW w:w="240" w:type="dxa"/>
            <w:vAlign w:val="bottom"/>
            <w:tcBorders>
              <w:bottom w:val="single" w:sz="8" w:color="0000EE"/>
            </w:tcBorders>
            <w:gridSpan w:val="2"/>
          </w:tcPr>
          <w:p>
            <w:pPr>
              <w:jc w:val="right"/>
              <w:spacing w:after="0" w:line="156" w:lineRule="exact"/>
              <w:rPr>
                <w:rFonts w:ascii="Times New Roman" w:cs="Times New Roman" w:eastAsia="Times New Roman" w:hAnsi="Times New Roman"/>
                <w:sz w:val="15"/>
                <w:szCs w:val="15"/>
                <w:color w:val="0000EE"/>
                <w:w w:val="87"/>
              </w:rPr>
            </w:pPr>
            <w:hyperlink r:id="rId58">
              <w:r>
                <w:rPr>
                  <w:rFonts w:ascii="Times New Roman" w:cs="Times New Roman" w:eastAsia="Times New Roman" w:hAnsi="Times New Roman"/>
                  <w:sz w:val="15"/>
                  <w:szCs w:val="15"/>
                  <w:color w:val="0000EE"/>
                  <w:w w:val="87"/>
                </w:rPr>
                <w:t>(21)</w:t>
              </w:r>
            </w:hyperlink>
          </w:p>
        </w:tc>
        <w:tc>
          <w:tcPr>
            <w:tcW w:w="7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20" w:type="dxa"/>
            <w:vAlign w:val="bottom"/>
            <w:vMerge w:val="restart"/>
          </w:tcPr>
          <w:p>
            <w:pPr>
              <w:spacing w:after="0"/>
              <w:rPr>
                <w:sz w:val="14"/>
                <w:szCs w:val="14"/>
                <w:color w:val="auto"/>
              </w:rPr>
            </w:pPr>
          </w:p>
        </w:tc>
        <w:tc>
          <w:tcPr>
            <w:tcW w:w="1040" w:type="dxa"/>
            <w:vAlign w:val="bottom"/>
            <w:vMerge w:val="restart"/>
          </w:tcPr>
          <w:p>
            <w:pPr>
              <w:spacing w:after="0"/>
              <w:rPr>
                <w:sz w:val="14"/>
                <w:szCs w:val="14"/>
                <w:color w:val="auto"/>
              </w:rPr>
            </w:pPr>
          </w:p>
        </w:tc>
        <w:tc>
          <w:tcPr>
            <w:tcW w:w="260" w:type="dxa"/>
            <w:vAlign w:val="bottom"/>
            <w:gridSpan w:val="3"/>
            <w:vMerge w:val="restart"/>
          </w:tcPr>
          <w:p>
            <w:pPr>
              <w:spacing w:after="0"/>
              <w:rPr>
                <w:sz w:val="14"/>
                <w:szCs w:val="14"/>
                <w:color w:val="auto"/>
              </w:rPr>
            </w:pPr>
          </w:p>
        </w:tc>
        <w:tc>
          <w:tcPr>
            <w:tcW w:w="560" w:type="dxa"/>
            <w:vAlign w:val="bottom"/>
            <w:vMerge w:val="restart"/>
          </w:tcPr>
          <w:p>
            <w:pPr>
              <w:spacing w:after="0"/>
              <w:rPr>
                <w:sz w:val="14"/>
                <w:szCs w:val="14"/>
                <w:color w:val="auto"/>
              </w:rPr>
            </w:pPr>
          </w:p>
        </w:tc>
        <w:tc>
          <w:tcPr>
            <w:tcW w:w="100" w:type="dxa"/>
            <w:vAlign w:val="bottom"/>
            <w:gridSpan w:val="2"/>
            <w:vMerge w:val="restart"/>
          </w:tcPr>
          <w:p>
            <w:pPr>
              <w:spacing w:after="0"/>
              <w:rPr>
                <w:sz w:val="14"/>
                <w:szCs w:val="14"/>
                <w:color w:val="auto"/>
              </w:rPr>
            </w:pPr>
          </w:p>
        </w:tc>
        <w:tc>
          <w:tcPr>
            <w:tcW w:w="80" w:type="dxa"/>
            <w:vAlign w:val="bottom"/>
            <w:gridSpan w:val="3"/>
            <w:vMerge w:val="restart"/>
          </w:tcPr>
          <w:p>
            <w:pPr>
              <w:spacing w:after="0"/>
              <w:rPr>
                <w:sz w:val="14"/>
                <w:szCs w:val="14"/>
                <w:color w:val="auto"/>
              </w:rPr>
            </w:pPr>
          </w:p>
        </w:tc>
        <w:tc>
          <w:tcPr>
            <w:tcW w:w="60" w:type="dxa"/>
            <w:vAlign w:val="bottom"/>
            <w:gridSpan w:val="2"/>
            <w:vMerge w:val="restart"/>
          </w:tcPr>
          <w:p>
            <w:pPr>
              <w:spacing w:after="0"/>
              <w:rPr>
                <w:sz w:val="14"/>
                <w:szCs w:val="14"/>
                <w:color w:val="auto"/>
              </w:rPr>
            </w:pPr>
          </w:p>
        </w:tc>
        <w:tc>
          <w:tcPr>
            <w:tcW w:w="60" w:type="dxa"/>
            <w:vAlign w:val="bottom"/>
            <w:gridSpan w:val="2"/>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20" w:type="dxa"/>
            <w:vAlign w:val="bottom"/>
            <w:tcBorders>
              <w:bottom w:val="single" w:sz="8" w:color="0000EE"/>
            </w:tcBorders>
            <w:gridSpan w:val="17"/>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260" w:type="dxa"/>
            <w:vAlign w:val="bottom"/>
            <w:gridSpan w:val="3"/>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80" w:type="dxa"/>
            <w:vAlign w:val="bottom"/>
            <w:gridSpan w:val="3"/>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20" w:type="dxa"/>
            <w:vAlign w:val="bottom"/>
            <w:gridSpan w:val="2"/>
          </w:tcPr>
          <w:p>
            <w:pPr>
              <w:spacing w:after="0"/>
              <w:rPr>
                <w:rFonts w:ascii="Times New Roman" w:cs="Times New Roman" w:eastAsia="Times New Roman" w:hAnsi="Times New Roman"/>
                <w:sz w:val="18"/>
                <w:szCs w:val="18"/>
                <w:color w:val="0000EE"/>
                <w:w w:val="98"/>
              </w:rPr>
            </w:pPr>
            <w:hyperlink r:id="rId5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21</w:t>
              </w:r>
            </w:hyperlink>
          </w:p>
        </w:tc>
        <w:tc>
          <w:tcPr>
            <w:tcW w:w="720" w:type="dxa"/>
            <w:vAlign w:val="bottom"/>
          </w:tcPr>
          <w:p>
            <w:pPr>
              <w:spacing w:after="0"/>
              <w:rPr>
                <w:sz w:val="24"/>
                <w:szCs w:val="24"/>
                <w:color w:val="auto"/>
              </w:rPr>
            </w:pPr>
          </w:p>
        </w:tc>
        <w:tc>
          <w:tcPr>
            <w:tcW w:w="10100" w:type="dxa"/>
            <w:vAlign w:val="bottom"/>
            <w:gridSpan w:val="40"/>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Third Amendment to the Amended and Restated Credit Agreement, dated as of March 24, 2023, among Runway Growth Finance Corp., as</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0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100" w:type="dxa"/>
            <w:vAlign w:val="bottom"/>
            <w:gridSpan w:val="40"/>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borrower, the financial institutions party thereto as lenders, KeyBank National Association, as administrative and lender, CIBC Bank USA,</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0" w:type="dxa"/>
            <w:vAlign w:val="bottom"/>
            <w:tcBorders>
              <w:top w:val="single" w:sz="8" w:color="0000EE"/>
            </w:tcBorders>
            <w:gridSpan w:val="37"/>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as documentation, MUFG Bank, Ltd. (as successor in interest to MUFG Bank, N.A.), as co-documentation agent, and U.S. Bank Trust</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500" w:type="dxa"/>
            <w:vAlign w:val="bottom"/>
            <w:tcBorders>
              <w:top w:val="single" w:sz="8" w:color="0000EE"/>
              <w:bottom w:val="single" w:sz="8" w:color="0000EE"/>
            </w:tcBorders>
            <w:gridSpan w:val="9"/>
            <w:vMerge w:val="restart"/>
          </w:tcPr>
          <w:p>
            <w:pPr>
              <w:spacing w:after="0"/>
              <w:rPr>
                <w:rFonts w:ascii="Times New Roman" w:cs="Times New Roman" w:eastAsia="Times New Roman" w:hAnsi="Times New Roman"/>
                <w:sz w:val="18"/>
                <w:szCs w:val="18"/>
                <w:color w:val="0000EE"/>
                <w:w w:val="98"/>
              </w:rPr>
            </w:pPr>
            <w:hyperlink r:id="rId59">
              <w:r>
                <w:rPr>
                  <w:rFonts w:ascii="Times New Roman" w:cs="Times New Roman" w:eastAsia="Times New Roman" w:hAnsi="Times New Roman"/>
                  <w:sz w:val="18"/>
                  <w:szCs w:val="18"/>
                  <w:color w:val="0000EE"/>
                  <w:w w:val="98"/>
                </w:rPr>
                <w:t>Company, National Association, as paying agent</w:t>
              </w:r>
            </w:hyperlink>
          </w:p>
        </w:tc>
        <w:tc>
          <w:tcPr>
            <w:tcW w:w="260" w:type="dxa"/>
            <w:vAlign w:val="bottom"/>
            <w:tcBorders>
              <w:top w:val="single" w:sz="8" w:color="0000EE"/>
              <w:bottom w:val="single" w:sz="8" w:color="0000EE"/>
            </w:tcBorders>
            <w:gridSpan w:val="2"/>
          </w:tcPr>
          <w:p>
            <w:pPr>
              <w:jc w:val="right"/>
              <w:spacing w:after="0" w:line="156" w:lineRule="exact"/>
              <w:rPr>
                <w:rFonts w:ascii="Times New Roman" w:cs="Times New Roman" w:eastAsia="Times New Roman" w:hAnsi="Times New Roman"/>
                <w:sz w:val="15"/>
                <w:szCs w:val="15"/>
                <w:color w:val="0000EE"/>
                <w:w w:val="95"/>
              </w:rPr>
            </w:pPr>
            <w:hyperlink r:id="rId59">
              <w:r>
                <w:rPr>
                  <w:rFonts w:ascii="Times New Roman" w:cs="Times New Roman" w:eastAsia="Times New Roman" w:hAnsi="Times New Roman"/>
                  <w:sz w:val="15"/>
                  <w:szCs w:val="15"/>
                  <w:color w:val="0000EE"/>
                  <w:w w:val="95"/>
                </w:rPr>
                <w:t>(28)</w:t>
              </w:r>
            </w:hyperlink>
          </w:p>
        </w:tc>
        <w:tc>
          <w:tcPr>
            <w:tcW w:w="1000" w:type="dxa"/>
            <w:vAlign w:val="bottom"/>
            <w:tcBorders>
              <w:top w:val="single" w:sz="8" w:color="0000EE"/>
              <w:bottom w:val="single" w:sz="8" w:color="0000EE"/>
            </w:tcBorders>
            <w:vMerge w:val="restart"/>
          </w:tcPr>
          <w:p>
            <w:pPr>
              <w:spacing w:after="0"/>
              <w:rPr>
                <w:sz w:val="14"/>
                <w:szCs w:val="14"/>
                <w:color w:val="auto"/>
              </w:rPr>
            </w:pPr>
          </w:p>
        </w:tc>
        <w:tc>
          <w:tcPr>
            <w:tcW w:w="24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20" w:type="dxa"/>
            <w:vAlign w:val="bottom"/>
            <w:tcBorders>
              <w:top w:val="single" w:sz="8" w:color="0000EE"/>
              <w:bottom w:val="single" w:sz="8" w:color="0000EE"/>
            </w:tcBorders>
            <w:vMerge w:val="restart"/>
          </w:tcPr>
          <w:p>
            <w:pPr>
              <w:spacing w:after="0"/>
              <w:rPr>
                <w:sz w:val="14"/>
                <w:szCs w:val="14"/>
                <w:color w:val="auto"/>
              </w:rPr>
            </w:pPr>
          </w:p>
        </w:tc>
        <w:tc>
          <w:tcPr>
            <w:tcW w:w="2320" w:type="dxa"/>
            <w:vAlign w:val="bottom"/>
            <w:tcBorders>
              <w:top w:val="single" w:sz="8" w:color="0000EE"/>
              <w:bottom w:val="single" w:sz="8" w:color="0000EE"/>
            </w:tcBorders>
            <w:gridSpan w:val="4"/>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20" w:type="dxa"/>
            <w:vAlign w:val="bottom"/>
            <w:tcBorders>
              <w:top w:val="single" w:sz="8" w:color="0000EE"/>
              <w:bottom w:val="single" w:sz="8" w:color="0000EE"/>
            </w:tcBorders>
            <w:vMerge w:val="restart"/>
          </w:tcPr>
          <w:p>
            <w:pPr>
              <w:spacing w:after="0"/>
              <w:rPr>
                <w:sz w:val="14"/>
                <w:szCs w:val="14"/>
                <w:color w:val="auto"/>
              </w:rPr>
            </w:pPr>
          </w:p>
        </w:tc>
        <w:tc>
          <w:tcPr>
            <w:tcW w:w="1040" w:type="dxa"/>
            <w:vAlign w:val="bottom"/>
            <w:tcBorders>
              <w:top w:val="single" w:sz="8" w:color="0000EE"/>
              <w:bottom w:val="single" w:sz="8" w:color="0000EE"/>
            </w:tcBorders>
            <w:vMerge w:val="restart"/>
          </w:tcPr>
          <w:p>
            <w:pPr>
              <w:spacing w:after="0"/>
              <w:rPr>
                <w:sz w:val="14"/>
                <w:szCs w:val="14"/>
                <w:color w:val="auto"/>
              </w:rPr>
            </w:pPr>
          </w:p>
        </w:tc>
        <w:tc>
          <w:tcPr>
            <w:tcW w:w="260" w:type="dxa"/>
            <w:vAlign w:val="bottom"/>
            <w:tcBorders>
              <w:top w:val="single" w:sz="8" w:color="0000EE"/>
              <w:bottom w:val="single" w:sz="8" w:color="0000EE"/>
            </w:tcBorders>
            <w:gridSpan w:val="3"/>
            <w:vMerge w:val="restart"/>
          </w:tcPr>
          <w:p>
            <w:pPr>
              <w:spacing w:after="0"/>
              <w:rPr>
                <w:sz w:val="14"/>
                <w:szCs w:val="14"/>
                <w:color w:val="auto"/>
              </w:rPr>
            </w:pPr>
          </w:p>
        </w:tc>
        <w:tc>
          <w:tcPr>
            <w:tcW w:w="560" w:type="dxa"/>
            <w:vAlign w:val="bottom"/>
            <w:tcBorders>
              <w:top w:val="single" w:sz="8" w:color="0000EE"/>
              <w:bottom w:val="single" w:sz="8" w:color="0000EE"/>
            </w:tcBorders>
            <w:vMerge w:val="restart"/>
          </w:tcPr>
          <w:p>
            <w:pPr>
              <w:spacing w:after="0"/>
              <w:rPr>
                <w:sz w:val="14"/>
                <w:szCs w:val="14"/>
                <w:color w:val="auto"/>
              </w:rPr>
            </w:pPr>
          </w:p>
        </w:tc>
        <w:tc>
          <w:tcPr>
            <w:tcW w:w="100" w:type="dxa"/>
            <w:vAlign w:val="bottom"/>
            <w:gridSpan w:val="2"/>
            <w:vMerge w:val="restart"/>
          </w:tcPr>
          <w:p>
            <w:pPr>
              <w:spacing w:after="0"/>
              <w:rPr>
                <w:sz w:val="14"/>
                <w:szCs w:val="14"/>
                <w:color w:val="auto"/>
              </w:rPr>
            </w:pPr>
          </w:p>
        </w:tc>
        <w:tc>
          <w:tcPr>
            <w:tcW w:w="80" w:type="dxa"/>
            <w:vAlign w:val="bottom"/>
            <w:gridSpan w:val="3"/>
            <w:vMerge w:val="restart"/>
          </w:tcPr>
          <w:p>
            <w:pPr>
              <w:spacing w:after="0"/>
              <w:rPr>
                <w:sz w:val="14"/>
                <w:szCs w:val="14"/>
                <w:color w:val="auto"/>
              </w:rPr>
            </w:pPr>
          </w:p>
        </w:tc>
        <w:tc>
          <w:tcPr>
            <w:tcW w:w="60" w:type="dxa"/>
            <w:vAlign w:val="bottom"/>
            <w:gridSpan w:val="2"/>
            <w:vMerge w:val="restart"/>
          </w:tcPr>
          <w:p>
            <w:pPr>
              <w:spacing w:after="0"/>
              <w:rPr>
                <w:sz w:val="14"/>
                <w:szCs w:val="14"/>
                <w:color w:val="auto"/>
              </w:rPr>
            </w:pPr>
          </w:p>
        </w:tc>
        <w:tc>
          <w:tcPr>
            <w:tcW w:w="60" w:type="dxa"/>
            <w:vAlign w:val="bottom"/>
            <w:gridSpan w:val="2"/>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500" w:type="dxa"/>
            <w:vAlign w:val="bottom"/>
            <w:tcBorders>
              <w:bottom w:val="single" w:sz="8" w:color="0000EE"/>
            </w:tcBorders>
            <w:gridSpan w:val="9"/>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320" w:type="dxa"/>
            <w:vAlign w:val="bottom"/>
            <w:gridSpan w:val="4"/>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260" w:type="dxa"/>
            <w:vAlign w:val="bottom"/>
            <w:gridSpan w:val="3"/>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80" w:type="dxa"/>
            <w:vAlign w:val="bottom"/>
            <w:gridSpan w:val="3"/>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20" w:type="dxa"/>
            <w:vAlign w:val="bottom"/>
            <w:gridSpan w:val="2"/>
          </w:tcPr>
          <w:p>
            <w:pPr>
              <w:spacing w:after="0"/>
              <w:rPr>
                <w:rFonts w:ascii="Times New Roman" w:cs="Times New Roman" w:eastAsia="Times New Roman" w:hAnsi="Times New Roman"/>
                <w:sz w:val="18"/>
                <w:szCs w:val="18"/>
                <w:color w:val="0000EE"/>
                <w:w w:val="98"/>
              </w:rPr>
            </w:pPr>
            <w:hyperlink r:id="rId6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22</w:t>
              </w:r>
            </w:hyperlink>
          </w:p>
        </w:tc>
        <w:tc>
          <w:tcPr>
            <w:tcW w:w="720" w:type="dxa"/>
            <w:vAlign w:val="bottom"/>
          </w:tcPr>
          <w:p>
            <w:pPr>
              <w:spacing w:after="0"/>
              <w:rPr>
                <w:sz w:val="24"/>
                <w:szCs w:val="24"/>
                <w:color w:val="auto"/>
              </w:rPr>
            </w:pPr>
          </w:p>
        </w:tc>
        <w:tc>
          <w:tcPr>
            <w:tcW w:w="10100" w:type="dxa"/>
            <w:vAlign w:val="bottom"/>
            <w:gridSpan w:val="40"/>
          </w:tcPr>
          <w:p>
            <w:pPr>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Fourth Amendment to the Amended and Restated Credit Agreement, dated as of December 4, 2023, among Runway Growth Finance Corp.,</w:t>
              </w:r>
            </w:hyperlink>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9780" w:type="dxa"/>
            <w:vAlign w:val="bottom"/>
            <w:tcBorders>
              <w:top w:val="single" w:sz="8" w:color="0000EE"/>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as borrower, the financial institutions party thereto as lenders, KeyBank National Association, as administrative agent and lender, CIBC</w:t>
              </w:r>
            </w:hyperlink>
          </w:p>
        </w:tc>
        <w:tc>
          <w:tcPr>
            <w:tcW w:w="30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98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Bank USA, as documentation agent, MUFG Bank, Ltd. (as successor in interest to MUFG Union Bank, N.A.), as co-documentation agent,</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20" w:type="dxa"/>
            <w:vAlign w:val="bottom"/>
            <w:gridSpan w:val="14"/>
            <w:vMerge w:val="restart"/>
          </w:tcPr>
          <w:p>
            <w:pPr>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and U.S. Bank Trust Company, National Association, as paying agent</w:t>
              </w:r>
            </w:hyperlink>
          </w:p>
        </w:tc>
        <w:tc>
          <w:tcPr>
            <w:tcW w:w="240" w:type="dxa"/>
            <w:vAlign w:val="bottom"/>
            <w:tcBorders>
              <w:bottom w:val="single" w:sz="8" w:color="0000EE"/>
            </w:tcBorders>
            <w:gridSpan w:val="2"/>
          </w:tcPr>
          <w:p>
            <w:pPr>
              <w:jc w:val="right"/>
              <w:spacing w:after="0" w:line="156" w:lineRule="exact"/>
              <w:rPr>
                <w:rFonts w:ascii="Times New Roman" w:cs="Times New Roman" w:eastAsia="Times New Roman" w:hAnsi="Times New Roman"/>
                <w:sz w:val="15"/>
                <w:szCs w:val="15"/>
                <w:color w:val="0000EE"/>
                <w:w w:val="87"/>
              </w:rPr>
            </w:pPr>
            <w:hyperlink r:id="rId60">
              <w:r>
                <w:rPr>
                  <w:rFonts w:ascii="Times New Roman" w:cs="Times New Roman" w:eastAsia="Times New Roman" w:hAnsi="Times New Roman"/>
                  <w:sz w:val="15"/>
                  <w:szCs w:val="15"/>
                  <w:color w:val="0000EE"/>
                  <w:w w:val="87"/>
                </w:rPr>
                <w:t>(24)</w:t>
              </w:r>
            </w:hyperlink>
          </w:p>
        </w:tc>
        <w:tc>
          <w:tcPr>
            <w:tcW w:w="2320" w:type="dxa"/>
            <w:vAlign w:val="bottom"/>
            <w:gridSpan w:val="4"/>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20" w:type="dxa"/>
            <w:vAlign w:val="bottom"/>
            <w:vMerge w:val="restart"/>
          </w:tcPr>
          <w:p>
            <w:pPr>
              <w:spacing w:after="0"/>
              <w:rPr>
                <w:sz w:val="14"/>
                <w:szCs w:val="14"/>
                <w:color w:val="auto"/>
              </w:rPr>
            </w:pPr>
          </w:p>
        </w:tc>
        <w:tc>
          <w:tcPr>
            <w:tcW w:w="1040" w:type="dxa"/>
            <w:vAlign w:val="bottom"/>
            <w:vMerge w:val="restart"/>
          </w:tcPr>
          <w:p>
            <w:pPr>
              <w:spacing w:after="0"/>
              <w:rPr>
                <w:sz w:val="14"/>
                <w:szCs w:val="14"/>
                <w:color w:val="auto"/>
              </w:rPr>
            </w:pPr>
          </w:p>
        </w:tc>
        <w:tc>
          <w:tcPr>
            <w:tcW w:w="260" w:type="dxa"/>
            <w:vAlign w:val="bottom"/>
            <w:gridSpan w:val="3"/>
            <w:vMerge w:val="restart"/>
          </w:tcPr>
          <w:p>
            <w:pPr>
              <w:spacing w:after="0"/>
              <w:rPr>
                <w:sz w:val="14"/>
                <w:szCs w:val="14"/>
                <w:color w:val="auto"/>
              </w:rPr>
            </w:pPr>
          </w:p>
        </w:tc>
        <w:tc>
          <w:tcPr>
            <w:tcW w:w="740" w:type="dxa"/>
            <w:vAlign w:val="bottom"/>
            <w:gridSpan w:val="6"/>
            <w:vMerge w:val="restart"/>
          </w:tcPr>
          <w:p>
            <w:pPr>
              <w:spacing w:after="0"/>
              <w:rPr>
                <w:sz w:val="14"/>
                <w:szCs w:val="14"/>
                <w:color w:val="auto"/>
              </w:rPr>
            </w:pPr>
          </w:p>
        </w:tc>
        <w:tc>
          <w:tcPr>
            <w:tcW w:w="60" w:type="dxa"/>
            <w:vAlign w:val="bottom"/>
            <w:gridSpan w:val="2"/>
            <w:vMerge w:val="restart"/>
          </w:tcPr>
          <w:p>
            <w:pPr>
              <w:spacing w:after="0"/>
              <w:rPr>
                <w:sz w:val="14"/>
                <w:szCs w:val="14"/>
                <w:color w:val="auto"/>
              </w:rPr>
            </w:pPr>
          </w:p>
        </w:tc>
        <w:tc>
          <w:tcPr>
            <w:tcW w:w="80" w:type="dxa"/>
            <w:vAlign w:val="bottom"/>
            <w:gridSpan w:val="3"/>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4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20" w:type="dxa"/>
            <w:vAlign w:val="bottom"/>
            <w:tcBorders>
              <w:bottom w:val="single" w:sz="8" w:color="0000EE"/>
            </w:tcBorders>
            <w:gridSpan w:val="14"/>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2320" w:type="dxa"/>
            <w:vAlign w:val="bottom"/>
            <w:gridSpan w:val="4"/>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260" w:type="dxa"/>
            <w:vAlign w:val="bottom"/>
            <w:gridSpan w:val="3"/>
            <w:vMerge w:val="continue"/>
          </w:tcPr>
          <w:p>
            <w:pPr>
              <w:spacing w:after="0"/>
              <w:rPr>
                <w:sz w:val="4"/>
                <w:szCs w:val="4"/>
                <w:color w:val="auto"/>
              </w:rPr>
            </w:pPr>
          </w:p>
        </w:tc>
        <w:tc>
          <w:tcPr>
            <w:tcW w:w="740" w:type="dxa"/>
            <w:vAlign w:val="bottom"/>
            <w:gridSpan w:val="6"/>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80" w:type="dxa"/>
            <w:vAlign w:val="bottom"/>
            <w:gridSpan w:val="3"/>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20" w:type="dxa"/>
            <w:vAlign w:val="bottom"/>
            <w:gridSpan w:val="2"/>
          </w:tcPr>
          <w:p>
            <w:pPr>
              <w:spacing w:after="0"/>
              <w:rPr>
                <w:rFonts w:ascii="Times New Roman" w:cs="Times New Roman" w:eastAsia="Times New Roman" w:hAnsi="Times New Roman"/>
                <w:sz w:val="18"/>
                <w:szCs w:val="18"/>
                <w:color w:val="0000EE"/>
                <w:w w:val="98"/>
              </w:rPr>
            </w:pPr>
            <w:hyperlink r:id="rId6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23</w:t>
              </w:r>
            </w:hyperlink>
          </w:p>
        </w:tc>
        <w:tc>
          <w:tcPr>
            <w:tcW w:w="720" w:type="dxa"/>
            <w:vAlign w:val="bottom"/>
          </w:tcPr>
          <w:p>
            <w:pPr>
              <w:spacing w:after="0"/>
              <w:rPr>
                <w:sz w:val="24"/>
                <w:szCs w:val="24"/>
                <w:color w:val="auto"/>
              </w:rPr>
            </w:pPr>
          </w:p>
        </w:tc>
        <w:tc>
          <w:tcPr>
            <w:tcW w:w="10100" w:type="dxa"/>
            <w:vAlign w:val="bottom"/>
            <w:gridSpan w:val="40"/>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Joinder Agreement and Facility Amount Increase, dated as of December 4, 2023, among Runway Growth Finance Corp., as borrower, the</w:t>
              </w:r>
            </w:hyperlink>
          </w:p>
        </w:tc>
        <w:tc>
          <w:tcPr>
            <w:tcW w:w="0" w:type="dxa"/>
            <w:vAlign w:val="bottom"/>
          </w:tcPr>
          <w:p>
            <w:pPr>
              <w:spacing w:after="0"/>
              <w:rPr>
                <w:sz w:val="1"/>
                <w:szCs w:val="1"/>
                <w:color w:val="auto"/>
              </w:rPr>
            </w:pPr>
          </w:p>
        </w:tc>
      </w:tr>
      <w:tr>
        <w:trPr>
          <w:trHeight w:val="169"/>
        </w:trPr>
        <w:tc>
          <w:tcPr>
            <w:tcW w:w="3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720" w:type="dxa"/>
            <w:vAlign w:val="bottom"/>
          </w:tcPr>
          <w:p>
            <w:pPr>
              <w:spacing w:after="0"/>
              <w:rPr>
                <w:sz w:val="14"/>
                <w:szCs w:val="14"/>
                <w:color w:val="auto"/>
              </w:rPr>
            </w:pPr>
          </w:p>
        </w:tc>
        <w:tc>
          <w:tcPr>
            <w:tcW w:w="7580" w:type="dxa"/>
            <w:vAlign w:val="bottom"/>
            <w:tcBorders>
              <w:top w:val="single" w:sz="8" w:color="0000EE"/>
              <w:bottom w:val="single" w:sz="8" w:color="0000EE"/>
            </w:tcBorders>
            <w:gridSpan w:val="20"/>
            <w:vMerge w:val="restart"/>
          </w:tcPr>
          <w:p>
            <w:pPr>
              <w:spacing w:after="0"/>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financial institutions party thereto as lenders, and KeyBank National Association, as administrative agent</w:t>
              </w:r>
            </w:hyperlink>
          </w:p>
        </w:tc>
        <w:tc>
          <w:tcPr>
            <w:tcW w:w="240" w:type="dxa"/>
            <w:vAlign w:val="bottom"/>
            <w:tcBorders>
              <w:top w:val="single" w:sz="8" w:color="0000EE"/>
              <w:bottom w:val="single" w:sz="8" w:color="0000EE"/>
            </w:tcBorders>
            <w:gridSpan w:val="2"/>
          </w:tcPr>
          <w:p>
            <w:pPr>
              <w:jc w:val="right"/>
              <w:spacing w:after="0" w:line="156" w:lineRule="exact"/>
              <w:rPr>
                <w:rFonts w:ascii="Times New Roman" w:cs="Times New Roman" w:eastAsia="Times New Roman" w:hAnsi="Times New Roman"/>
                <w:sz w:val="15"/>
                <w:szCs w:val="15"/>
                <w:color w:val="0000EE"/>
                <w:w w:val="87"/>
              </w:rPr>
            </w:pPr>
            <w:hyperlink r:id="rId61">
              <w:r>
                <w:rPr>
                  <w:rFonts w:ascii="Times New Roman" w:cs="Times New Roman" w:eastAsia="Times New Roman" w:hAnsi="Times New Roman"/>
                  <w:sz w:val="15"/>
                  <w:szCs w:val="15"/>
                  <w:color w:val="0000EE"/>
                  <w:w w:val="87"/>
                </w:rPr>
                <w:t>(24)</w:t>
              </w:r>
            </w:hyperlink>
          </w:p>
        </w:tc>
        <w:tc>
          <w:tcPr>
            <w:tcW w:w="1040" w:type="dxa"/>
            <w:vAlign w:val="bottom"/>
            <w:tcBorders>
              <w:top w:val="single" w:sz="8" w:color="0000EE"/>
              <w:bottom w:val="single" w:sz="8" w:color="0000EE"/>
            </w:tcBorders>
            <w:vMerge w:val="restart"/>
          </w:tcPr>
          <w:p>
            <w:pPr>
              <w:spacing w:after="0"/>
              <w:rPr>
                <w:sz w:val="14"/>
                <w:szCs w:val="14"/>
                <w:color w:val="auto"/>
              </w:rPr>
            </w:pPr>
          </w:p>
        </w:tc>
        <w:tc>
          <w:tcPr>
            <w:tcW w:w="260" w:type="dxa"/>
            <w:vAlign w:val="bottom"/>
            <w:tcBorders>
              <w:top w:val="single" w:sz="8" w:color="0000EE"/>
              <w:bottom w:val="single" w:sz="8" w:color="0000EE"/>
            </w:tcBorders>
            <w:gridSpan w:val="3"/>
            <w:vMerge w:val="restart"/>
          </w:tcPr>
          <w:p>
            <w:pPr>
              <w:spacing w:after="0"/>
              <w:rPr>
                <w:sz w:val="14"/>
                <w:szCs w:val="14"/>
                <w:color w:val="auto"/>
              </w:rPr>
            </w:pPr>
          </w:p>
        </w:tc>
        <w:tc>
          <w:tcPr>
            <w:tcW w:w="740" w:type="dxa"/>
            <w:vAlign w:val="bottom"/>
            <w:tcBorders>
              <w:top w:val="single" w:sz="8" w:color="0000EE"/>
              <w:bottom w:val="single" w:sz="8" w:color="0000EE"/>
            </w:tcBorders>
            <w:gridSpan w:val="6"/>
            <w:vMerge w:val="restart"/>
          </w:tcPr>
          <w:p>
            <w:pPr>
              <w:spacing w:after="0"/>
              <w:rPr>
                <w:sz w:val="14"/>
                <w:szCs w:val="14"/>
                <w:color w:val="auto"/>
              </w:rPr>
            </w:pPr>
          </w:p>
        </w:tc>
        <w:tc>
          <w:tcPr>
            <w:tcW w:w="60" w:type="dxa"/>
            <w:vAlign w:val="bottom"/>
            <w:tcBorders>
              <w:top w:val="single" w:sz="8" w:color="0000EE"/>
              <w:bottom w:val="single" w:sz="8" w:color="0000EE"/>
            </w:tcBorders>
            <w:gridSpan w:val="2"/>
            <w:vMerge w:val="restart"/>
          </w:tcPr>
          <w:p>
            <w:pPr>
              <w:spacing w:after="0"/>
              <w:rPr>
                <w:sz w:val="14"/>
                <w:szCs w:val="14"/>
                <w:color w:val="auto"/>
              </w:rPr>
            </w:pPr>
          </w:p>
        </w:tc>
        <w:tc>
          <w:tcPr>
            <w:tcW w:w="80" w:type="dxa"/>
            <w:vAlign w:val="bottom"/>
            <w:gridSpan w:val="3"/>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4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580" w:type="dxa"/>
            <w:vAlign w:val="bottom"/>
            <w:tcBorders>
              <w:bottom w:val="single" w:sz="8" w:color="0000EE"/>
            </w:tcBorders>
            <w:gridSpan w:val="20"/>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260" w:type="dxa"/>
            <w:vAlign w:val="bottom"/>
            <w:gridSpan w:val="3"/>
            <w:vMerge w:val="continue"/>
          </w:tcPr>
          <w:p>
            <w:pPr>
              <w:spacing w:after="0"/>
              <w:rPr>
                <w:sz w:val="4"/>
                <w:szCs w:val="4"/>
                <w:color w:val="auto"/>
              </w:rPr>
            </w:pPr>
          </w:p>
        </w:tc>
        <w:tc>
          <w:tcPr>
            <w:tcW w:w="740" w:type="dxa"/>
            <w:vAlign w:val="bottom"/>
            <w:gridSpan w:val="6"/>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80" w:type="dxa"/>
            <w:vAlign w:val="bottom"/>
            <w:gridSpan w:val="3"/>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20" w:type="dxa"/>
            <w:vAlign w:val="bottom"/>
            <w:gridSpan w:val="2"/>
          </w:tcPr>
          <w:p>
            <w:pPr>
              <w:spacing w:after="0"/>
              <w:rPr>
                <w:rFonts w:ascii="Times New Roman" w:cs="Times New Roman" w:eastAsia="Times New Roman" w:hAnsi="Times New Roman"/>
                <w:sz w:val="18"/>
                <w:szCs w:val="18"/>
                <w:color w:val="0000EE"/>
                <w:w w:val="98"/>
              </w:rPr>
            </w:pPr>
            <w:hyperlink r:id="rId6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24</w:t>
              </w:r>
            </w:hyperlink>
          </w:p>
        </w:tc>
        <w:tc>
          <w:tcPr>
            <w:tcW w:w="720" w:type="dxa"/>
            <w:vAlign w:val="bottom"/>
          </w:tcPr>
          <w:p>
            <w:pPr>
              <w:spacing w:after="0"/>
              <w:rPr>
                <w:sz w:val="24"/>
                <w:szCs w:val="24"/>
                <w:color w:val="auto"/>
              </w:rPr>
            </w:pPr>
          </w:p>
        </w:tc>
        <w:tc>
          <w:tcPr>
            <w:tcW w:w="10100" w:type="dxa"/>
            <w:vAlign w:val="bottom"/>
            <w:gridSpan w:val="40"/>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Fifth Amendment to the Amended and Restated Credit Agreement, dated as of November 22, 2024, among Runway Growth Finance Corp.,</w:t>
              </w:r>
            </w:hyperlink>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9780" w:type="dxa"/>
            <w:vAlign w:val="bottom"/>
            <w:tcBorders>
              <w:top w:val="single" w:sz="8" w:color="0000EE"/>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as borrower, the financial institutions party thereto as lenders, KeyBank National Association, as administrative agent and lender, CIBC</w:t>
              </w:r>
            </w:hyperlink>
          </w:p>
        </w:tc>
        <w:tc>
          <w:tcPr>
            <w:tcW w:w="280" w:type="dxa"/>
            <w:vAlign w:val="bottom"/>
            <w:tcBorders>
              <w:top w:val="single" w:sz="8" w:color="0000EE"/>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98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Bank USA, as documentation agent, MUFG Bank, Ltd. (as successor in interest to MUFG Union Bank, N.A.), as co-documentation agent,</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20" w:type="dxa"/>
            <w:vAlign w:val="bottom"/>
            <w:gridSpan w:val="14"/>
            <w:vMerge w:val="restart"/>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and U.S. Bank Trust Company, National Association, as paying agent</w:t>
              </w:r>
            </w:hyperlink>
          </w:p>
        </w:tc>
        <w:tc>
          <w:tcPr>
            <w:tcW w:w="240" w:type="dxa"/>
            <w:vAlign w:val="bottom"/>
            <w:tcBorders>
              <w:bottom w:val="single" w:sz="8" w:color="0000EE"/>
            </w:tcBorders>
            <w:gridSpan w:val="2"/>
          </w:tcPr>
          <w:p>
            <w:pPr>
              <w:jc w:val="right"/>
              <w:spacing w:after="0" w:line="156" w:lineRule="exact"/>
              <w:rPr>
                <w:rFonts w:ascii="Times New Roman" w:cs="Times New Roman" w:eastAsia="Times New Roman" w:hAnsi="Times New Roman"/>
                <w:sz w:val="15"/>
                <w:szCs w:val="15"/>
                <w:color w:val="0000EE"/>
                <w:w w:val="87"/>
              </w:rPr>
            </w:pPr>
            <w:hyperlink r:id="rId62">
              <w:r>
                <w:rPr>
                  <w:rFonts w:ascii="Times New Roman" w:cs="Times New Roman" w:eastAsia="Times New Roman" w:hAnsi="Times New Roman"/>
                  <w:sz w:val="15"/>
                  <w:szCs w:val="15"/>
                  <w:color w:val="0000EE"/>
                  <w:w w:val="87"/>
                </w:rPr>
                <w:t>(28)</w:t>
              </w:r>
            </w:hyperlink>
          </w:p>
        </w:tc>
        <w:tc>
          <w:tcPr>
            <w:tcW w:w="3600" w:type="dxa"/>
            <w:vAlign w:val="bottom"/>
            <w:gridSpan w:val="7"/>
            <w:vMerge w:val="restart"/>
          </w:tcPr>
          <w:p>
            <w:pPr>
              <w:spacing w:after="0"/>
              <w:rPr>
                <w:sz w:val="14"/>
                <w:szCs w:val="14"/>
                <w:color w:val="auto"/>
              </w:rPr>
            </w:pPr>
          </w:p>
        </w:tc>
        <w:tc>
          <w:tcPr>
            <w:tcW w:w="260" w:type="dxa"/>
            <w:vAlign w:val="bottom"/>
            <w:gridSpan w:val="3"/>
            <w:vMerge w:val="restart"/>
          </w:tcPr>
          <w:p>
            <w:pPr>
              <w:spacing w:after="0"/>
              <w:rPr>
                <w:sz w:val="14"/>
                <w:szCs w:val="14"/>
                <w:color w:val="auto"/>
              </w:rPr>
            </w:pPr>
          </w:p>
        </w:tc>
        <w:tc>
          <w:tcPr>
            <w:tcW w:w="740" w:type="dxa"/>
            <w:vAlign w:val="bottom"/>
            <w:gridSpan w:val="6"/>
            <w:vMerge w:val="restart"/>
          </w:tcPr>
          <w:p>
            <w:pPr>
              <w:spacing w:after="0"/>
              <w:rPr>
                <w:sz w:val="14"/>
                <w:szCs w:val="14"/>
                <w:color w:val="auto"/>
              </w:rPr>
            </w:pPr>
          </w:p>
        </w:tc>
        <w:tc>
          <w:tcPr>
            <w:tcW w:w="140" w:type="dxa"/>
            <w:vAlign w:val="bottom"/>
            <w:gridSpan w:val="5"/>
            <w:vMerge w:val="restart"/>
          </w:tcPr>
          <w:p>
            <w:pPr>
              <w:spacing w:after="0"/>
              <w:rPr>
                <w:sz w:val="14"/>
                <w:szCs w:val="14"/>
                <w:color w:val="auto"/>
              </w:rPr>
            </w:pPr>
          </w:p>
        </w:tc>
        <w:tc>
          <w:tcPr>
            <w:tcW w:w="10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20" w:type="dxa"/>
            <w:vAlign w:val="bottom"/>
            <w:tcBorders>
              <w:bottom w:val="single" w:sz="8" w:color="0000EE"/>
            </w:tcBorders>
            <w:gridSpan w:val="14"/>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3600" w:type="dxa"/>
            <w:vAlign w:val="bottom"/>
            <w:gridSpan w:val="7"/>
            <w:vMerge w:val="continue"/>
          </w:tcPr>
          <w:p>
            <w:pPr>
              <w:spacing w:after="0"/>
              <w:rPr>
                <w:sz w:val="4"/>
                <w:szCs w:val="4"/>
                <w:color w:val="auto"/>
              </w:rPr>
            </w:pPr>
          </w:p>
        </w:tc>
        <w:tc>
          <w:tcPr>
            <w:tcW w:w="260" w:type="dxa"/>
            <w:vAlign w:val="bottom"/>
            <w:gridSpan w:val="3"/>
            <w:vMerge w:val="continue"/>
          </w:tcPr>
          <w:p>
            <w:pPr>
              <w:spacing w:after="0"/>
              <w:rPr>
                <w:sz w:val="4"/>
                <w:szCs w:val="4"/>
                <w:color w:val="auto"/>
              </w:rPr>
            </w:pPr>
          </w:p>
        </w:tc>
        <w:tc>
          <w:tcPr>
            <w:tcW w:w="740" w:type="dxa"/>
            <w:vAlign w:val="bottom"/>
            <w:gridSpan w:val="6"/>
            <w:vMerge w:val="continue"/>
          </w:tcPr>
          <w:p>
            <w:pPr>
              <w:spacing w:after="0"/>
              <w:rPr>
                <w:sz w:val="4"/>
                <w:szCs w:val="4"/>
                <w:color w:val="auto"/>
              </w:rPr>
            </w:pPr>
          </w:p>
        </w:tc>
        <w:tc>
          <w:tcPr>
            <w:tcW w:w="140" w:type="dxa"/>
            <w:vAlign w:val="bottom"/>
            <w:gridSpan w:val="5"/>
            <w:vMerge w:val="continue"/>
          </w:tcPr>
          <w:p>
            <w:pPr>
              <w:spacing w:after="0"/>
              <w:rPr>
                <w:sz w:val="4"/>
                <w:szCs w:val="4"/>
                <w:color w:val="auto"/>
              </w:rPr>
            </w:pPr>
          </w:p>
        </w:tc>
        <w:tc>
          <w:tcPr>
            <w:tcW w:w="1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20" w:type="dxa"/>
            <w:vAlign w:val="bottom"/>
            <w:gridSpan w:val="2"/>
          </w:tcPr>
          <w:p>
            <w:pPr>
              <w:spacing w:after="0"/>
              <w:rPr>
                <w:rFonts w:ascii="Times New Roman" w:cs="Times New Roman" w:eastAsia="Times New Roman" w:hAnsi="Times New Roman"/>
                <w:sz w:val="18"/>
                <w:szCs w:val="18"/>
                <w:color w:val="0000EE"/>
                <w:w w:val="98"/>
              </w:rPr>
            </w:pPr>
            <w:hyperlink r:id="rId6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25</w:t>
              </w:r>
            </w:hyperlink>
          </w:p>
        </w:tc>
        <w:tc>
          <w:tcPr>
            <w:tcW w:w="720" w:type="dxa"/>
            <w:vAlign w:val="bottom"/>
          </w:tcPr>
          <w:p>
            <w:pPr>
              <w:spacing w:after="0"/>
              <w:rPr>
                <w:sz w:val="24"/>
                <w:szCs w:val="24"/>
                <w:color w:val="auto"/>
              </w:rPr>
            </w:pPr>
          </w:p>
        </w:tc>
        <w:tc>
          <w:tcPr>
            <w:tcW w:w="10100" w:type="dxa"/>
            <w:vAlign w:val="bottom"/>
            <w:gridSpan w:val="40"/>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Sixth Amendment to the Amended and Restated Credit Agreement, dated as of March 18, 2025, among Runway Growth Finance Corp., as</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760" w:type="dxa"/>
            <w:vAlign w:val="bottom"/>
            <w:gridSpan w:val="1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60" w:type="dxa"/>
            <w:vAlign w:val="bottom"/>
            <w:gridSpan w:val="10"/>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100" w:type="dxa"/>
            <w:vAlign w:val="bottom"/>
            <w:gridSpan w:val="40"/>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borrower, the financial institutions party thereto as lenders, KeyBank National Association, as administrative agent and lender, CIBC Bank</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60" w:type="dxa"/>
            <w:vAlign w:val="bottom"/>
            <w:tcBorders>
              <w:top w:val="single" w:sz="8" w:color="0000EE"/>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USA, as documentation agent, MUFG Bank, Ltd. (as successor in interest to MUFG Union Bank, N.A.), as co-documentation agent, and</w:t>
              </w:r>
            </w:hyperlink>
          </w:p>
        </w:tc>
        <w:tc>
          <w:tcPr>
            <w:tcW w:w="140" w:type="dxa"/>
            <w:vAlign w:val="bottom"/>
            <w:tcBorders>
              <w:top w:val="single" w:sz="8" w:color="0000EE"/>
            </w:tcBorders>
            <w:gridSpan w:val="5"/>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760" w:type="dxa"/>
            <w:vAlign w:val="bottom"/>
            <w:gridSpan w:val="12"/>
            <w:vMerge w:val="restart"/>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U.S. Bank Trust Company, National Association, as paying agent</w:t>
              </w:r>
            </w:hyperlink>
          </w:p>
        </w:tc>
        <w:tc>
          <w:tcPr>
            <w:tcW w:w="240" w:type="dxa"/>
            <w:vAlign w:val="bottom"/>
            <w:tcBorders>
              <w:bottom w:val="single" w:sz="8" w:color="0000EE"/>
            </w:tcBorders>
          </w:tcPr>
          <w:p>
            <w:pPr>
              <w:jc w:val="right"/>
              <w:spacing w:after="0" w:line="156" w:lineRule="exact"/>
              <w:rPr>
                <w:rFonts w:ascii="Times New Roman" w:cs="Times New Roman" w:eastAsia="Times New Roman" w:hAnsi="Times New Roman"/>
                <w:sz w:val="15"/>
                <w:szCs w:val="15"/>
                <w:color w:val="0000EE"/>
                <w:w w:val="87"/>
              </w:rPr>
            </w:pPr>
            <w:hyperlink r:id="rId63">
              <w:r>
                <w:rPr>
                  <w:rFonts w:ascii="Times New Roman" w:cs="Times New Roman" w:eastAsia="Times New Roman" w:hAnsi="Times New Roman"/>
                  <w:sz w:val="15"/>
                  <w:szCs w:val="15"/>
                  <w:color w:val="0000EE"/>
                  <w:w w:val="87"/>
                </w:rPr>
                <w:t>(29)</w:t>
              </w:r>
            </w:hyperlink>
          </w:p>
        </w:tc>
        <w:tc>
          <w:tcPr>
            <w:tcW w:w="3860" w:type="dxa"/>
            <w:vAlign w:val="bottom"/>
            <w:gridSpan w:val="10"/>
            <w:vMerge w:val="restart"/>
          </w:tcPr>
          <w:p>
            <w:pPr>
              <w:spacing w:after="0"/>
              <w:rPr>
                <w:sz w:val="14"/>
                <w:szCs w:val="14"/>
                <w:color w:val="auto"/>
              </w:rPr>
            </w:pPr>
          </w:p>
        </w:tc>
        <w:tc>
          <w:tcPr>
            <w:tcW w:w="260" w:type="dxa"/>
            <w:vAlign w:val="bottom"/>
            <w:gridSpan w:val="3"/>
          </w:tcPr>
          <w:p>
            <w:pPr>
              <w:spacing w:after="0"/>
              <w:rPr>
                <w:sz w:val="14"/>
                <w:szCs w:val="14"/>
                <w:color w:val="auto"/>
              </w:rPr>
            </w:pPr>
          </w:p>
        </w:tc>
        <w:tc>
          <w:tcPr>
            <w:tcW w:w="980" w:type="dxa"/>
            <w:vAlign w:val="bottom"/>
            <w:gridSpan w:val="1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320" w:type="dxa"/>
            <w:vAlign w:val="bottom"/>
            <w:vMerge w:val="restart"/>
          </w:tcPr>
          <w:p>
            <w:pPr>
              <w:spacing w:after="0"/>
              <w:rPr>
                <w:rFonts w:ascii="Times New Roman" w:cs="Times New Roman" w:eastAsia="Times New Roman" w:hAnsi="Times New Roman"/>
                <w:sz w:val="18"/>
                <w:szCs w:val="18"/>
                <w:color w:val="0000EE"/>
                <w:w w:val="95"/>
              </w:rPr>
            </w:pPr>
            <w:hyperlink r:id="rId20">
              <w:r>
                <w:rPr>
                  <w:rFonts w:ascii="Times New Roman" w:cs="Times New Roman" w:eastAsia="Times New Roman" w:hAnsi="Times New Roman"/>
                  <w:sz w:val="18"/>
                  <w:szCs w:val="18"/>
                  <w:color w:val="0000EE"/>
                  <w:w w:val="95"/>
                </w:rPr>
                <w:t>11.</w:t>
              </w:r>
              <w:r>
                <w:rPr>
                  <w:rFonts w:ascii="Times New Roman" w:cs="Times New Roman" w:eastAsia="Times New Roman" w:hAnsi="Times New Roman"/>
                  <w:sz w:val="18"/>
                  <w:szCs w:val="18"/>
                  <w:u w:val="single" w:color="auto"/>
                  <w:color w:val="0000EE"/>
                  <w:w w:val="95"/>
                </w:rPr>
                <w:t>1</w:t>
              </w:r>
            </w:hyperlink>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760" w:type="dxa"/>
            <w:vAlign w:val="bottom"/>
            <w:tcBorders>
              <w:bottom w:val="single" w:sz="8" w:color="0000EE"/>
            </w:tcBorders>
            <w:gridSpan w:val="12"/>
            <w:vMerge w:val="continue"/>
          </w:tcPr>
          <w:p>
            <w:pPr>
              <w:spacing w:after="0"/>
              <w:rPr>
                <w:sz w:val="4"/>
                <w:szCs w:val="4"/>
                <w:color w:val="auto"/>
              </w:rPr>
            </w:pPr>
          </w:p>
        </w:tc>
        <w:tc>
          <w:tcPr>
            <w:tcW w:w="240" w:type="dxa"/>
            <w:vAlign w:val="bottom"/>
          </w:tcPr>
          <w:p>
            <w:pPr>
              <w:spacing w:after="0"/>
              <w:rPr>
                <w:sz w:val="4"/>
                <w:szCs w:val="4"/>
                <w:color w:val="auto"/>
              </w:rPr>
            </w:pPr>
          </w:p>
        </w:tc>
        <w:tc>
          <w:tcPr>
            <w:tcW w:w="3860" w:type="dxa"/>
            <w:vAlign w:val="bottom"/>
            <w:gridSpan w:val="10"/>
            <w:vMerge w:val="continue"/>
          </w:tcPr>
          <w:p>
            <w:pPr>
              <w:spacing w:after="0"/>
              <w:rPr>
                <w:sz w:val="4"/>
                <w:szCs w:val="4"/>
                <w:color w:val="auto"/>
              </w:rPr>
            </w:pP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color w:val="0000EE"/>
                <w:w w:val="95"/>
              </w:rPr>
              <w:t>(29)</w:t>
            </w:r>
          </w:p>
        </w:tc>
        <w:tc>
          <w:tcPr>
            <w:tcW w:w="980" w:type="dxa"/>
            <w:vAlign w:val="bottom"/>
            <w:gridSpan w:val="1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60" w:type="dxa"/>
            <w:vAlign w:val="bottom"/>
            <w:gridSpan w:val="23"/>
            <w:vMerge w:val="restart"/>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Computation of Per Share Earnings (Included in the notes to the consolidated financial statements contained in this report)</w:t>
              </w:r>
            </w:hyperlink>
          </w:p>
        </w:tc>
        <w:tc>
          <w:tcPr>
            <w:tcW w:w="260" w:type="dxa"/>
            <w:vAlign w:val="bottom"/>
            <w:tcBorders>
              <w:bottom w:val="single" w:sz="8" w:color="0000EE"/>
            </w:tcBorders>
            <w:gridSpan w:val="3"/>
            <w:vMerge w:val="continue"/>
          </w:tcPr>
          <w:p>
            <w:pPr>
              <w:spacing w:after="0"/>
              <w:rPr>
                <w:sz w:val="21"/>
                <w:szCs w:val="21"/>
                <w:color w:val="auto"/>
              </w:rPr>
            </w:pPr>
          </w:p>
        </w:tc>
        <w:tc>
          <w:tcPr>
            <w:tcW w:w="980" w:type="dxa"/>
            <w:vAlign w:val="bottom"/>
            <w:gridSpan w:val="14"/>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320" w:type="dxa"/>
            <w:vAlign w:val="bottom"/>
            <w:tcBorders>
              <w:bottom w:val="single" w:sz="8" w:color="0000EE"/>
            </w:tcBorders>
            <w:vMerge w:val="continu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60" w:type="dxa"/>
            <w:vAlign w:val="bottom"/>
            <w:gridSpan w:val="23"/>
            <w:vMerge w:val="continue"/>
          </w:tcPr>
          <w:p>
            <w:pPr>
              <w:spacing w:after="0" w:line="20" w:lineRule="exact"/>
              <w:rPr>
                <w:sz w:val="1"/>
                <w:szCs w:val="1"/>
                <w:color w:val="auto"/>
              </w:rPr>
            </w:pPr>
          </w:p>
        </w:tc>
        <w:tc>
          <w:tcPr>
            <w:tcW w:w="260" w:type="dxa"/>
            <w:vAlign w:val="bottom"/>
            <w:gridSpan w:val="3"/>
            <w:vMerge w:val="restart"/>
          </w:tcPr>
          <w:p>
            <w:pPr>
              <w:spacing w:after="0" w:line="20" w:lineRule="exact"/>
              <w:rPr>
                <w:sz w:val="1"/>
                <w:szCs w:val="1"/>
                <w:color w:val="auto"/>
              </w:rPr>
            </w:pPr>
          </w:p>
        </w:tc>
        <w:tc>
          <w:tcPr>
            <w:tcW w:w="980" w:type="dxa"/>
            <w:vAlign w:val="bottom"/>
            <w:gridSpan w:val="1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3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60" w:type="dxa"/>
            <w:vAlign w:val="bottom"/>
            <w:tcBorders>
              <w:bottom w:val="single" w:sz="8" w:color="0000EE"/>
            </w:tcBorders>
            <w:gridSpan w:val="23"/>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980" w:type="dxa"/>
            <w:vAlign w:val="bottom"/>
            <w:gridSpan w:val="1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gridSpan w:val="12"/>
          </w:tcPr>
          <w:p>
            <w:pPr>
              <w:ind w:left="444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8"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20" w:type="dxa"/>
            <w:vAlign w:val="bottom"/>
            <w:vMerge w:val="restart"/>
          </w:tcPr>
          <w:p>
            <w:pPr>
              <w:spacing w:after="0"/>
              <w:rPr>
                <w:rFonts w:ascii="Times New Roman" w:cs="Times New Roman" w:eastAsia="Times New Roman" w:hAnsi="Times New Roman"/>
                <w:sz w:val="18"/>
                <w:szCs w:val="18"/>
                <w:color w:val="0000EE"/>
                <w:w w:val="95"/>
              </w:rPr>
            </w:pPr>
            <w:hyperlink r:id="rId64">
              <w:r>
                <w:rPr>
                  <w:rFonts w:ascii="Times New Roman" w:cs="Times New Roman" w:eastAsia="Times New Roman" w:hAnsi="Times New Roman"/>
                  <w:sz w:val="18"/>
                  <w:szCs w:val="18"/>
                  <w:color w:val="0000EE"/>
                  <w:w w:val="95"/>
                </w:rPr>
                <w:t>14.</w:t>
              </w:r>
              <w:r>
                <w:rPr>
                  <w:rFonts w:ascii="Times New Roman" w:cs="Times New Roman" w:eastAsia="Times New Roman" w:hAnsi="Times New Roman"/>
                  <w:sz w:val="18"/>
                  <w:szCs w:val="18"/>
                  <w:u w:val="single" w:color="auto"/>
                  <w:color w:val="0000EE"/>
                  <w:w w:val="95"/>
                </w:rPr>
                <w:t>1</w:t>
              </w:r>
            </w:hyperlink>
          </w:p>
        </w:tc>
        <w:tc>
          <w:tcPr>
            <w:tcW w:w="820" w:type="dxa"/>
            <w:vAlign w:val="bottom"/>
          </w:tcPr>
          <w:p>
            <w:pPr>
              <w:spacing w:after="0"/>
              <w:rPr>
                <w:sz w:val="17"/>
                <w:szCs w:val="17"/>
                <w:color w:val="auto"/>
              </w:rPr>
            </w:pPr>
          </w:p>
        </w:tc>
        <w:tc>
          <w:tcPr>
            <w:tcW w:w="1460" w:type="dxa"/>
            <w:vAlign w:val="bottom"/>
            <w:vMerge w:val="restart"/>
          </w:tcPr>
          <w:p>
            <w:pPr>
              <w:spacing w:after="0"/>
              <w:rPr>
                <w:rFonts w:ascii="Times New Roman" w:cs="Times New Roman" w:eastAsia="Times New Roman" w:hAnsi="Times New Roman"/>
                <w:sz w:val="18"/>
                <w:szCs w:val="18"/>
                <w:color w:val="0000EE"/>
                <w:w w:val="98"/>
              </w:rPr>
            </w:pPr>
            <w:hyperlink r:id="rId64">
              <w:r>
                <w:rPr>
                  <w:rFonts w:ascii="Times New Roman" w:cs="Times New Roman" w:eastAsia="Times New Roman" w:hAnsi="Times New Roman"/>
                  <w:sz w:val="18"/>
                  <w:szCs w:val="18"/>
                  <w:color w:val="0000EE"/>
                  <w:w w:val="98"/>
                </w:rPr>
                <w:t>Joint Code of Ethics</w:t>
              </w:r>
            </w:hyperlink>
          </w:p>
        </w:tc>
        <w:tc>
          <w:tcPr>
            <w:tcW w:w="2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5"/>
                <w:szCs w:val="15"/>
                <w:color w:val="0000EE"/>
                <w:w w:val="95"/>
              </w:rPr>
              <w:t>(25)</w:t>
            </w:r>
          </w:p>
        </w:tc>
        <w:tc>
          <w:tcPr>
            <w:tcW w:w="140" w:type="dxa"/>
            <w:vAlign w:val="bottom"/>
            <w:vMerge w:val="restart"/>
          </w:tcPr>
          <w:p>
            <w:pPr>
              <w:spacing w:after="0"/>
              <w:rPr>
                <w:sz w:val="17"/>
                <w:szCs w:val="17"/>
                <w:color w:val="auto"/>
              </w:rPr>
            </w:pPr>
          </w:p>
        </w:tc>
        <w:tc>
          <w:tcPr>
            <w:tcW w:w="240" w:type="dxa"/>
            <w:vAlign w:val="bottom"/>
            <w:vMerge w:val="restart"/>
          </w:tcPr>
          <w:p>
            <w:pPr>
              <w:spacing w:after="0"/>
              <w:rPr>
                <w:sz w:val="17"/>
                <w:szCs w:val="17"/>
                <w:color w:val="auto"/>
              </w:rPr>
            </w:pPr>
          </w:p>
        </w:tc>
        <w:tc>
          <w:tcPr>
            <w:tcW w:w="520" w:type="dxa"/>
            <w:vAlign w:val="bottom"/>
            <w:vMerge w:val="restart"/>
          </w:tcPr>
          <w:p>
            <w:pPr>
              <w:spacing w:after="0"/>
              <w:rPr>
                <w:sz w:val="17"/>
                <w:szCs w:val="17"/>
                <w:color w:val="auto"/>
              </w:rPr>
            </w:pPr>
          </w:p>
        </w:tc>
        <w:tc>
          <w:tcPr>
            <w:tcW w:w="140" w:type="dxa"/>
            <w:vAlign w:val="bottom"/>
            <w:vMerge w:val="restart"/>
          </w:tcPr>
          <w:p>
            <w:pPr>
              <w:spacing w:after="0"/>
              <w:rPr>
                <w:sz w:val="17"/>
                <w:szCs w:val="17"/>
                <w:color w:val="auto"/>
              </w:rPr>
            </w:pPr>
          </w:p>
        </w:tc>
        <w:tc>
          <w:tcPr>
            <w:tcW w:w="260" w:type="dxa"/>
            <w:vAlign w:val="bottom"/>
            <w:vMerge w:val="restart"/>
          </w:tcPr>
          <w:p>
            <w:pPr>
              <w:spacing w:after="0"/>
              <w:rPr>
                <w:sz w:val="17"/>
                <w:szCs w:val="17"/>
                <w:color w:val="auto"/>
              </w:rPr>
            </w:pPr>
          </w:p>
        </w:tc>
        <w:tc>
          <w:tcPr>
            <w:tcW w:w="1900" w:type="dxa"/>
            <w:vAlign w:val="bottom"/>
            <w:vMerge w:val="restart"/>
          </w:tcPr>
          <w:p>
            <w:pPr>
              <w:spacing w:after="0"/>
              <w:rPr>
                <w:sz w:val="17"/>
                <w:szCs w:val="17"/>
                <w:color w:val="auto"/>
              </w:rPr>
            </w:pPr>
          </w:p>
        </w:tc>
        <w:tc>
          <w:tcPr>
            <w:tcW w:w="260" w:type="dxa"/>
            <w:vAlign w:val="bottom"/>
            <w:vMerge w:val="restart"/>
          </w:tcPr>
          <w:p>
            <w:pPr>
              <w:spacing w:after="0"/>
              <w:rPr>
                <w:sz w:val="17"/>
                <w:szCs w:val="17"/>
                <w:color w:val="auto"/>
              </w:rPr>
            </w:pPr>
          </w:p>
        </w:tc>
        <w:tc>
          <w:tcPr>
            <w:tcW w:w="196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20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106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14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20" w:type="dxa"/>
            <w:vAlign w:val="bottom"/>
            <w:tcBorders>
              <w:bottom w:val="single" w:sz="8" w:color="0000EE"/>
            </w:tcBorders>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9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320" w:type="dxa"/>
            <w:vAlign w:val="bottom"/>
            <w:vMerge w:val="restart"/>
          </w:tcPr>
          <w:p>
            <w:pPr>
              <w:spacing w:after="0"/>
              <w:rPr>
                <w:rFonts w:ascii="Times New Roman" w:cs="Times New Roman" w:eastAsia="Times New Roman" w:hAnsi="Times New Roman"/>
                <w:sz w:val="18"/>
                <w:szCs w:val="18"/>
                <w:color w:val="0000EE"/>
                <w:w w:val="95"/>
              </w:rPr>
            </w:pPr>
            <w:hyperlink r:id="rId65">
              <w:r>
                <w:rPr>
                  <w:rFonts w:ascii="Times New Roman" w:cs="Times New Roman" w:eastAsia="Times New Roman" w:hAnsi="Times New Roman"/>
                  <w:sz w:val="18"/>
                  <w:szCs w:val="18"/>
                  <w:color w:val="0000EE"/>
                  <w:w w:val="95"/>
                </w:rPr>
                <w:t>19.</w:t>
              </w:r>
              <w:r>
                <w:rPr>
                  <w:rFonts w:ascii="Times New Roman" w:cs="Times New Roman" w:eastAsia="Times New Roman" w:hAnsi="Times New Roman"/>
                  <w:sz w:val="18"/>
                  <w:szCs w:val="18"/>
                  <w:u w:val="single" w:color="auto"/>
                  <w:color w:val="0000EE"/>
                  <w:w w:val="95"/>
                </w:rPr>
                <w:t>1</w:t>
              </w:r>
            </w:hyperlink>
          </w:p>
        </w:tc>
        <w:tc>
          <w:tcPr>
            <w:tcW w:w="820" w:type="dxa"/>
            <w:vAlign w:val="bottom"/>
          </w:tcPr>
          <w:p>
            <w:pPr>
              <w:spacing w:after="0" w:line="20" w:lineRule="exact"/>
              <w:rPr>
                <w:sz w:val="1"/>
                <w:szCs w:val="1"/>
                <w:color w:val="auto"/>
              </w:rPr>
            </w:pPr>
          </w:p>
        </w:tc>
        <w:tc>
          <w:tcPr>
            <w:tcW w:w="1460" w:type="dxa"/>
            <w:vAlign w:val="bottom"/>
            <w:tcBorders>
              <w:bottom w:val="single" w:sz="8" w:color="0000EE"/>
            </w:tcBorders>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EE"/>
                <w:w w:val="95"/>
              </w:rPr>
              <w:t>(29)</w:t>
            </w:r>
          </w:p>
        </w:tc>
        <w:tc>
          <w:tcPr>
            <w:tcW w:w="19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2760" w:type="dxa"/>
            <w:vAlign w:val="bottom"/>
            <w:gridSpan w:val="6"/>
            <w:vMerge w:val="restart"/>
          </w:tcPr>
          <w:p>
            <w:pPr>
              <w:spacing w:after="0"/>
              <w:rPr>
                <w:rFonts w:ascii="Times New Roman" w:cs="Times New Roman" w:eastAsia="Times New Roman" w:hAnsi="Times New Roman"/>
                <w:sz w:val="18"/>
                <w:szCs w:val="18"/>
                <w:color w:val="0000EE"/>
                <w:w w:val="98"/>
              </w:rPr>
            </w:pPr>
            <w:hyperlink r:id="rId65">
              <w:r>
                <w:rPr>
                  <w:rFonts w:ascii="Times New Roman" w:cs="Times New Roman" w:eastAsia="Times New Roman" w:hAnsi="Times New Roman"/>
                  <w:sz w:val="18"/>
                  <w:szCs w:val="18"/>
                  <w:color w:val="0000EE"/>
                  <w:w w:val="98"/>
                </w:rPr>
                <w:t>Insider Trading Policy and Procedures</w:t>
              </w:r>
            </w:hyperlink>
          </w:p>
        </w:tc>
        <w:tc>
          <w:tcPr>
            <w:tcW w:w="260" w:type="dxa"/>
            <w:vAlign w:val="bottom"/>
            <w:tcBorders>
              <w:bottom w:val="single" w:sz="8" w:color="0000EE"/>
            </w:tcBorders>
            <w:vMerge w:val="continue"/>
          </w:tcPr>
          <w:p>
            <w:pPr>
              <w:spacing w:after="0"/>
              <w:rPr>
                <w:sz w:val="17"/>
                <w:szCs w:val="17"/>
                <w:color w:val="auto"/>
              </w:rPr>
            </w:pPr>
          </w:p>
        </w:tc>
        <w:tc>
          <w:tcPr>
            <w:tcW w:w="1900" w:type="dxa"/>
            <w:vAlign w:val="bottom"/>
            <w:vMerge w:val="restart"/>
          </w:tcPr>
          <w:p>
            <w:pPr>
              <w:spacing w:after="0"/>
              <w:rPr>
                <w:sz w:val="17"/>
                <w:szCs w:val="17"/>
                <w:color w:val="auto"/>
              </w:rPr>
            </w:pPr>
          </w:p>
        </w:tc>
        <w:tc>
          <w:tcPr>
            <w:tcW w:w="260" w:type="dxa"/>
            <w:vAlign w:val="bottom"/>
            <w:vMerge w:val="restart"/>
          </w:tcPr>
          <w:p>
            <w:pPr>
              <w:spacing w:after="0"/>
              <w:rPr>
                <w:sz w:val="17"/>
                <w:szCs w:val="17"/>
                <w:color w:val="auto"/>
              </w:rPr>
            </w:pPr>
          </w:p>
        </w:tc>
        <w:tc>
          <w:tcPr>
            <w:tcW w:w="196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20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106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14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20" w:type="dxa"/>
            <w:vAlign w:val="bottom"/>
            <w:tcBorders>
              <w:bottom w:val="single" w:sz="8" w:color="0000EE"/>
            </w:tcBorders>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60" w:type="dxa"/>
            <w:vAlign w:val="bottom"/>
            <w:gridSpan w:val="6"/>
            <w:vMerge w:val="continue"/>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9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60" w:type="dxa"/>
            <w:vAlign w:val="bottom"/>
            <w:tcBorders>
              <w:bottom w:val="single" w:sz="8" w:color="0000EE"/>
            </w:tcBorders>
            <w:gridSpan w:val="6"/>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9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5"/>
              </w:rPr>
              <w:t>21.1</w:t>
            </w:r>
          </w:p>
        </w:tc>
        <w:tc>
          <w:tcPr>
            <w:tcW w:w="820" w:type="dxa"/>
            <w:vAlign w:val="bottom"/>
          </w:tcPr>
          <w:p>
            <w:pPr>
              <w:spacing w:after="0"/>
              <w:rPr>
                <w:sz w:val="24"/>
                <w:szCs w:val="24"/>
                <w:color w:val="auto"/>
              </w:rPr>
            </w:pP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List of Subsidiaries: P3 Holdco LLC – Delaware</w:t>
            </w:r>
          </w:p>
        </w:tc>
        <w:tc>
          <w:tcPr>
            <w:tcW w:w="0" w:type="dxa"/>
            <w:vAlign w:val="bottom"/>
          </w:tcPr>
          <w:p>
            <w:pPr>
              <w:spacing w:after="0"/>
              <w:rPr>
                <w:sz w:val="1"/>
                <w:szCs w:val="1"/>
                <w:color w:val="auto"/>
              </w:rPr>
            </w:pPr>
          </w:p>
        </w:tc>
      </w:tr>
      <w:tr>
        <w:trPr>
          <w:trHeight w:val="230"/>
        </w:trPr>
        <w:tc>
          <w:tcPr>
            <w:tcW w:w="320" w:type="dxa"/>
            <w:vAlign w:val="bottom"/>
            <w:vMerge w:val="restart"/>
          </w:tcPr>
          <w:p>
            <w:pPr>
              <w:spacing w:after="0"/>
              <w:rPr>
                <w:rFonts w:ascii="Times New Roman" w:cs="Times New Roman" w:eastAsia="Times New Roman" w:hAnsi="Times New Roman"/>
                <w:sz w:val="18"/>
                <w:szCs w:val="18"/>
                <w:color w:val="0000EE"/>
                <w:w w:val="95"/>
              </w:rPr>
            </w:pPr>
            <w:hyperlink r:id="rId66">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hyperlink>
          </w:p>
        </w:tc>
        <w:tc>
          <w:tcPr>
            <w:tcW w:w="820" w:type="dxa"/>
            <w:vAlign w:val="bottom"/>
          </w:tcPr>
          <w:p>
            <w:pPr>
              <w:spacing w:after="0"/>
              <w:rPr>
                <w:sz w:val="19"/>
                <w:szCs w:val="19"/>
                <w:color w:val="auto"/>
              </w:rPr>
            </w:pPr>
          </w:p>
        </w:tc>
        <w:tc>
          <w:tcPr>
            <w:tcW w:w="1860" w:type="dxa"/>
            <w:vAlign w:val="bottom"/>
            <w:gridSpan w:val="3"/>
            <w:vMerge w:val="restart"/>
          </w:tcPr>
          <w:p>
            <w:pPr>
              <w:spacing w:after="0"/>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Consent of RSM US LLP</w:t>
              </w:r>
            </w:hyperlink>
          </w:p>
        </w:tc>
        <w:tc>
          <w:tcPr>
            <w:tcW w:w="2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5"/>
                <w:szCs w:val="15"/>
                <w:color w:val="0000EE"/>
                <w:w w:val="87"/>
              </w:rPr>
              <w:t>(29)</w:t>
            </w:r>
          </w:p>
        </w:tc>
        <w:tc>
          <w:tcPr>
            <w:tcW w:w="520" w:type="dxa"/>
            <w:vAlign w:val="bottom"/>
            <w:vMerge w:val="restart"/>
          </w:tcPr>
          <w:p>
            <w:pPr>
              <w:spacing w:after="0"/>
              <w:rPr>
                <w:sz w:val="19"/>
                <w:szCs w:val="19"/>
                <w:color w:val="auto"/>
              </w:rPr>
            </w:pPr>
          </w:p>
        </w:tc>
        <w:tc>
          <w:tcPr>
            <w:tcW w:w="2300" w:type="dxa"/>
            <w:vAlign w:val="bottom"/>
            <w:gridSpan w:val="3"/>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196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06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4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20" w:type="dxa"/>
            <w:vAlign w:val="bottom"/>
            <w:tcBorders>
              <w:bottom w:val="single" w:sz="8" w:color="0000EE"/>
            </w:tcBorders>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60" w:type="dxa"/>
            <w:vAlign w:val="bottom"/>
            <w:gridSpan w:val="3"/>
            <w:vMerge w:val="continue"/>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2300" w:type="dxa"/>
            <w:vAlign w:val="bottom"/>
            <w:gridSpan w:val="3"/>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60" w:type="dxa"/>
            <w:vAlign w:val="bottom"/>
            <w:tcBorders>
              <w:bottom w:val="single" w:sz="8" w:color="0000EE"/>
            </w:tcBorders>
            <w:gridSpan w:val="3"/>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2300" w:type="dxa"/>
            <w:vAlign w:val="bottom"/>
            <w:gridSpan w:val="3"/>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2</w:t>
            </w:r>
          </w:p>
        </w:tc>
        <w:tc>
          <w:tcPr>
            <w:tcW w:w="820" w:type="dxa"/>
            <w:vAlign w:val="bottom"/>
          </w:tcPr>
          <w:p>
            <w:pPr>
              <w:spacing w:after="0"/>
              <w:rPr>
                <w:sz w:val="23"/>
                <w:szCs w:val="23"/>
                <w:color w:val="auto"/>
              </w:rPr>
            </w:pP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Consent of Deloitte &amp; Touche LLP*</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20" w:type="dxa"/>
            <w:vAlign w:val="bottom"/>
            <w:gridSpan w:val="5"/>
            <w:shd w:val="clear" w:color="auto" w:fill="0000EE"/>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21"/>
                <w:szCs w:val="21"/>
                <w:color w:val="auto"/>
              </w:rPr>
            </w:pPr>
          </w:p>
        </w:tc>
        <w:tc>
          <w:tcPr>
            <w:tcW w:w="85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 of the Securities Exchange Act of 1934, as amended*</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2</w:t>
            </w:r>
          </w:p>
        </w:tc>
        <w:tc>
          <w:tcPr>
            <w:tcW w:w="820" w:type="dxa"/>
            <w:vAlign w:val="bottom"/>
          </w:tcPr>
          <w:p>
            <w:pPr>
              <w:spacing w:after="0"/>
              <w:rPr>
                <w:sz w:val="20"/>
                <w:szCs w:val="20"/>
                <w:color w:val="auto"/>
              </w:rPr>
            </w:pP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Rule 13a-14 of the Securities Exchange Act of 1934, as amended*</w:t>
            </w:r>
          </w:p>
        </w:tc>
        <w:tc>
          <w:tcPr>
            <w:tcW w:w="0" w:type="dxa"/>
            <w:vAlign w:val="bottom"/>
          </w:tcPr>
          <w:p>
            <w:pPr>
              <w:spacing w:after="0"/>
              <w:rPr>
                <w:sz w:val="1"/>
                <w:szCs w:val="1"/>
                <w:color w:val="auto"/>
              </w:rPr>
            </w:pPr>
          </w:p>
        </w:tc>
      </w:tr>
      <w:tr>
        <w:trPr>
          <w:trHeight w:val="209"/>
        </w:trPr>
        <w:tc>
          <w:tcPr>
            <w:tcW w:w="320" w:type="dxa"/>
            <w:vAlign w:val="bottom"/>
            <w:tcBorders>
              <w:top w:val="single" w:sz="8" w:color="0000EE"/>
              <w:bottom w:val="single" w:sz="8" w:color="0000EE"/>
            </w:tcBorders>
            <w:vMerge w:val="restart"/>
          </w:tcPr>
          <w:p>
            <w:pPr>
              <w:spacing w:after="0"/>
              <w:rPr>
                <w:rFonts w:ascii="Times New Roman" w:cs="Times New Roman" w:eastAsia="Times New Roman" w:hAnsi="Times New Roman"/>
                <w:sz w:val="18"/>
                <w:szCs w:val="18"/>
                <w:color w:val="0000EE"/>
                <w:w w:val="95"/>
              </w:rPr>
            </w:pPr>
            <w:hyperlink r:id="rId67">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1</w:t>
              </w:r>
            </w:hyperlink>
          </w:p>
        </w:tc>
        <w:tc>
          <w:tcPr>
            <w:tcW w:w="820" w:type="dxa"/>
            <w:vAlign w:val="bottom"/>
          </w:tcPr>
          <w:p>
            <w:pPr>
              <w:spacing w:after="0"/>
              <w:rPr>
                <w:sz w:val="18"/>
                <w:szCs w:val="18"/>
                <w:color w:val="auto"/>
              </w:rPr>
            </w:pPr>
          </w:p>
        </w:tc>
        <w:tc>
          <w:tcPr>
            <w:tcW w:w="7180" w:type="dxa"/>
            <w:vAlign w:val="bottom"/>
            <w:tcBorders>
              <w:top w:val="single" w:sz="8" w:color="0000EE"/>
              <w:bottom w:val="single" w:sz="8" w:color="0000EE"/>
            </w:tcBorders>
            <w:gridSpan w:val="11"/>
            <w:vMerge w:val="restart"/>
          </w:tcPr>
          <w:p>
            <w:pPr>
              <w:spacing w:after="0"/>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Certification of Chief Executive Officer pursuant to Section 906 of the Sarbanes-Oxley Act of 2002</w:t>
              </w:r>
            </w:hyperlink>
          </w:p>
        </w:tc>
        <w:tc>
          <w:tcPr>
            <w:tcW w:w="26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5"/>
                <w:szCs w:val="15"/>
                <w:color w:val="0000EE"/>
                <w:w w:val="95"/>
              </w:rPr>
              <w:t>(29)</w:t>
            </w:r>
          </w:p>
        </w:tc>
        <w:tc>
          <w:tcPr>
            <w:tcW w:w="1060" w:type="dxa"/>
            <w:vAlign w:val="bottom"/>
            <w:tcBorders>
              <w:top w:val="single" w:sz="8" w:color="0000EE"/>
              <w:bottom w:val="single" w:sz="8" w:color="0000EE"/>
            </w:tcBorders>
            <w:vMerge w:val="restart"/>
          </w:tcPr>
          <w:p>
            <w:pPr>
              <w:spacing w:after="0"/>
              <w:rPr>
                <w:sz w:val="18"/>
                <w:szCs w:val="18"/>
                <w:color w:val="auto"/>
              </w:rPr>
            </w:pPr>
          </w:p>
        </w:tc>
        <w:tc>
          <w:tcPr>
            <w:tcW w:w="1520" w:type="dxa"/>
            <w:vAlign w:val="bottom"/>
            <w:gridSpan w:val="2"/>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Borders>
              <w:bottom w:val="single" w:sz="8" w:color="0000EE"/>
            </w:tcBorders>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180" w:type="dxa"/>
            <w:vAlign w:val="bottom"/>
            <w:tcBorders>
              <w:bottom w:val="single" w:sz="8" w:color="0000EE"/>
            </w:tcBorders>
            <w:gridSpan w:val="11"/>
            <w:vMerge w:val="continue"/>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60" w:type="dxa"/>
            <w:vAlign w:val="bottom"/>
            <w:tcBorders>
              <w:bottom w:val="single" w:sz="8" w:color="0000EE"/>
            </w:tcBorders>
            <w:vMerge w:val="continue"/>
          </w:tcPr>
          <w:p>
            <w:pPr>
              <w:spacing w:after="0" w:line="20" w:lineRule="exact"/>
              <w:rPr>
                <w:sz w:val="1"/>
                <w:szCs w:val="1"/>
                <w:color w:val="auto"/>
              </w:rPr>
            </w:pPr>
          </w:p>
        </w:tc>
        <w:tc>
          <w:tcPr>
            <w:tcW w:w="15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vMerge w:val="restart"/>
          </w:tcPr>
          <w:p>
            <w:pPr>
              <w:spacing w:after="0"/>
              <w:rPr>
                <w:rFonts w:ascii="Times New Roman" w:cs="Times New Roman" w:eastAsia="Times New Roman" w:hAnsi="Times New Roman"/>
                <w:sz w:val="18"/>
                <w:szCs w:val="18"/>
                <w:color w:val="0000EE"/>
                <w:w w:val="95"/>
              </w:rPr>
            </w:pPr>
            <w:hyperlink r:id="rId68">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2</w:t>
              </w:r>
            </w:hyperlink>
          </w:p>
        </w:tc>
        <w:tc>
          <w:tcPr>
            <w:tcW w:w="820" w:type="dxa"/>
            <w:vAlign w:val="bottom"/>
          </w:tcPr>
          <w:p>
            <w:pPr>
              <w:spacing w:after="0" w:line="20" w:lineRule="exact"/>
              <w:rPr>
                <w:sz w:val="1"/>
                <w:szCs w:val="1"/>
                <w:color w:val="auto"/>
              </w:rPr>
            </w:pPr>
          </w:p>
        </w:tc>
        <w:tc>
          <w:tcPr>
            <w:tcW w:w="7180" w:type="dxa"/>
            <w:vAlign w:val="bottom"/>
            <w:tcBorders>
              <w:bottom w:val="single" w:sz="8" w:color="0000EE"/>
            </w:tcBorders>
            <w:gridSpan w:val="11"/>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15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7140" w:type="dxa"/>
            <w:vAlign w:val="bottom"/>
            <w:gridSpan w:val="10"/>
            <w:vMerge w:val="restart"/>
          </w:tcPr>
          <w:p>
            <w:pPr>
              <w:spacing w:after="0"/>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Certification of Chief Financial Officer pursuant to Section 906 of the Sarbanes-Oxley Act of 2002</w:t>
              </w:r>
            </w:hyperlink>
          </w:p>
        </w:tc>
        <w:tc>
          <w:tcPr>
            <w:tcW w:w="2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5"/>
                <w:szCs w:val="15"/>
                <w:color w:val="0000EE"/>
                <w:w w:val="87"/>
              </w:rPr>
              <w:t>(29)</w:t>
            </w:r>
          </w:p>
        </w:tc>
        <w:tc>
          <w:tcPr>
            <w:tcW w:w="2640" w:type="dxa"/>
            <w:vAlign w:val="bottom"/>
            <w:gridSpan w:val="4"/>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20" w:type="dxa"/>
            <w:vAlign w:val="bottom"/>
            <w:tcBorders>
              <w:bottom w:val="single" w:sz="8" w:color="0000EE"/>
            </w:tcBorders>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140" w:type="dxa"/>
            <w:vAlign w:val="bottom"/>
            <w:gridSpan w:val="10"/>
            <w:vMerge w:val="continue"/>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26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320" w:type="dxa"/>
            <w:vAlign w:val="bottom"/>
            <w:vMerge w:val="restart"/>
          </w:tcPr>
          <w:p>
            <w:pPr>
              <w:spacing w:after="0"/>
              <w:rPr>
                <w:rFonts w:ascii="Times New Roman" w:cs="Times New Roman" w:eastAsia="Times New Roman" w:hAnsi="Times New Roman"/>
                <w:sz w:val="18"/>
                <w:szCs w:val="18"/>
                <w:color w:val="0000EE"/>
                <w:w w:val="95"/>
              </w:rPr>
            </w:pPr>
            <w:hyperlink r:id="rId69">
              <w:r>
                <w:rPr>
                  <w:rFonts w:ascii="Times New Roman" w:cs="Times New Roman" w:eastAsia="Times New Roman" w:hAnsi="Times New Roman"/>
                  <w:sz w:val="18"/>
                  <w:szCs w:val="18"/>
                  <w:color w:val="0000EE"/>
                  <w:w w:val="95"/>
                </w:rPr>
                <w:t>97.</w:t>
              </w:r>
              <w:r>
                <w:rPr>
                  <w:rFonts w:ascii="Times New Roman" w:cs="Times New Roman" w:eastAsia="Times New Roman" w:hAnsi="Times New Roman"/>
                  <w:sz w:val="18"/>
                  <w:szCs w:val="18"/>
                  <w:u w:val="single" w:color="auto"/>
                  <w:color w:val="0000EE"/>
                  <w:w w:val="95"/>
                </w:rPr>
                <w:t>1</w:t>
              </w:r>
            </w:hyperlink>
          </w:p>
        </w:tc>
        <w:tc>
          <w:tcPr>
            <w:tcW w:w="820" w:type="dxa"/>
            <w:vAlign w:val="bottom"/>
          </w:tcPr>
          <w:p>
            <w:pPr>
              <w:spacing w:after="0" w:line="20" w:lineRule="exact"/>
              <w:rPr>
                <w:sz w:val="1"/>
                <w:szCs w:val="1"/>
                <w:color w:val="auto"/>
              </w:rPr>
            </w:pPr>
          </w:p>
        </w:tc>
        <w:tc>
          <w:tcPr>
            <w:tcW w:w="7140" w:type="dxa"/>
            <w:vAlign w:val="bottom"/>
            <w:tcBorders>
              <w:bottom w:val="single" w:sz="8" w:color="0000EE"/>
            </w:tcBorders>
            <w:gridSpan w:val="10"/>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26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4920" w:type="dxa"/>
            <w:vAlign w:val="bottom"/>
            <w:gridSpan w:val="8"/>
            <w:vMerge w:val="restart"/>
          </w:tcPr>
          <w:p>
            <w:pPr>
              <w:spacing w:after="0"/>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Policy Relating to Recovery of Erroneously Awarded Compensation</w:t>
              </w:r>
            </w:hyperlink>
          </w:p>
        </w:tc>
        <w:tc>
          <w:tcPr>
            <w:tcW w:w="2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5"/>
                <w:szCs w:val="15"/>
                <w:color w:val="0000EE"/>
                <w:w w:val="95"/>
              </w:rPr>
              <w:t>(29)</w:t>
            </w:r>
          </w:p>
        </w:tc>
        <w:tc>
          <w:tcPr>
            <w:tcW w:w="4840" w:type="dxa"/>
            <w:vAlign w:val="bottom"/>
            <w:gridSpan w:val="7"/>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20" w:type="dxa"/>
            <w:vAlign w:val="bottom"/>
            <w:tcBorders>
              <w:bottom w:val="single" w:sz="8" w:color="0000EE"/>
            </w:tcBorders>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920" w:type="dxa"/>
            <w:vAlign w:val="bottom"/>
            <w:gridSpan w:val="8"/>
            <w:vMerge w:val="continue"/>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840" w:type="dxa"/>
            <w:vAlign w:val="bottom"/>
            <w:gridSpan w:val="7"/>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920" w:type="dxa"/>
            <w:vAlign w:val="bottom"/>
            <w:tcBorders>
              <w:bottom w:val="single" w:sz="8" w:color="0000EE"/>
            </w:tcBorders>
            <w:gridSpan w:val="8"/>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840" w:type="dxa"/>
            <w:vAlign w:val="bottom"/>
            <w:gridSpan w:val="7"/>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w w:val="99"/>
              </w:rPr>
              <w:t>Inline XBRL Instance Document-the instance document does not appear in the Interactive Data File as its XBRL tags are embedded within</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25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5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2"/>
                <w:szCs w:val="22"/>
                <w:color w:val="auto"/>
              </w:rPr>
            </w:pP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7830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8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Previously filed as an exhibit to the Company’s Current Report on Form 8-K filed with the SEC on December 19, 2016.</w:t>
      </w:r>
    </w:p>
    <w:p>
      <w:pPr>
        <w:spacing w:after="0" w:line="42" w:lineRule="exact"/>
        <w:rPr>
          <w:rFonts w:ascii="Times New Roman" w:cs="Times New Roman" w:eastAsia="Times New Roman" w:hAnsi="Times New Roman"/>
          <w:sz w:val="27"/>
          <w:szCs w:val="27"/>
          <w:color w:val="auto"/>
          <w:vertAlign w:val="superscript"/>
        </w:rPr>
      </w:pPr>
    </w:p>
    <w:p>
      <w:pPr>
        <w:ind w:left="220" w:hanging="212"/>
        <w:spacing w:after="0" w:line="194" w:lineRule="auto"/>
        <w:tabs>
          <w:tab w:leader="none" w:pos="2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Previously filed as an exhibit to the Company’s Current Report on Form 8-K filed with the SEC on June 14, 2017.</w:t>
      </w:r>
    </w:p>
    <w:p>
      <w:pPr>
        <w:spacing w:after="0" w:line="42" w:lineRule="exact"/>
        <w:rPr>
          <w:rFonts w:ascii="Times New Roman" w:cs="Times New Roman" w:eastAsia="Times New Roman" w:hAnsi="Times New Roman"/>
          <w:sz w:val="23"/>
          <w:szCs w:val="23"/>
          <w:color w:val="auto"/>
          <w:vertAlign w:val="superscript"/>
        </w:rPr>
      </w:pPr>
    </w:p>
    <w:p>
      <w:pPr>
        <w:ind w:left="220" w:hanging="212"/>
        <w:spacing w:after="0" w:line="194" w:lineRule="auto"/>
        <w:tabs>
          <w:tab w:leader="none" w:pos="2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Previously filed as an exhibit to the Company’s Annual Report on Form 10-K filed with the SEC on March 29, 2017.</w:t>
      </w:r>
    </w:p>
    <w:p>
      <w:pPr>
        <w:spacing w:after="0" w:line="42" w:lineRule="exact"/>
        <w:rPr>
          <w:rFonts w:ascii="Times New Roman" w:cs="Times New Roman" w:eastAsia="Times New Roman" w:hAnsi="Times New Roman"/>
          <w:sz w:val="23"/>
          <w:szCs w:val="23"/>
          <w:color w:val="auto"/>
          <w:vertAlign w:val="superscript"/>
        </w:rPr>
      </w:pPr>
    </w:p>
    <w:p>
      <w:pPr>
        <w:ind w:left="220" w:hanging="212"/>
        <w:spacing w:after="0" w:line="194" w:lineRule="auto"/>
        <w:tabs>
          <w:tab w:leader="none" w:pos="2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Previously filed as an exhibit to the Company’s Current Report on Form 8-K filed with the SEC on May 28, 2021.</w:t>
      </w:r>
    </w:p>
    <w:p>
      <w:pPr>
        <w:spacing w:after="0" w:line="42" w:lineRule="exact"/>
        <w:rPr>
          <w:rFonts w:ascii="Times New Roman" w:cs="Times New Roman" w:eastAsia="Times New Roman" w:hAnsi="Times New Roman"/>
          <w:sz w:val="23"/>
          <w:szCs w:val="23"/>
          <w:color w:val="auto"/>
          <w:vertAlign w:val="superscript"/>
        </w:rPr>
      </w:pPr>
    </w:p>
    <w:p>
      <w:pPr>
        <w:ind w:left="220" w:hanging="212"/>
        <w:spacing w:after="0" w:line="194" w:lineRule="auto"/>
        <w:tabs>
          <w:tab w:leader="none" w:pos="2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Previously filed as an exhibit to the Company’s Registration Statement on Form 10 (File No. 000-55544) filed with the SEC on February 12, 2016.</w:t>
      </w:r>
    </w:p>
    <w:p>
      <w:pPr>
        <w:spacing w:after="0" w:line="42" w:lineRule="exact"/>
        <w:rPr>
          <w:rFonts w:ascii="Times New Roman" w:cs="Times New Roman" w:eastAsia="Times New Roman" w:hAnsi="Times New Roman"/>
          <w:sz w:val="23"/>
          <w:szCs w:val="23"/>
          <w:color w:val="auto"/>
          <w:vertAlign w:val="superscript"/>
        </w:rPr>
      </w:pPr>
    </w:p>
    <w:p>
      <w:pPr>
        <w:ind w:left="220" w:hanging="212"/>
        <w:spacing w:after="0" w:line="194" w:lineRule="auto"/>
        <w:tabs>
          <w:tab w:leader="none" w:pos="2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Previously filed as an exhibit to the Company’s Quarterly Report on Form 10-Q filed with the SEC on November 9, 2017.</w:t>
      </w:r>
    </w:p>
    <w:p>
      <w:pPr>
        <w:spacing w:after="0" w:line="42" w:lineRule="exact"/>
        <w:rPr>
          <w:rFonts w:ascii="Times New Roman" w:cs="Times New Roman" w:eastAsia="Times New Roman" w:hAnsi="Times New Roman"/>
          <w:sz w:val="23"/>
          <w:szCs w:val="23"/>
          <w:color w:val="auto"/>
          <w:vertAlign w:val="superscript"/>
        </w:rPr>
      </w:pPr>
    </w:p>
    <w:p>
      <w:pPr>
        <w:ind w:left="220" w:hanging="212"/>
        <w:spacing w:after="0" w:line="194" w:lineRule="auto"/>
        <w:tabs>
          <w:tab w:leader="none" w:pos="2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Previously filed as an exhibit to the Company’s Current Report on Form 8-K filed with the SEC on December 28, 2018.</w:t>
      </w:r>
    </w:p>
    <w:p>
      <w:pPr>
        <w:spacing w:after="0" w:line="42" w:lineRule="exact"/>
        <w:rPr>
          <w:rFonts w:ascii="Times New Roman" w:cs="Times New Roman" w:eastAsia="Times New Roman" w:hAnsi="Times New Roman"/>
          <w:sz w:val="23"/>
          <w:szCs w:val="23"/>
          <w:color w:val="auto"/>
          <w:vertAlign w:val="superscript"/>
        </w:rPr>
      </w:pPr>
    </w:p>
    <w:p>
      <w:pPr>
        <w:ind w:left="220" w:hanging="212"/>
        <w:spacing w:after="0" w:line="194" w:lineRule="auto"/>
        <w:tabs>
          <w:tab w:leader="none" w:pos="2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Previously filed as an exhibit to the Company’s Current Report on Form 8-K filed with the SEC on June 06, 2019.</w:t>
      </w:r>
    </w:p>
    <w:p>
      <w:pPr>
        <w:spacing w:after="0" w:line="42" w:lineRule="exact"/>
        <w:rPr>
          <w:rFonts w:ascii="Times New Roman" w:cs="Times New Roman" w:eastAsia="Times New Roman" w:hAnsi="Times New Roman"/>
          <w:sz w:val="23"/>
          <w:szCs w:val="23"/>
          <w:color w:val="auto"/>
          <w:vertAlign w:val="superscript"/>
        </w:rPr>
      </w:pPr>
    </w:p>
    <w:p>
      <w:pPr>
        <w:ind w:left="220" w:hanging="212"/>
        <w:spacing w:after="0" w:line="194" w:lineRule="auto"/>
        <w:tabs>
          <w:tab w:leader="none" w:pos="2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Previously filed as an exhibit to the Company’s Annual Report on Form 10-K filed with the SEC on March 20, 2020.</w:t>
      </w:r>
    </w:p>
    <w:p>
      <w:pPr>
        <w:spacing w:after="0" w:line="42" w:lineRule="exact"/>
        <w:rPr>
          <w:rFonts w:ascii="Times New Roman" w:cs="Times New Roman" w:eastAsia="Times New Roman" w:hAnsi="Times New Roman"/>
          <w:sz w:val="23"/>
          <w:szCs w:val="23"/>
          <w:color w:val="auto"/>
          <w:vertAlign w:val="superscript"/>
        </w:rPr>
      </w:pPr>
    </w:p>
    <w:p>
      <w:pPr>
        <w:ind w:left="300" w:hanging="292"/>
        <w:spacing w:after="0" w:line="194" w:lineRule="auto"/>
        <w:tabs>
          <w:tab w:leader="none" w:pos="30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Previously filed as an exhibit to the Company’s Quarterly Report on Form 10-Q filed with the SEC on November 12, 2020.</w:t>
      </w:r>
    </w:p>
    <w:p>
      <w:pPr>
        <w:spacing w:after="0" w:line="42" w:lineRule="exact"/>
        <w:rPr>
          <w:rFonts w:ascii="Times New Roman" w:cs="Times New Roman" w:eastAsia="Times New Roman" w:hAnsi="Times New Roman"/>
          <w:sz w:val="23"/>
          <w:szCs w:val="23"/>
          <w:color w:val="auto"/>
          <w:vertAlign w:val="superscript"/>
        </w:rPr>
      </w:pPr>
    </w:p>
    <w:p>
      <w:pPr>
        <w:ind w:left="300" w:hanging="292"/>
        <w:spacing w:after="0" w:line="194" w:lineRule="auto"/>
        <w:tabs>
          <w:tab w:leader="none" w:pos="30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Previously filed as an exhibit to the Company’s Current Report on Form 8-K filed with the SEC on December 4, 2020.</w:t>
      </w:r>
    </w:p>
    <w:p>
      <w:pPr>
        <w:spacing w:after="0" w:line="42" w:lineRule="exact"/>
        <w:rPr>
          <w:rFonts w:ascii="Times New Roman" w:cs="Times New Roman" w:eastAsia="Times New Roman" w:hAnsi="Times New Roman"/>
          <w:sz w:val="23"/>
          <w:szCs w:val="23"/>
          <w:color w:val="auto"/>
          <w:vertAlign w:val="superscript"/>
        </w:rPr>
      </w:pPr>
    </w:p>
    <w:p>
      <w:pPr>
        <w:ind w:left="300" w:hanging="292"/>
        <w:spacing w:after="0" w:line="194" w:lineRule="auto"/>
        <w:tabs>
          <w:tab w:leader="none" w:pos="30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Previously filed as an exhibit to the Company’s Quarterly Report on Form 10-Q filed with the SEC on August 5, 2021.</w:t>
      </w:r>
    </w:p>
    <w:p>
      <w:pPr>
        <w:spacing w:after="0" w:line="42" w:lineRule="exact"/>
        <w:rPr>
          <w:rFonts w:ascii="Times New Roman" w:cs="Times New Roman" w:eastAsia="Times New Roman" w:hAnsi="Times New Roman"/>
          <w:sz w:val="23"/>
          <w:szCs w:val="23"/>
          <w:color w:val="auto"/>
          <w:vertAlign w:val="superscript"/>
        </w:rPr>
      </w:pPr>
    </w:p>
    <w:p>
      <w:pPr>
        <w:ind w:left="300" w:hanging="292"/>
        <w:spacing w:after="0" w:line="194" w:lineRule="auto"/>
        <w:tabs>
          <w:tab w:leader="none" w:pos="30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Previously filed as an exhibit to the Company’s Current Report on Form 8-K filed with the SEC on August 19, 2021.</w:t>
      </w:r>
    </w:p>
    <w:p>
      <w:pPr>
        <w:spacing w:after="0" w:line="42" w:lineRule="exact"/>
        <w:rPr>
          <w:rFonts w:ascii="Times New Roman" w:cs="Times New Roman" w:eastAsia="Times New Roman" w:hAnsi="Times New Roman"/>
          <w:sz w:val="23"/>
          <w:szCs w:val="23"/>
          <w:color w:val="auto"/>
          <w:vertAlign w:val="superscript"/>
        </w:rPr>
      </w:pPr>
    </w:p>
    <w:p>
      <w:pPr>
        <w:ind w:left="300" w:hanging="292"/>
        <w:spacing w:after="0" w:line="194" w:lineRule="auto"/>
        <w:tabs>
          <w:tab w:leader="none" w:pos="30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Previously filed as an exhibit to the Company’s Registration Statement on Form N-2 (File No. 333-259824) filed with the SEC on September 27, 2021.</w:t>
      </w:r>
    </w:p>
    <w:p>
      <w:pPr>
        <w:spacing w:after="0" w:line="42" w:lineRule="exact"/>
        <w:rPr>
          <w:rFonts w:ascii="Times New Roman" w:cs="Times New Roman" w:eastAsia="Times New Roman" w:hAnsi="Times New Roman"/>
          <w:sz w:val="23"/>
          <w:szCs w:val="23"/>
          <w:color w:val="auto"/>
          <w:vertAlign w:val="superscript"/>
        </w:rPr>
      </w:pPr>
    </w:p>
    <w:p>
      <w:pPr>
        <w:ind w:left="300" w:hanging="292"/>
        <w:spacing w:after="0" w:line="194" w:lineRule="auto"/>
        <w:tabs>
          <w:tab w:leader="none" w:pos="30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Previously filed as an exhibit to the Company’s Current Report on Form 8-K filed with the SEC on December 13, 2021.</w:t>
      </w:r>
    </w:p>
    <w:p>
      <w:pPr>
        <w:spacing w:after="0" w:line="42" w:lineRule="exact"/>
        <w:rPr>
          <w:rFonts w:ascii="Times New Roman" w:cs="Times New Roman" w:eastAsia="Times New Roman" w:hAnsi="Times New Roman"/>
          <w:sz w:val="23"/>
          <w:szCs w:val="23"/>
          <w:color w:val="auto"/>
          <w:vertAlign w:val="superscript"/>
        </w:rPr>
      </w:pPr>
    </w:p>
    <w:p>
      <w:pPr>
        <w:ind w:left="300" w:hanging="292"/>
        <w:spacing w:after="0" w:line="194" w:lineRule="auto"/>
        <w:tabs>
          <w:tab w:leader="none" w:pos="30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Previously filed as an exhibit to the Company’s Current Report on Form 8-K filed with the SEC on September 23, 2021.</w:t>
      </w:r>
    </w:p>
    <w:p>
      <w:pPr>
        <w:spacing w:after="0" w:line="1" w:lineRule="exact"/>
        <w:rPr>
          <w:rFonts w:ascii="Times New Roman" w:cs="Times New Roman" w:eastAsia="Times New Roman" w:hAnsi="Times New Roman"/>
          <w:sz w:val="23"/>
          <w:szCs w:val="23"/>
          <w:color w:val="auto"/>
          <w:vertAlign w:val="superscript"/>
        </w:rPr>
      </w:pPr>
    </w:p>
    <w:p>
      <w:pPr>
        <w:ind w:left="300" w:hanging="292"/>
        <w:spacing w:after="0" w:line="204" w:lineRule="auto"/>
        <w:tabs>
          <w:tab w:leader="none" w:pos="300" w:val="left"/>
        </w:tabs>
        <w:numPr>
          <w:ilvl w:val="0"/>
          <w:numId w:val="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Previously filed as an exhibit to the Company’s Annual Report on Form 10-K filed with the SEC on March 14, 2022.</w:t>
      </w:r>
    </w:p>
    <w:p>
      <w:pPr>
        <w:spacing w:after="0" w:line="2" w:lineRule="exact"/>
        <w:rPr>
          <w:rFonts w:ascii="Times New Roman" w:cs="Times New Roman" w:eastAsia="Times New Roman" w:hAnsi="Times New Roman"/>
          <w:sz w:val="26"/>
          <w:szCs w:val="26"/>
          <w:color w:val="auto"/>
          <w:vertAlign w:val="superscript"/>
        </w:rPr>
      </w:pPr>
    </w:p>
    <w:p>
      <w:pPr>
        <w:ind w:left="300" w:hanging="292"/>
        <w:spacing w:after="0" w:line="204" w:lineRule="auto"/>
        <w:tabs>
          <w:tab w:leader="none" w:pos="300" w:val="left"/>
        </w:tabs>
        <w:numPr>
          <w:ilvl w:val="0"/>
          <w:numId w:val="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Previously filed as an exhibit to the Company’s Current Report on Form 8-K filed with the SEC on April 20, 2022.</w:t>
      </w:r>
    </w:p>
    <w:p>
      <w:pPr>
        <w:spacing w:after="0" w:line="2" w:lineRule="exact"/>
        <w:rPr>
          <w:rFonts w:ascii="Times New Roman" w:cs="Times New Roman" w:eastAsia="Times New Roman" w:hAnsi="Times New Roman"/>
          <w:sz w:val="26"/>
          <w:szCs w:val="26"/>
          <w:color w:val="auto"/>
          <w:vertAlign w:val="superscript"/>
        </w:rPr>
      </w:pPr>
    </w:p>
    <w:p>
      <w:pPr>
        <w:ind w:left="300" w:hanging="292"/>
        <w:spacing w:after="0" w:line="204" w:lineRule="auto"/>
        <w:tabs>
          <w:tab w:leader="none" w:pos="300" w:val="left"/>
        </w:tabs>
        <w:numPr>
          <w:ilvl w:val="0"/>
          <w:numId w:val="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Previously filed as an exhibit to the Company’s Current Report on Form 8-K filed with the SEC on July 28, 2022.</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25" w:right="379" w:bottom="1440" w:gutter="0" w:footer="0" w:header="0"/>
        </w:sectPr>
      </w:pPr>
    </w:p>
    <w:bookmarkStart w:id="9" w:name="page10"/>
    <w:bookmarkEnd w:id="9"/>
    <w:p>
      <w:pPr>
        <w:ind w:left="292" w:hanging="292"/>
        <w:spacing w:after="0"/>
        <w:tabs>
          <w:tab w:leader="none" w:pos="292" w:val="left"/>
        </w:tabs>
        <w:numPr>
          <w:ilvl w:val="0"/>
          <w:numId w:val="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Previously filed as an exhibit to the Company’s Current Report on Form 8-K filed with the SEC on December 7, 2022.</w:t>
      </w:r>
    </w:p>
    <w:p>
      <w:pPr>
        <w:spacing w:after="0" w:line="42" w:lineRule="exact"/>
        <w:rPr>
          <w:rFonts w:ascii="Times New Roman" w:cs="Times New Roman" w:eastAsia="Times New Roman" w:hAnsi="Times New Roman"/>
          <w:sz w:val="26"/>
          <w:szCs w:val="26"/>
          <w:color w:val="auto"/>
          <w:vertAlign w:val="superscript"/>
        </w:rPr>
      </w:pPr>
    </w:p>
    <w:p>
      <w:pPr>
        <w:ind w:left="292" w:hanging="292"/>
        <w:spacing w:after="0" w:line="194" w:lineRule="auto"/>
        <w:tabs>
          <w:tab w:leader="none" w:pos="292"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Previously filed as an exhibit to the Company’s Current Report on Form 8-K filed with the SEC on January 9, 2023.</w:t>
      </w:r>
    </w:p>
    <w:p>
      <w:pPr>
        <w:spacing w:after="0" w:line="1" w:lineRule="exact"/>
        <w:rPr>
          <w:rFonts w:ascii="Times New Roman" w:cs="Times New Roman" w:eastAsia="Times New Roman" w:hAnsi="Times New Roman"/>
          <w:sz w:val="23"/>
          <w:szCs w:val="23"/>
          <w:color w:val="auto"/>
          <w:vertAlign w:val="superscript"/>
        </w:rPr>
      </w:pPr>
    </w:p>
    <w:p>
      <w:pPr>
        <w:ind w:left="292" w:hanging="292"/>
        <w:spacing w:after="0" w:line="204" w:lineRule="auto"/>
        <w:tabs>
          <w:tab w:leader="none" w:pos="292" w:val="left"/>
        </w:tabs>
        <w:numPr>
          <w:ilvl w:val="0"/>
          <w:numId w:val="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Previously filed as an exhibit to the Company’s Current Report on Form 8-K filed with the SEC on April 14, 2023.</w:t>
      </w:r>
    </w:p>
    <w:p>
      <w:pPr>
        <w:spacing w:after="0" w:line="43" w:lineRule="exact"/>
        <w:rPr>
          <w:rFonts w:ascii="Times New Roman" w:cs="Times New Roman" w:eastAsia="Times New Roman" w:hAnsi="Times New Roman"/>
          <w:sz w:val="26"/>
          <w:szCs w:val="26"/>
          <w:color w:val="auto"/>
          <w:vertAlign w:val="superscript"/>
        </w:rPr>
      </w:pPr>
    </w:p>
    <w:p>
      <w:pPr>
        <w:ind w:left="292" w:hanging="292"/>
        <w:spacing w:after="0" w:line="194" w:lineRule="auto"/>
        <w:tabs>
          <w:tab w:leader="none" w:pos="292"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Previously filed as an exhibit to the Company’s Quarterly Report on Form 10-Q filed with the SEC on August 8, 2023.</w:t>
      </w:r>
    </w:p>
    <w:p>
      <w:pPr>
        <w:spacing w:after="0" w:line="42" w:lineRule="exact"/>
        <w:rPr>
          <w:rFonts w:ascii="Times New Roman" w:cs="Times New Roman" w:eastAsia="Times New Roman" w:hAnsi="Times New Roman"/>
          <w:sz w:val="23"/>
          <w:szCs w:val="23"/>
          <w:color w:val="auto"/>
          <w:vertAlign w:val="superscript"/>
        </w:rPr>
      </w:pPr>
    </w:p>
    <w:p>
      <w:pPr>
        <w:ind w:left="292" w:hanging="292"/>
        <w:spacing w:after="0" w:line="194" w:lineRule="auto"/>
        <w:tabs>
          <w:tab w:leader="none" w:pos="292"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Previously filed as an exhibit to the Company’s Current Report on Form 8-K filed with the SEC on December 6, 2023.</w:t>
      </w:r>
    </w:p>
    <w:p>
      <w:pPr>
        <w:spacing w:after="0" w:line="42" w:lineRule="exact"/>
        <w:rPr>
          <w:rFonts w:ascii="Times New Roman" w:cs="Times New Roman" w:eastAsia="Times New Roman" w:hAnsi="Times New Roman"/>
          <w:sz w:val="23"/>
          <w:szCs w:val="23"/>
          <w:color w:val="auto"/>
          <w:vertAlign w:val="superscript"/>
        </w:rPr>
      </w:pPr>
    </w:p>
    <w:p>
      <w:pPr>
        <w:ind w:left="292" w:hanging="292"/>
        <w:spacing w:after="0" w:line="194" w:lineRule="auto"/>
        <w:tabs>
          <w:tab w:leader="none" w:pos="292"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Previously filed as an exhibit to the Company’s Current Report on Form 8-K filed with the SEC on January 29, 2025.</w:t>
      </w:r>
    </w:p>
    <w:p>
      <w:pPr>
        <w:spacing w:after="0" w:line="42" w:lineRule="exact"/>
        <w:rPr>
          <w:rFonts w:ascii="Times New Roman" w:cs="Times New Roman" w:eastAsia="Times New Roman" w:hAnsi="Times New Roman"/>
          <w:sz w:val="23"/>
          <w:szCs w:val="23"/>
          <w:color w:val="auto"/>
          <w:vertAlign w:val="superscript"/>
        </w:rPr>
      </w:pPr>
    </w:p>
    <w:p>
      <w:pPr>
        <w:ind w:left="292" w:hanging="292"/>
        <w:spacing w:after="0" w:line="194" w:lineRule="auto"/>
        <w:tabs>
          <w:tab w:leader="none" w:pos="292"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Previously filed as an exhibit to the Company’s Current Report on Form 8-K filed with the SEC on January 31, 2025.</w:t>
      </w:r>
    </w:p>
    <w:p>
      <w:pPr>
        <w:spacing w:after="0" w:line="42" w:lineRule="exact"/>
        <w:rPr>
          <w:rFonts w:ascii="Times New Roman" w:cs="Times New Roman" w:eastAsia="Times New Roman" w:hAnsi="Times New Roman"/>
          <w:sz w:val="23"/>
          <w:szCs w:val="23"/>
          <w:color w:val="auto"/>
          <w:vertAlign w:val="superscript"/>
        </w:rPr>
      </w:pPr>
    </w:p>
    <w:p>
      <w:pPr>
        <w:ind w:left="292" w:hanging="292"/>
        <w:spacing w:after="0" w:line="194" w:lineRule="auto"/>
        <w:tabs>
          <w:tab w:leader="none" w:pos="292"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Previously filed as an exhibit to the Company’s Registration Statement on Form N-2 filed with the SEC on February 7, 2025.</w:t>
      </w:r>
    </w:p>
    <w:p>
      <w:pPr>
        <w:spacing w:after="0" w:line="42" w:lineRule="exact"/>
        <w:rPr>
          <w:rFonts w:ascii="Times New Roman" w:cs="Times New Roman" w:eastAsia="Times New Roman" w:hAnsi="Times New Roman"/>
          <w:sz w:val="23"/>
          <w:szCs w:val="23"/>
          <w:color w:val="auto"/>
          <w:vertAlign w:val="superscript"/>
        </w:rPr>
      </w:pPr>
    </w:p>
    <w:p>
      <w:pPr>
        <w:ind w:left="292" w:hanging="292"/>
        <w:spacing w:after="0" w:line="194" w:lineRule="auto"/>
        <w:tabs>
          <w:tab w:leader="none" w:pos="292"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Previously filed as an exhibit to the Company’s Registration Statement on Form N-2/A filed with the SEC on March 19, 2025.</w:t>
      </w:r>
    </w:p>
    <w:p>
      <w:pPr>
        <w:spacing w:after="0" w:line="1" w:lineRule="exact"/>
        <w:rPr>
          <w:rFonts w:ascii="Times New Roman" w:cs="Times New Roman" w:eastAsia="Times New Roman" w:hAnsi="Times New Roman"/>
          <w:sz w:val="23"/>
          <w:szCs w:val="23"/>
          <w:color w:val="auto"/>
          <w:vertAlign w:val="superscript"/>
        </w:rPr>
      </w:pPr>
    </w:p>
    <w:p>
      <w:pPr>
        <w:ind w:left="292" w:hanging="292"/>
        <w:spacing w:after="0" w:line="204" w:lineRule="auto"/>
        <w:tabs>
          <w:tab w:leader="none" w:pos="292" w:val="left"/>
        </w:tabs>
        <w:numPr>
          <w:ilvl w:val="0"/>
          <w:numId w:val="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Previously filed as an exhibit to the Company’s Annual Report on Form 10-K filed with the SEC on March 20, 2025.</w:t>
      </w:r>
    </w:p>
    <w:p>
      <w:pPr>
        <w:spacing w:after="0" w:line="200" w:lineRule="exact"/>
        <w:rPr>
          <w:sz w:val="20"/>
          <w:szCs w:val="20"/>
          <w:color w:val="auto"/>
        </w:rPr>
      </w:pPr>
    </w:p>
    <w:p>
      <w:pPr>
        <w:spacing w:after="0" w:line="215" w:lineRule="exact"/>
        <w:rPr>
          <w:sz w:val="20"/>
          <w:szCs w:val="20"/>
          <w:color w:val="auto"/>
        </w:rPr>
      </w:pPr>
    </w:p>
    <w:p>
      <w:pPr>
        <w:ind w:left="5572"/>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880"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5715</wp:posOffset>
            </wp:positionV>
            <wp:extent cx="44405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3">
                      <a:extLst>
                        <a:ext uri="{28A0092B-C50C-407E-A947-70E740481C1C}"/>
                      </a:extLst>
                    </a:blip>
                    <a:srcRect/>
                    <a:stretch>
                      <a:fillRect/>
                    </a:stretch>
                  </pic:blipFill>
                  <pic:spPr bwMode="auto">
                    <a:xfrm>
                      <a:off x="0" y="0"/>
                      <a:ext cx="4440555" cy="8255"/>
                    </a:xfrm>
                    <a:prstGeom prst="rect">
                      <a:avLst/>
                    </a:prstGeom>
                    <a:noFill/>
                  </pic:spPr>
                </pic:pic>
              </a:graphicData>
            </a:graphic>
          </wp:anchor>
        </w:drawing>
      </w:r>
    </w:p>
    <w:p>
      <w:pPr>
        <w:ind w:left="4260"/>
        <w:spacing w:after="0"/>
        <w:rPr>
          <w:sz w:val="20"/>
          <w:szCs w:val="20"/>
          <w:color w:val="auto"/>
        </w:rPr>
      </w:pPr>
      <w:r>
        <w:rPr>
          <w:rFonts w:ascii="Times New Roman" w:cs="Times New Roman" w:eastAsia="Times New Roman" w:hAnsi="Times New Roman"/>
          <w:sz w:val="18"/>
          <w:szCs w:val="18"/>
          <w:color w:val="auto"/>
        </w:rPr>
        <w:t>R. David Spreng</w:t>
      </w:r>
    </w:p>
    <w:p>
      <w:pPr>
        <w:spacing w:after="0" w:line="2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27, 2025</w:t>
            </w:r>
          </w:p>
        </w:tc>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3380" w:type="dxa"/>
            <w:vAlign w:val="bottom"/>
          </w:tcPr>
          <w:p>
            <w:pPr>
              <w:spacing w:after="0"/>
              <w:rPr>
                <w:sz w:val="20"/>
                <w:szCs w:val="20"/>
                <w:color w:val="auto"/>
              </w:rPr>
            </w:pPr>
          </w:p>
        </w:tc>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 David Spreng</w:t>
            </w:r>
          </w:p>
        </w:tc>
      </w:tr>
      <w:tr>
        <w:trPr>
          <w:trHeight w:val="191"/>
        </w:trPr>
        <w:tc>
          <w:tcPr>
            <w:tcW w:w="3380" w:type="dxa"/>
            <w:vAlign w:val="bottom"/>
          </w:tcPr>
          <w:p>
            <w:pPr>
              <w:spacing w:after="0"/>
              <w:rPr>
                <w:sz w:val="16"/>
                <w:szCs w:val="16"/>
                <w:color w:val="auto"/>
              </w:rPr>
            </w:pPr>
          </w:p>
        </w:tc>
        <w:tc>
          <w:tcPr>
            <w:tcW w:w="78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R. David Spreng</w:t>
            </w:r>
          </w:p>
        </w:tc>
      </w:tr>
      <w:tr>
        <w:trPr>
          <w:trHeight w:val="216"/>
        </w:trPr>
        <w:tc>
          <w:tcPr>
            <w:tcW w:w="3380" w:type="dxa"/>
            <w:vAlign w:val="bottom"/>
          </w:tcPr>
          <w:p>
            <w:pPr>
              <w:spacing w:after="0"/>
              <w:rPr>
                <w:sz w:val="18"/>
                <w:szCs w:val="18"/>
                <w:color w:val="auto"/>
              </w:rPr>
            </w:pPr>
          </w:p>
        </w:tc>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380" w:type="dxa"/>
            <w:vAlign w:val="bottom"/>
          </w:tcPr>
          <w:p>
            <w:pPr>
              <w:spacing w:after="0"/>
              <w:rPr>
                <w:sz w:val="20"/>
                <w:szCs w:val="20"/>
                <w:color w:val="auto"/>
              </w:rPr>
            </w:pPr>
          </w:p>
        </w:tc>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27, 2025</w:t>
            </w:r>
          </w:p>
        </w:tc>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3380" w:type="dxa"/>
            <w:vAlign w:val="bottom"/>
          </w:tcPr>
          <w:p>
            <w:pPr>
              <w:spacing w:after="0"/>
              <w:rPr>
                <w:sz w:val="20"/>
                <w:szCs w:val="20"/>
                <w:color w:val="auto"/>
              </w:rPr>
            </w:pPr>
          </w:p>
        </w:tc>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B. Raterman</w:t>
            </w:r>
          </w:p>
        </w:tc>
      </w:tr>
      <w:tr>
        <w:trPr>
          <w:trHeight w:val="191"/>
        </w:trPr>
        <w:tc>
          <w:tcPr>
            <w:tcW w:w="3380" w:type="dxa"/>
            <w:vAlign w:val="bottom"/>
          </w:tcPr>
          <w:p>
            <w:pPr>
              <w:spacing w:after="0"/>
              <w:rPr>
                <w:sz w:val="16"/>
                <w:szCs w:val="16"/>
                <w:color w:val="auto"/>
              </w:rPr>
            </w:pPr>
          </w:p>
        </w:tc>
        <w:tc>
          <w:tcPr>
            <w:tcW w:w="78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Thomas B. Raterman</w:t>
            </w:r>
          </w:p>
        </w:tc>
      </w:tr>
      <w:tr>
        <w:trPr>
          <w:trHeight w:val="216"/>
        </w:trPr>
        <w:tc>
          <w:tcPr>
            <w:tcW w:w="3380" w:type="dxa"/>
            <w:vAlign w:val="bottom"/>
          </w:tcPr>
          <w:p>
            <w:pPr>
              <w:spacing w:after="0"/>
              <w:rPr>
                <w:sz w:val="18"/>
                <w:szCs w:val="18"/>
                <w:color w:val="auto"/>
              </w:rPr>
            </w:pPr>
          </w:p>
        </w:tc>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Chief Operating Officer, Treasurer and Secretary</w:t>
            </w:r>
          </w:p>
        </w:tc>
      </w:tr>
      <w:tr>
        <w:trPr>
          <w:trHeight w:val="234"/>
        </w:trPr>
        <w:tc>
          <w:tcPr>
            <w:tcW w:w="3380" w:type="dxa"/>
            <w:vAlign w:val="bottom"/>
          </w:tcPr>
          <w:p>
            <w:pPr>
              <w:spacing w:after="0"/>
              <w:rPr>
                <w:sz w:val="20"/>
                <w:szCs w:val="20"/>
                <w:color w:val="auto"/>
              </w:rPr>
            </w:pPr>
          </w:p>
        </w:tc>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1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27, 2025</w:t>
            </w:r>
          </w:p>
        </w:tc>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3380" w:type="dxa"/>
            <w:vAlign w:val="bottom"/>
          </w:tcPr>
          <w:p>
            <w:pPr>
              <w:spacing w:after="0"/>
              <w:rPr>
                <w:sz w:val="20"/>
                <w:szCs w:val="20"/>
                <w:color w:val="auto"/>
              </w:rPr>
            </w:pPr>
          </w:p>
        </w:tc>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Ted Goldthorpe</w:t>
            </w:r>
          </w:p>
        </w:tc>
      </w:tr>
      <w:tr>
        <w:trPr>
          <w:trHeight w:val="191"/>
        </w:trPr>
        <w:tc>
          <w:tcPr>
            <w:tcW w:w="3380" w:type="dxa"/>
            <w:vAlign w:val="bottom"/>
          </w:tcPr>
          <w:p>
            <w:pPr>
              <w:spacing w:after="0"/>
              <w:rPr>
                <w:sz w:val="16"/>
                <w:szCs w:val="16"/>
                <w:color w:val="auto"/>
              </w:rPr>
            </w:pPr>
          </w:p>
        </w:tc>
        <w:tc>
          <w:tcPr>
            <w:tcW w:w="78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Ted Goldthorpe</w:t>
            </w:r>
          </w:p>
        </w:tc>
      </w:tr>
      <w:tr>
        <w:trPr>
          <w:trHeight w:val="234"/>
        </w:trPr>
        <w:tc>
          <w:tcPr>
            <w:tcW w:w="3380" w:type="dxa"/>
            <w:vAlign w:val="bottom"/>
          </w:tcPr>
          <w:p>
            <w:pPr>
              <w:spacing w:after="0"/>
              <w:rPr>
                <w:sz w:val="20"/>
                <w:szCs w:val="20"/>
                <w:color w:val="auto"/>
              </w:rPr>
            </w:pPr>
          </w:p>
        </w:tc>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41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27, 2025</w:t>
            </w:r>
          </w:p>
        </w:tc>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3380" w:type="dxa"/>
            <w:vAlign w:val="bottom"/>
          </w:tcPr>
          <w:p>
            <w:pPr>
              <w:spacing w:after="0"/>
              <w:rPr>
                <w:sz w:val="20"/>
                <w:szCs w:val="20"/>
                <w:color w:val="auto"/>
              </w:rPr>
            </w:pPr>
          </w:p>
        </w:tc>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Gary Kovacs</w:t>
            </w:r>
          </w:p>
        </w:tc>
      </w:tr>
      <w:tr>
        <w:trPr>
          <w:trHeight w:val="191"/>
        </w:trPr>
        <w:tc>
          <w:tcPr>
            <w:tcW w:w="3380" w:type="dxa"/>
            <w:vAlign w:val="bottom"/>
          </w:tcPr>
          <w:p>
            <w:pPr>
              <w:spacing w:after="0"/>
              <w:rPr>
                <w:sz w:val="16"/>
                <w:szCs w:val="16"/>
                <w:color w:val="auto"/>
              </w:rPr>
            </w:pPr>
          </w:p>
        </w:tc>
        <w:tc>
          <w:tcPr>
            <w:tcW w:w="78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Gary Kovacs</w:t>
            </w:r>
          </w:p>
        </w:tc>
      </w:tr>
      <w:tr>
        <w:trPr>
          <w:trHeight w:val="234"/>
        </w:trPr>
        <w:tc>
          <w:tcPr>
            <w:tcW w:w="3380" w:type="dxa"/>
            <w:vAlign w:val="bottom"/>
          </w:tcPr>
          <w:p>
            <w:pPr>
              <w:spacing w:after="0"/>
              <w:rPr>
                <w:sz w:val="20"/>
                <w:szCs w:val="20"/>
                <w:color w:val="auto"/>
              </w:rPr>
            </w:pPr>
          </w:p>
        </w:tc>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1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27, 2025</w:t>
            </w:r>
          </w:p>
        </w:tc>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3380" w:type="dxa"/>
            <w:vAlign w:val="bottom"/>
          </w:tcPr>
          <w:p>
            <w:pPr>
              <w:spacing w:after="0"/>
              <w:rPr>
                <w:sz w:val="20"/>
                <w:szCs w:val="20"/>
                <w:color w:val="auto"/>
              </w:rPr>
            </w:pPr>
          </w:p>
        </w:tc>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Catherine Frey</w:t>
            </w:r>
          </w:p>
        </w:tc>
      </w:tr>
      <w:tr>
        <w:trPr>
          <w:trHeight w:val="191"/>
        </w:trPr>
        <w:tc>
          <w:tcPr>
            <w:tcW w:w="3380" w:type="dxa"/>
            <w:vAlign w:val="bottom"/>
          </w:tcPr>
          <w:p>
            <w:pPr>
              <w:spacing w:after="0"/>
              <w:rPr>
                <w:sz w:val="16"/>
                <w:szCs w:val="16"/>
                <w:color w:val="auto"/>
              </w:rPr>
            </w:pPr>
          </w:p>
        </w:tc>
        <w:tc>
          <w:tcPr>
            <w:tcW w:w="78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Catherine Frey</w:t>
            </w:r>
          </w:p>
        </w:tc>
      </w:tr>
      <w:tr>
        <w:trPr>
          <w:trHeight w:val="234"/>
        </w:trPr>
        <w:tc>
          <w:tcPr>
            <w:tcW w:w="3380" w:type="dxa"/>
            <w:vAlign w:val="bottom"/>
          </w:tcPr>
          <w:p>
            <w:pPr>
              <w:spacing w:after="0"/>
              <w:rPr>
                <w:sz w:val="20"/>
                <w:szCs w:val="20"/>
                <w:color w:val="auto"/>
              </w:rPr>
            </w:pPr>
          </w:p>
        </w:tc>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1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27, 2025</w:t>
            </w:r>
          </w:p>
        </w:tc>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3380" w:type="dxa"/>
            <w:vAlign w:val="bottom"/>
          </w:tcPr>
          <w:p>
            <w:pPr>
              <w:spacing w:after="0"/>
              <w:rPr>
                <w:sz w:val="20"/>
                <w:szCs w:val="20"/>
                <w:color w:val="auto"/>
              </w:rPr>
            </w:pPr>
          </w:p>
        </w:tc>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Julie Persily</w:t>
            </w:r>
          </w:p>
        </w:tc>
      </w:tr>
      <w:tr>
        <w:trPr>
          <w:trHeight w:val="191"/>
        </w:trPr>
        <w:tc>
          <w:tcPr>
            <w:tcW w:w="3380" w:type="dxa"/>
            <w:vAlign w:val="bottom"/>
          </w:tcPr>
          <w:p>
            <w:pPr>
              <w:spacing w:after="0"/>
              <w:rPr>
                <w:sz w:val="16"/>
                <w:szCs w:val="16"/>
                <w:color w:val="auto"/>
              </w:rPr>
            </w:pPr>
          </w:p>
        </w:tc>
        <w:tc>
          <w:tcPr>
            <w:tcW w:w="78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Julie Persily</w:t>
            </w:r>
          </w:p>
        </w:tc>
      </w:tr>
      <w:tr>
        <w:trPr>
          <w:trHeight w:val="234"/>
        </w:trPr>
        <w:tc>
          <w:tcPr>
            <w:tcW w:w="3380" w:type="dxa"/>
            <w:vAlign w:val="bottom"/>
          </w:tcPr>
          <w:p>
            <w:pPr>
              <w:spacing w:after="0"/>
              <w:rPr>
                <w:sz w:val="20"/>
                <w:szCs w:val="20"/>
                <w:color w:val="auto"/>
              </w:rPr>
            </w:pPr>
          </w:p>
        </w:tc>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1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27, 2025</w:t>
            </w:r>
          </w:p>
        </w:tc>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3380" w:type="dxa"/>
            <w:vAlign w:val="bottom"/>
          </w:tcPr>
          <w:p>
            <w:pPr>
              <w:spacing w:after="0"/>
              <w:rPr>
                <w:sz w:val="20"/>
                <w:szCs w:val="20"/>
                <w:color w:val="auto"/>
              </w:rPr>
            </w:pPr>
          </w:p>
        </w:tc>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Jennifer Kwon Chou</w:t>
            </w:r>
          </w:p>
        </w:tc>
      </w:tr>
      <w:tr>
        <w:trPr>
          <w:trHeight w:val="191"/>
        </w:trPr>
        <w:tc>
          <w:tcPr>
            <w:tcW w:w="3380" w:type="dxa"/>
            <w:vAlign w:val="bottom"/>
          </w:tcPr>
          <w:p>
            <w:pPr>
              <w:spacing w:after="0"/>
              <w:rPr>
                <w:sz w:val="16"/>
                <w:szCs w:val="16"/>
                <w:color w:val="auto"/>
              </w:rPr>
            </w:pPr>
          </w:p>
        </w:tc>
        <w:tc>
          <w:tcPr>
            <w:tcW w:w="78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Jennifer Kwon Chou</w:t>
            </w:r>
          </w:p>
        </w:tc>
      </w:tr>
      <w:tr>
        <w:trPr>
          <w:trHeight w:val="234"/>
        </w:trPr>
        <w:tc>
          <w:tcPr>
            <w:tcW w:w="3380" w:type="dxa"/>
            <w:vAlign w:val="bottom"/>
          </w:tcPr>
          <w:p>
            <w:pPr>
              <w:spacing w:after="0"/>
              <w:rPr>
                <w:sz w:val="20"/>
                <w:szCs w:val="20"/>
                <w:color w:val="auto"/>
              </w:rPr>
            </w:pPr>
          </w:p>
        </w:tc>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675"/>
        </w:trPr>
        <w:tc>
          <w:tcPr>
            <w:tcW w:w="338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240"/>
          </w:cols>
          <w:pgMar w:left="320" w:top="900"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3360" w:type="dxa"/>
            <w:vAlign w:val="bottom"/>
          </w:tcPr>
          <w:p>
            <w:pPr>
              <w:spacing w:after="0"/>
              <w:rPr>
                <w:sz w:val="20"/>
                <w:szCs w:val="20"/>
                <w:color w:val="auto"/>
              </w:rPr>
            </w:pPr>
          </w:p>
        </w:tc>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Warshauer</w:t>
            </w:r>
          </w:p>
        </w:tc>
      </w:tr>
      <w:tr>
        <w:trPr>
          <w:trHeight w:val="191"/>
        </w:trPr>
        <w:tc>
          <w:tcPr>
            <w:tcW w:w="3360" w:type="dxa"/>
            <w:vAlign w:val="bottom"/>
          </w:tcPr>
          <w:p>
            <w:pPr>
              <w:spacing w:after="0"/>
              <w:rPr>
                <w:sz w:val="16"/>
                <w:szCs w:val="16"/>
                <w:color w:val="auto"/>
              </w:rPr>
            </w:pPr>
          </w:p>
        </w:tc>
        <w:tc>
          <w:tcPr>
            <w:tcW w:w="78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Robert Warshauer</w:t>
            </w:r>
          </w:p>
        </w:tc>
      </w:tr>
      <w:tr>
        <w:trPr>
          <w:trHeight w:val="234"/>
        </w:trPr>
        <w:tc>
          <w:tcPr>
            <w:tcW w:w="3360" w:type="dxa"/>
            <w:vAlign w:val="bottom"/>
          </w:tcPr>
          <w:p>
            <w:pPr>
              <w:spacing w:after="0"/>
              <w:rPr>
                <w:sz w:val="20"/>
                <w:szCs w:val="20"/>
                <w:color w:val="auto"/>
              </w:rPr>
            </w:pPr>
          </w:p>
        </w:tc>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1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3360" w:type="dxa"/>
            <w:vAlign w:val="bottom"/>
          </w:tcPr>
          <w:p>
            <w:pPr>
              <w:spacing w:after="0"/>
              <w:rPr>
                <w:sz w:val="20"/>
                <w:szCs w:val="20"/>
                <w:color w:val="auto"/>
              </w:rPr>
            </w:pPr>
          </w:p>
        </w:tc>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Alexander Duka</w:t>
            </w:r>
          </w:p>
        </w:tc>
      </w:tr>
      <w:tr>
        <w:trPr>
          <w:trHeight w:val="191"/>
        </w:trPr>
        <w:tc>
          <w:tcPr>
            <w:tcW w:w="3360" w:type="dxa"/>
            <w:vAlign w:val="bottom"/>
          </w:tcPr>
          <w:p>
            <w:pPr>
              <w:spacing w:after="0"/>
              <w:rPr>
                <w:sz w:val="16"/>
                <w:szCs w:val="16"/>
                <w:color w:val="auto"/>
              </w:rPr>
            </w:pPr>
          </w:p>
        </w:tc>
        <w:tc>
          <w:tcPr>
            <w:tcW w:w="78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Alexander Duka</w:t>
            </w:r>
          </w:p>
        </w:tc>
      </w:tr>
      <w:tr>
        <w:trPr>
          <w:trHeight w:val="234"/>
        </w:trPr>
        <w:tc>
          <w:tcPr>
            <w:tcW w:w="3360" w:type="dxa"/>
            <w:vAlign w:val="bottom"/>
          </w:tcPr>
          <w:p>
            <w:pPr>
              <w:spacing w:after="0"/>
              <w:rPr>
                <w:sz w:val="20"/>
                <w:szCs w:val="20"/>
                <w:color w:val="auto"/>
              </w:rPr>
            </w:pPr>
          </w:p>
        </w:tc>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31"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of Runway Growth Finance Corp. (the “Company”) on Form N-2 (File No. 333-284781) of our report dated March 20, 2025, relating to the consolidated financial statements of the Company appearing in this Annual Report on Form 10-K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 under the Exchange Act of 1934,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David Spreng, as Chief Executive Officer, certify that:</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 of Runway Growth Finance Corp.;</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 David Spreng</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Runway Growth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 under the Exchange Act of 1934,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B. Raterman, as Chief Financial Officer, certify that:</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 of Runway Growth Finance Corp.;</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Thomas B. Raterman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Runway Growth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0"/>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53" Type="http://schemas.openxmlformats.org/officeDocument/2006/relationships/image" Target="media/image16.png"/><Relationship Id="rId70" Type="http://schemas.openxmlformats.org/officeDocument/2006/relationships/image" Target="media/image17.png"/><Relationship Id="rId71" Type="http://schemas.openxmlformats.org/officeDocument/2006/relationships/image" Target="media/image18.png"/><Relationship Id="rId72" Type="http://schemas.openxmlformats.org/officeDocument/2006/relationships/image" Target="media/image19.png"/><Relationship Id="rId73" Type="http://schemas.openxmlformats.org/officeDocument/2006/relationships/image" Target="media/image20.png"/><Relationship Id="rId74" Type="http://schemas.openxmlformats.org/officeDocument/2006/relationships/image" Target="media/image21.png"/><Relationship Id="rId75" Type="http://schemas.openxmlformats.org/officeDocument/2006/relationships/image" Target="media/image22.png"/><Relationship Id="rId76" Type="http://schemas.openxmlformats.org/officeDocument/2006/relationships/image" Target="media/image23.png"/><Relationship Id="rId77" Type="http://schemas.openxmlformats.org/officeDocument/2006/relationships/image" Target="media/image24.png"/><Relationship Id="rId78" Type="http://schemas.openxmlformats.org/officeDocument/2006/relationships/image" Target="media/image25.png"/><Relationship Id="rId79" Type="http://schemas.openxmlformats.org/officeDocument/2006/relationships/image" Target="media/image26.png"/><Relationship Id="rId18" Type="http://schemas.openxmlformats.org/officeDocument/2006/relationships/hyperlink" Target="https://www.sec.gov/Archives/edgar/data/1653384/000095017025042625/rway-20241231.htm#report_of_independent_auditors_deloitte" TargetMode="External"/><Relationship Id="rId19" Type="http://schemas.openxmlformats.org/officeDocument/2006/relationships/hyperlink" Target="https://www.sec.gov/Archives/edgar/data/1653384/000095017025042625/rway-20241231.htm#statementsofassetsandliabilities_984676" TargetMode="External"/><Relationship Id="rId20" Type="http://schemas.openxmlformats.org/officeDocument/2006/relationships/hyperlink" Target="https://www.sec.gov/Archives/edgar/data/1653384/000095017025042625/rway-20241231.htm#statementsofoperations_538321" TargetMode="External"/><Relationship Id="rId21" Type="http://schemas.openxmlformats.org/officeDocument/2006/relationships/hyperlink" Target="https://www.sec.gov/Archives/edgar/data/1653384/000095017025042625/rway-20241231.htm#statementsofchangesinnetassets_610557" TargetMode="External"/><Relationship Id="rId22" Type="http://schemas.openxmlformats.org/officeDocument/2006/relationships/hyperlink" Target="https://www.sec.gov/Archives/edgar/data/1653384/000095017025042625/rway-20241231.htm#statementsofcashflows_699252" TargetMode="External"/><Relationship Id="rId23" Type="http://schemas.openxmlformats.org/officeDocument/2006/relationships/hyperlink" Target="https://www.sec.gov/Archives/edgar/data/1653384/000095017025042625/rway-20241231.htm#schedulesofinvestmentsasofdecember312019" TargetMode="External"/><Relationship Id="rId24" Type="http://schemas.openxmlformats.org/officeDocument/2006/relationships/hyperlink" Target="https://www.sec.gov/Archives/edgar/data/1653384/000095017025042625/rway-20241231.htm#notestofinancialstatementsasofdecember31" TargetMode="External"/><Relationship Id="rId28" Type="http://schemas.openxmlformats.org/officeDocument/2006/relationships/hyperlink" Target="https://www.sec.gov/Archives/edgar/data/1653384/000114420416140270/v454968_ex3-1.htm" TargetMode="External"/><Relationship Id="rId29" Type="http://schemas.openxmlformats.org/officeDocument/2006/relationships/hyperlink" Target="https://www.sec.gov/Archives/edgar/data/1653384/000165338421000016/rgc-20210819ex31cb84ffa.htm" TargetMode="External"/><Relationship Id="rId30" Type="http://schemas.openxmlformats.org/officeDocument/2006/relationships/hyperlink" Target="https://www.sec.gov/Archives/edgar/data/1653384/000165338421000016/rgc-20210819ex32804659c.htm" TargetMode="External"/><Relationship Id="rId31" Type="http://schemas.openxmlformats.org/officeDocument/2006/relationships/hyperlink" Target="https://www.sec.gov/Archives/edgar/data/1653384/000110465920036153/tm2013025-2_ex4x2.htm" TargetMode="External"/><Relationship Id="rId32" Type="http://schemas.openxmlformats.org/officeDocument/2006/relationships/hyperlink" Target="https://www.sec.gov/Archives/edgar/data/1653384/000110465922083650/tm2222036d1_ex4-1.htm" TargetMode="External"/><Relationship Id="rId33" Type="http://schemas.openxmlformats.org/officeDocument/2006/relationships/hyperlink" Target="https://www.sec.gov/Archives/edgar/data/1653384/000110465922083650/tm2222036d1_ex4-2.htm" TargetMode="External"/><Relationship Id="rId34" Type="http://schemas.openxmlformats.org/officeDocument/2006/relationships/hyperlink" Target="https://www.sec.gov/Archives/edgar/data/1653384/000110465922125137/tm2232170d1_ex4-1.htm" TargetMode="External"/><Relationship Id="rId37" Type="http://schemas.openxmlformats.org/officeDocument/2006/relationships/hyperlink" Target="https://www.sec.gov/Archives/edgar/data/1653384/000114420417017282/v462699_ex9-1.htm" TargetMode="External"/><Relationship Id="rId38" Type="http://schemas.openxmlformats.org/officeDocument/2006/relationships/hyperlink" Target="https://www.sec.gov/Archives/edgar/data/1653384/000110465921074326/tm2118010_ex10-1.htm" TargetMode="External"/><Relationship Id="rId39" Type="http://schemas.openxmlformats.org/officeDocument/2006/relationships/hyperlink" Target="https://www.sec.gov/Archives/edgar/data/1653384/000110465925007704/tm254887d1_ex10-1.htm" TargetMode="External"/><Relationship Id="rId40" Type="http://schemas.openxmlformats.org/officeDocument/2006/relationships/hyperlink" Target="https://www.sec.gov/Archives/edgar/data/1653384/000155837021010525/rgc-20210630ex1036bb6e0.htm" TargetMode="External"/><Relationship Id="rId41" Type="http://schemas.openxmlformats.org/officeDocument/2006/relationships/hyperlink" Target="https://www.sec.gov/Archives/edgar/data/1653384/000114420416140270/v454968_ex10-3.htm" TargetMode="External"/><Relationship Id="rId42" Type="http://schemas.openxmlformats.org/officeDocument/2006/relationships/hyperlink" Target="https://www.sec.gov/Archives/edgar/data/1653384/000114420416140270/v454968_ex10-4.htm" TargetMode="External"/><Relationship Id="rId43" Type="http://schemas.openxmlformats.org/officeDocument/2006/relationships/hyperlink" Target="https://www.sec.gov/Archives/edgar/data/1653384/000095017023039764/rway-ex4_1.htm" TargetMode="External"/><Relationship Id="rId44" Type="http://schemas.openxmlformats.org/officeDocument/2006/relationships/hyperlink" Target="https://www.sec.gov/Archives/edgar/data/1653384/000165338421000025/rgc-20211027xex10.htm" TargetMode="External"/><Relationship Id="rId45" Type="http://schemas.openxmlformats.org/officeDocument/2006/relationships/hyperlink" Target="https://www.sec.gov/Archives/edgar/data/1653384/000114420416081404/v428811_ex10-5.htm" TargetMode="External"/><Relationship Id="rId46" Type="http://schemas.openxmlformats.org/officeDocument/2006/relationships/hyperlink" Target="https://www.sec.gov/Archives/edgar/data/1653384/000165338421000019/rgc-20210923xex10.htm" TargetMode="External"/><Relationship Id="rId47" Type="http://schemas.openxmlformats.org/officeDocument/2006/relationships/hyperlink" Target="https://www.sec.gov/Archives/edgar/data/1653384/000114420418066500/tv509942_ex10-1.htm" TargetMode="External"/><Relationship Id="rId48" Type="http://schemas.openxmlformats.org/officeDocument/2006/relationships/hyperlink" Target="https://www.sec.gov/Archives/edgar/data/1653384/000114420419030106/tv523088_ex10-1.htm" TargetMode="External"/><Relationship Id="rId49" Type="http://schemas.openxmlformats.org/officeDocument/2006/relationships/hyperlink" Target="https://www.sec.gov/Archives/edgar/data/1653384/000155837020013679/rgc-20200930xex10d1.htm" TargetMode="External"/><Relationship Id="rId50" Type="http://schemas.openxmlformats.org/officeDocument/2006/relationships/hyperlink" Target="https://www.sec.gov/Archives/edgar/data/1653384/000165338420000004/rgc-20201202ex1019c880b.htm" TargetMode="External"/><Relationship Id="rId51" Type="http://schemas.openxmlformats.org/officeDocument/2006/relationships/hyperlink" Target="https://www.sec.gov/Archives/edgar/data/1653384/000110465921119827/tm2120547d5_ex99-k11.htm" TargetMode="External"/><Relationship Id="rId52" Type="http://schemas.openxmlformats.org/officeDocument/2006/relationships/hyperlink" Target="https://www.sec.gov/Archives/edgar/data/1653384/000155837021010525/rgc-20210630ex102799fdc.htm" TargetMode="External"/><Relationship Id="rId54" Type="http://schemas.openxmlformats.org/officeDocument/2006/relationships/hyperlink" Target="https://www.sec.gov/Archives/edgar/data/1653384/000165338421000028/rgc-20211213xex10.htm" TargetMode="External"/><Relationship Id="rId55" Type="http://schemas.openxmlformats.org/officeDocument/2006/relationships/hyperlink" Target="https://www.sec.gov/Archives/edgar/data/1653384/000110465923045577/tm2312875d1_ex10-1.htm" TargetMode="External"/><Relationship Id="rId56" Type="http://schemas.openxmlformats.org/officeDocument/2006/relationships/hyperlink" Target="https://www.sec.gov/Archives/edgar/data/1653384/000155837022002804/rgc-20211231xex10d17.htm" TargetMode="External"/><Relationship Id="rId57" Type="http://schemas.openxmlformats.org/officeDocument/2006/relationships/hyperlink" Target="https://www.sec.gov/Archives/edgar/data/1653384/000110465922048941/tm2213243d1_ex10-1.htm" TargetMode="External"/><Relationship Id="rId58" Type="http://schemas.openxmlformats.org/officeDocument/2006/relationships/hyperlink" Target="https://www.sec.gov/Archives/edgar/data/1653384/000110465923002333/tm232751d1_ex10-1.htm" TargetMode="External"/><Relationship Id="rId59" Type="http://schemas.openxmlformats.org/officeDocument/2006/relationships/hyperlink" Target="https://www.sec.gov/Archives/edgar/data/1653384/000110465925025185/rway-20250318xex99dk17.htm" TargetMode="External"/><Relationship Id="rId60" Type="http://schemas.openxmlformats.org/officeDocument/2006/relationships/hyperlink" Target="https://www.sec.gov/Archives/edgar/data/1653384/000110465923124036/tm2332294d1_ex10-1.htm" TargetMode="External"/><Relationship Id="rId61" Type="http://schemas.openxmlformats.org/officeDocument/2006/relationships/hyperlink" Target="https://www.sec.gov/Archives/edgar/data/1653384/000110465923124036/tm2332294d1_ex10-2.htm" TargetMode="External"/><Relationship Id="rId62" Type="http://schemas.openxmlformats.org/officeDocument/2006/relationships/hyperlink" Target="https://www.sec.gov/Archives/edgar/data/1653384/000110465925025185/rway-20250318xex99dk18.htm" TargetMode="External"/><Relationship Id="rId63" Type="http://schemas.openxmlformats.org/officeDocument/2006/relationships/hyperlink" Target="https://www.sec.gov/Archives/edgar/data/1653384/000095017025042625/rway-ex10_25.htm" TargetMode="External"/><Relationship Id="rId64" Type="http://schemas.openxmlformats.org/officeDocument/2006/relationships/hyperlink" Target="https://www.sec.gov/Archives/edgar/data/1653384/000110465925007261/tm254820d1_ex14-1.htm" TargetMode="External"/><Relationship Id="rId65" Type="http://schemas.openxmlformats.org/officeDocument/2006/relationships/hyperlink" Target="https://www.sec.gov/Archives/edgar/data/1653384/000095017025042625/rway-ex19_1.htm" TargetMode="External"/><Relationship Id="rId66" Type="http://schemas.openxmlformats.org/officeDocument/2006/relationships/hyperlink" Target="https://www.sec.gov/Archives/edgar/data/1653384/000095017025042625/rway-ex23_1.htm" TargetMode="External"/><Relationship Id="rId67" Type="http://schemas.openxmlformats.org/officeDocument/2006/relationships/hyperlink" Target="https://www.sec.gov/Archives/edgar/data/1653384/000095017025042625/rway-ex32_1.htm" TargetMode="External"/><Relationship Id="rId68" Type="http://schemas.openxmlformats.org/officeDocument/2006/relationships/hyperlink" Target="https://www.sec.gov/Archives/edgar/data/1653384/000095017025042625/rway-ex32_2.htm" TargetMode="External"/><Relationship Id="rId69" Type="http://schemas.openxmlformats.org/officeDocument/2006/relationships/hyperlink" Target="https://www.sec.gov/Archives/edgar/data/1653384/000095017025042625/rway-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2025-03-27T15:38:01Z</dcterms:created>
  <dcterms:modified xsi:type="dcterms:W3CDTF">2025-03-27T15:38:01Z</dcterms:modified>
</cp:coreProperties>
</file>