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6014d1_8k.htm"/>
      <w:bookmarkStart w:id="1" w:name="kstm2616014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7_edei--DocumentType_c20260527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May 27, 2026</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6_edei--EntityRegistrantName_c2026"/>
      <w:bookmarkEnd w:id="4"/>
      <w:r>
        <w:rPr>
          <w:rFonts w:ascii="Times New Roman;Times;Serif" w:hAnsi="Times New Roman;Times;Serif"/>
          <w:b/>
          <w:i w:val="false"/>
          <w:caps w:val="false"/>
          <w:smallCaps w:val="false"/>
          <w:sz w:val="28"/>
        </w:rPr>
        <w:t>Runway Growth Finance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0" w:type="dxa"/>
          <w:right w:w="0" w:type="dxa"/>
        </w:tblCellMar>
      </w:tblPr>
      <w:tblGrid>
        <w:gridCol w:w="2405"/>
        <w:gridCol w:w="60"/>
        <w:gridCol w:w="2345"/>
        <w:gridCol w:w="60"/>
        <w:gridCol w:w="1565"/>
      </w:tblGrid>
      <w:tr>
        <w:trPr/>
        <w:tc>
          <w:tcPr>
            <w:tcW w:w="2405" w:type="dxa"/>
            <w:tcBorders/>
            <w:vAlign w:val="center"/>
          </w:tcPr>
          <w:p>
            <w:pPr>
              <w:pStyle w:val="TableContents"/>
              <w:bidi w:val="0"/>
              <w:spacing w:before="0" w:after="283"/>
              <w:jc w:val="center"/>
              <w:rPr>
                <w:b/>
                <w:sz w:val="20"/>
              </w:rPr>
            </w:pPr>
            <w:bookmarkStart w:id="5" w:name="xdx_909_edei--EntityIncorporationStateCo"/>
            <w:bookmarkEnd w:id="5"/>
            <w:r>
              <w:rPr>
                <w:b/>
                <w:sz w:val="20"/>
              </w:rPr>
              <w:t>Maryland</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center"/>
              <w:rPr>
                <w:b/>
                <w:sz w:val="20"/>
              </w:rPr>
            </w:pPr>
            <w:bookmarkStart w:id="6" w:name="xdx_903_edei--EntityFileNumber_c20260527"/>
            <w:bookmarkEnd w:id="6"/>
            <w:r>
              <w:rPr>
                <w:b/>
                <w:sz w:val="20"/>
              </w:rPr>
              <w:t xml:space="preserve">814-01180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bookmarkStart w:id="7" w:name="xdx_90D_edei--EntityTaxIdentificationNum"/>
            <w:bookmarkEnd w:id="7"/>
            <w:r>
              <w:rPr>
                <w:b/>
                <w:sz w:val="20"/>
              </w:rPr>
              <w:t>47-5049745</w:t>
            </w:r>
          </w:p>
        </w:tc>
      </w:tr>
      <w:tr>
        <w:trPr/>
        <w:tc>
          <w:tcPr>
            <w:tcW w:w="2405" w:type="dxa"/>
            <w:tcBorders/>
            <w:vAlign w:val="center"/>
          </w:tcPr>
          <w:p>
            <w:pPr>
              <w:pStyle w:val="TableContents"/>
              <w:bidi w:val="0"/>
              <w:spacing w:before="0" w:after="283"/>
              <w:jc w:val="center"/>
              <w:rPr>
                <w:b/>
                <w:sz w:val="20"/>
              </w:rPr>
            </w:pPr>
            <w:r>
              <w:rPr>
                <w:b/>
                <w:sz w:val="20"/>
              </w:rPr>
              <w:t xml:space="preserve">(State or Other Jurisdiction </w:t>
              <w:br/>
              <w:t>of Incorporation)</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center"/>
              <w:rPr>
                <w:b/>
                <w:sz w:val="20"/>
              </w:rPr>
            </w:pPr>
            <w:r>
              <w:rPr>
                <w:b/>
                <w:sz w:val="20"/>
              </w:rPr>
              <w:t xml:space="preserve">(Commission File Number)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3395"/>
        <w:gridCol w:w="935"/>
      </w:tblGrid>
      <w:tr>
        <w:trPr/>
        <w:tc>
          <w:tcPr>
            <w:tcW w:w="3395" w:type="dxa"/>
            <w:tcBorders/>
            <w:vAlign w:val="center"/>
          </w:tcPr>
          <w:p>
            <w:pPr>
              <w:pStyle w:val="TableContents"/>
              <w:bidi w:val="0"/>
              <w:spacing w:before="0" w:after="283"/>
              <w:jc w:val="center"/>
              <w:rPr/>
            </w:pPr>
            <w:bookmarkStart w:id="8" w:name="xdx_909_edei--EntityAddressAddressLine1_"/>
            <w:bookmarkEnd w:id="8"/>
            <w:r>
              <w:rPr>
                <w:b/>
              </w:rPr>
              <w:t>205 N. Michigan Ave.</w:t>
            </w:r>
            <w:r>
              <w:rPr/>
              <w:t xml:space="preserve"> </w:t>
            </w:r>
            <w:r>
              <w:rPr>
                <w:b/>
              </w:rPr>
              <w:br/>
            </w:r>
            <w:bookmarkStart w:id="9" w:name="xdx_909_edei--EntityAddressAddressLine2_"/>
            <w:bookmarkEnd w:id="9"/>
            <w:r>
              <w:rPr>
                <w:b/>
              </w:rPr>
              <w:t>Suite 4200</w:t>
            </w:r>
          </w:p>
        </w:tc>
        <w:tc>
          <w:tcPr>
            <w:tcW w:w="935" w:type="dxa"/>
            <w:tcBorders/>
            <w:vAlign w:val="center"/>
          </w:tcPr>
          <w:p>
            <w:pPr>
              <w:pStyle w:val="TableContents"/>
              <w:bidi w:val="0"/>
              <w:spacing w:before="0" w:after="283"/>
              <w:jc w:val="center"/>
              <w:rPr/>
            </w:pPr>
            <w:r>
              <w:rPr/>
              <w:t> </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bookmarkStart w:id="10" w:name="xdx_905_edei--EntityAddressCityOrTown_c2"/>
            <w:bookmarkEnd w:id="10"/>
            <w:r>
              <w:rPr>
                <w:rFonts w:ascii="Times New Roman;Times;Serif" w:hAnsi="Times New Roman;Times;Serif"/>
                <w:b/>
                <w:sz w:val="20"/>
              </w:rPr>
              <w:t xml:space="preserve">Chicago, </w:t>
            </w:r>
            <w:bookmarkStart w:id="11" w:name="xdx_90D_edei--EntityAddressStateOrProvin"/>
            <w:bookmarkEnd w:id="11"/>
            <w:r>
              <w:rPr>
                <w:rFonts w:ascii="Times New Roman;Times;Serif" w:hAnsi="Times New Roman;Times;Serif"/>
                <w:b/>
                <w:sz w:val="20"/>
              </w:rPr>
              <w:t>Illinois</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2" w:name="xdx_901_edei--EntityAddressPostalZipCode"/>
            <w:bookmarkEnd w:id="12"/>
            <w:r>
              <w:rPr>
                <w:rFonts w:ascii="Times New Roman;Times;Serif" w:hAnsi="Times New Roman;Times;Serif"/>
                <w:b/>
                <w:sz w:val="20"/>
              </w:rPr>
              <w:t>60601</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0_edei--CityAreaCode_c20260527__20"/>
      <w:bookmarkEnd w:id="13"/>
      <w:r>
        <w:rPr>
          <w:rFonts w:ascii="Times New Roman;Times;Serif" w:hAnsi="Times New Roman;Times;Serif"/>
          <w:b/>
          <w:i w:val="false"/>
          <w:caps w:val="false"/>
          <w:smallCaps w:val="false"/>
          <w:sz w:val="20"/>
        </w:rPr>
        <w:t xml:space="preserve">312) </w:t>
      </w:r>
      <w:bookmarkStart w:id="14" w:name="xdx_90B_edei--LocalPhoneNumber_c20260527"/>
      <w:bookmarkEnd w:id="14"/>
      <w:r>
        <w:rPr>
          <w:rFonts w:ascii="Times New Roman;Times;Serif" w:hAnsi="Times New Roman;Times;Serif"/>
          <w:b/>
          <w:i w:val="false"/>
          <w:caps w:val="false"/>
          <w:smallCaps w:val="false"/>
          <w:sz w:val="20"/>
        </w:rPr>
        <w:t>698-6902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bookmarkStart w:id="15" w:name="xdx_90A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jc w:val="both"/>
        <w:rPr>
          <w:caps w:val="false"/>
          <w:smallCaps w:val="false"/>
        </w:rPr>
      </w:pPr>
      <w:bookmarkStart w:id="16" w:name="xdx_90A_edei--SolicitingMaterial_c202605"/>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jc w:val="both"/>
        <w:rPr>
          <w:caps w:val="false"/>
          <w:smallCaps w:val="false"/>
        </w:rPr>
      </w:pPr>
      <w:bookmarkStart w:id="17" w:name="xdx_904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jc w:val="both"/>
        <w:rPr>
          <w:caps w:val="false"/>
          <w:smallCaps w:val="false"/>
        </w:rPr>
      </w:pPr>
      <w:bookmarkStart w:id="18" w:name="xdx_90C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30" w:type="dxa"/>
        <w:jc w:val="left"/>
        <w:tblInd w:w="0" w:type="dxa"/>
        <w:tblLayout w:type="fixed"/>
        <w:tblCellMar>
          <w:top w:w="0" w:type="dxa"/>
          <w:left w:w="0" w:type="dxa"/>
          <w:bottom w:w="28" w:type="dxa"/>
          <w:right w:w="0" w:type="dxa"/>
        </w:tblCellMar>
      </w:tblPr>
      <w:tblGrid>
        <w:gridCol w:w="3410"/>
        <w:gridCol w:w="60"/>
        <w:gridCol w:w="89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90" w:type="dxa"/>
            <w:tcBorders>
              <w:bottom w:val="single" w:sz="8" w:space="0" w:color="000000"/>
            </w:tcBorders>
            <w:vAlign w:val="center"/>
          </w:tcPr>
          <w:p>
            <w:pPr>
              <w:pStyle w:val="TableContents"/>
              <w:bidi w:val="0"/>
              <w:spacing w:before="0" w:after="283"/>
              <w:jc w:val="center"/>
              <w:rPr>
                <w:b/>
                <w:sz w:val="20"/>
              </w:rPr>
            </w:pPr>
            <w:r>
              <w:rPr>
                <w:b/>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1_edei--Security12bTitle_c20260527"/>
            <w:bookmarkEnd w:id="19"/>
            <w:r>
              <w:rPr>
                <w:sz w:val="20"/>
              </w:rPr>
              <w:t>Common Stock, par value $0.01 per share</w:t>
            </w:r>
          </w:p>
        </w:tc>
        <w:tc>
          <w:tcPr>
            <w:tcW w:w="60" w:type="dxa"/>
            <w:tcBorders/>
            <w:tcMar>
              <w:bottom w:w="0" w:type="dxa"/>
            </w:tcMar>
            <w:vAlign w:val="center"/>
          </w:tcPr>
          <w:p>
            <w:pPr>
              <w:pStyle w:val="TableContents"/>
              <w:bidi w:val="0"/>
              <w:spacing w:before="0" w:after="283"/>
              <w:jc w:val="center"/>
              <w:rPr/>
            </w:pPr>
            <w:r>
              <w:rPr/>
              <w:t> </w:t>
            </w:r>
          </w:p>
        </w:tc>
        <w:tc>
          <w:tcPr>
            <w:tcW w:w="890" w:type="dxa"/>
            <w:tcBorders/>
            <w:tcMar>
              <w:bottom w:w="0" w:type="dxa"/>
            </w:tcMar>
            <w:vAlign w:val="center"/>
          </w:tcPr>
          <w:p>
            <w:pPr>
              <w:pStyle w:val="TableContents"/>
              <w:bidi w:val="0"/>
              <w:spacing w:before="0" w:after="283"/>
              <w:jc w:val="center"/>
              <w:rPr>
                <w:sz w:val="20"/>
              </w:rPr>
            </w:pPr>
            <w:bookmarkStart w:id="20" w:name="xdx_900_edei--TradingSymbol_c20260527__2"/>
            <w:bookmarkEnd w:id="20"/>
            <w:r>
              <w:rPr>
                <w:sz w:val="20"/>
              </w:rPr>
              <w:t>RWAY</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6_edei--SecurityExchangeName_c2026"/>
            <w:bookmarkEnd w:id="21"/>
            <w:r>
              <w:rPr>
                <w:sz w:val="20"/>
              </w:rPr>
              <w:t>Nasdaq Global Select Market</w:t>
            </w:r>
          </w:p>
        </w:tc>
      </w:tr>
      <w:tr>
        <w:trPr/>
        <w:tc>
          <w:tcPr>
            <w:tcW w:w="3410" w:type="dxa"/>
            <w:tcBorders/>
            <w:tcMar>
              <w:bottom w:w="0" w:type="dxa"/>
            </w:tcMar>
            <w:vAlign w:val="center"/>
          </w:tcPr>
          <w:p>
            <w:pPr>
              <w:pStyle w:val="TableContents"/>
              <w:bidi w:val="0"/>
              <w:spacing w:before="0" w:after="283"/>
              <w:jc w:val="center"/>
              <w:rPr>
                <w:sz w:val="20"/>
              </w:rPr>
            </w:pPr>
            <w:bookmarkStart w:id="22" w:name="xdx_905_edei--Security12bTitle_c20260527"/>
            <w:bookmarkEnd w:id="22"/>
            <w:r>
              <w:rPr>
                <w:sz w:val="20"/>
              </w:rPr>
              <w:t>7.50% Notes due 2027</w:t>
            </w:r>
          </w:p>
        </w:tc>
        <w:tc>
          <w:tcPr>
            <w:tcW w:w="60" w:type="dxa"/>
            <w:tcBorders/>
            <w:tcMar>
              <w:bottom w:w="0" w:type="dxa"/>
            </w:tcMar>
            <w:vAlign w:val="center"/>
          </w:tcPr>
          <w:p>
            <w:pPr>
              <w:pStyle w:val="TableContents"/>
              <w:bidi w:val="0"/>
              <w:spacing w:before="0" w:after="283"/>
              <w:jc w:val="center"/>
              <w:rPr/>
            </w:pPr>
            <w:r>
              <w:rPr/>
              <w:t> </w:t>
            </w:r>
          </w:p>
        </w:tc>
        <w:tc>
          <w:tcPr>
            <w:tcW w:w="890" w:type="dxa"/>
            <w:tcBorders/>
            <w:tcMar>
              <w:bottom w:w="0" w:type="dxa"/>
            </w:tcMar>
            <w:vAlign w:val="center"/>
          </w:tcPr>
          <w:p>
            <w:pPr>
              <w:pStyle w:val="TableContents"/>
              <w:bidi w:val="0"/>
              <w:spacing w:before="0" w:after="283"/>
              <w:jc w:val="center"/>
              <w:rPr>
                <w:sz w:val="20"/>
              </w:rPr>
            </w:pPr>
            <w:bookmarkStart w:id="23" w:name="xdx_906_edei--TradingSymbol_c20260527__2"/>
            <w:bookmarkEnd w:id="23"/>
            <w:r>
              <w:rPr>
                <w:sz w:val="20"/>
              </w:rPr>
              <w:t>RWAYL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sz w:val="20"/>
              </w:rPr>
            </w:pPr>
            <w:bookmarkStart w:id="24" w:name="xdx_900_edei--SecurityExchangeName_c2026"/>
            <w:bookmarkEnd w:id="24"/>
            <w:r>
              <w:rPr>
                <w:sz w:val="20"/>
              </w:rPr>
              <w:t xml:space="preserve">Nasdaq Global Select Market </w:t>
            </w:r>
          </w:p>
        </w:tc>
      </w:tr>
      <w:tr>
        <w:trPr/>
        <w:tc>
          <w:tcPr>
            <w:tcW w:w="3410" w:type="dxa"/>
            <w:tcBorders/>
            <w:tcMar>
              <w:bottom w:w="0" w:type="dxa"/>
            </w:tcMar>
            <w:vAlign w:val="center"/>
          </w:tcPr>
          <w:p>
            <w:pPr>
              <w:pStyle w:val="TableContents"/>
              <w:bidi w:val="0"/>
              <w:spacing w:before="0" w:after="283"/>
              <w:jc w:val="center"/>
              <w:rPr/>
            </w:pPr>
            <w:bookmarkStart w:id="25" w:name="xdx_90A_edei--Security12bTitle_c20260527"/>
            <w:bookmarkEnd w:id="25"/>
            <w:r>
              <w:rPr/>
              <w:t>7.25% Notes due 2031</w:t>
            </w:r>
          </w:p>
        </w:tc>
        <w:tc>
          <w:tcPr>
            <w:tcW w:w="60" w:type="dxa"/>
            <w:tcBorders/>
            <w:tcMar>
              <w:bottom w:w="0" w:type="dxa"/>
            </w:tcMar>
            <w:vAlign w:val="center"/>
          </w:tcPr>
          <w:p>
            <w:pPr>
              <w:pStyle w:val="TableContents"/>
              <w:bidi w:val="0"/>
              <w:spacing w:before="0" w:after="283"/>
              <w:jc w:val="center"/>
              <w:rPr/>
            </w:pPr>
            <w:r>
              <w:rPr/>
              <w:t> </w:t>
            </w:r>
          </w:p>
        </w:tc>
        <w:tc>
          <w:tcPr>
            <w:tcW w:w="890" w:type="dxa"/>
            <w:tcBorders/>
            <w:tcMar>
              <w:bottom w:w="0" w:type="dxa"/>
            </w:tcMar>
            <w:vAlign w:val="center"/>
          </w:tcPr>
          <w:p>
            <w:pPr>
              <w:pStyle w:val="TableContents"/>
              <w:bidi w:val="0"/>
              <w:spacing w:before="0" w:after="283"/>
              <w:jc w:val="center"/>
              <w:rPr/>
            </w:pPr>
            <w:bookmarkStart w:id="26" w:name="xdx_909_edei--TradingSymbol_c20260527__2"/>
            <w:bookmarkEnd w:id="26"/>
            <w:r>
              <w:rPr/>
              <w:t>RWAYI</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pPr>
            <w:bookmarkStart w:id="27" w:name="xdx_90E_edei--SecurityExchangeName_c2026"/>
            <w:bookmarkEnd w:id="27"/>
            <w:r>
              <w:rPr/>
              <w:t>Nasdaq Global Select Market</w:t>
            </w:r>
          </w:p>
        </w:tc>
      </w:tr>
      <w:tr>
        <w:trPr/>
        <w:tc>
          <w:tcPr>
            <w:tcW w:w="3410" w:type="dxa"/>
            <w:tcBorders/>
            <w:tcMar>
              <w:bottom w:w="0" w:type="dxa"/>
            </w:tcMar>
            <w:vAlign w:val="center"/>
          </w:tcPr>
          <w:p>
            <w:pPr>
              <w:pStyle w:val="TableContents"/>
              <w:bidi w:val="0"/>
              <w:spacing w:before="0" w:after="283"/>
              <w:jc w:val="center"/>
              <w:rPr/>
            </w:pPr>
            <w:bookmarkStart w:id="28" w:name="xdx_905_edei--Security12bTitle_c20260527"/>
            <w:bookmarkEnd w:id="28"/>
            <w:r>
              <w:rPr/>
              <w:t>9.00% Notes due 2027</w:t>
            </w:r>
          </w:p>
        </w:tc>
        <w:tc>
          <w:tcPr>
            <w:tcW w:w="60" w:type="dxa"/>
            <w:tcBorders/>
            <w:tcMar>
              <w:bottom w:w="0" w:type="dxa"/>
            </w:tcMar>
            <w:vAlign w:val="center"/>
          </w:tcPr>
          <w:p>
            <w:pPr>
              <w:pStyle w:val="TableContents"/>
              <w:bidi w:val="0"/>
              <w:spacing w:before="0" w:after="283"/>
              <w:jc w:val="center"/>
              <w:rPr/>
            </w:pPr>
            <w:r>
              <w:rPr/>
              <w:t> </w:t>
            </w:r>
          </w:p>
        </w:tc>
        <w:tc>
          <w:tcPr>
            <w:tcW w:w="890" w:type="dxa"/>
            <w:tcBorders/>
            <w:tcMar>
              <w:bottom w:w="0" w:type="dxa"/>
            </w:tcMar>
            <w:vAlign w:val="center"/>
          </w:tcPr>
          <w:p>
            <w:pPr>
              <w:pStyle w:val="TableContents"/>
              <w:bidi w:val="0"/>
              <w:spacing w:before="0" w:after="283"/>
              <w:jc w:val="center"/>
              <w:rPr/>
            </w:pPr>
            <w:bookmarkStart w:id="29" w:name="xdx_90A_edei--TradingSymbol_c20260527__2"/>
            <w:bookmarkEnd w:id="29"/>
            <w:r>
              <w:rPr/>
              <w:t>SWKHL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pPr>
            <w:bookmarkStart w:id="30" w:name="xdx_901_edei--SecurityExchangeName_c2026"/>
            <w:bookmarkEnd w:id="30"/>
            <w:r>
              <w:rPr/>
              <w:t>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1" w:name="xdx_90B_edei--EntityEmergingGrowthCompan"/>
      <w:bookmarkEnd w:id="31"/>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32" w:name="xdx_906_edei--EntityExTransitionPeriod_c"/>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Runway Growth Finance Corp.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entered into an underwriting agreement (the “</w:t>
      </w:r>
      <w:r>
        <w:rPr>
          <w:rFonts w:ascii="Times New Roman;Times;Serif" w:hAnsi="Times New Roman;Times;Serif"/>
          <w:b/>
          <w:i/>
          <w:caps w:val="false"/>
          <w:smallCaps w:val="false"/>
          <w:sz w:val="20"/>
        </w:rPr>
        <w:t>Underwriting Agreement</w:t>
      </w:r>
      <w:r>
        <w:rPr>
          <w:rFonts w:ascii="Times New Roman;Times;Serif" w:hAnsi="Times New Roman;Times;Serif"/>
          <w:b w:val="false"/>
          <w:i w:val="false"/>
          <w:caps w:val="false"/>
          <w:smallCaps w:val="false"/>
          <w:sz w:val="20"/>
        </w:rPr>
        <w:t>”) by and among the Company, Runway Growth Capital LLC and Oppenheimer &amp; Co. Inc., as representative of the underwriters named therein, in connection with the issuance and sale of $50,000,000 aggregate principal amount of the Company’s 7.00% Notes due 2029 (the “</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May 29, 2026, the Company and U.S. Bank Trust Company, National Association, as trustee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entered into the Fourth Supplemental Indenture (the “</w:t>
      </w:r>
      <w:r>
        <w:rPr>
          <w:rFonts w:ascii="Times New Roman;Times;Serif" w:hAnsi="Times New Roman;Times;Serif"/>
          <w:b/>
          <w:i/>
          <w:caps w:val="false"/>
          <w:smallCaps w:val="false"/>
          <w:sz w:val="20"/>
        </w:rPr>
        <w:t>Fourth Supplemental Indenture</w:t>
      </w:r>
      <w:r>
        <w:rPr>
          <w:rFonts w:ascii="Times New Roman;Times;Serif" w:hAnsi="Times New Roman;Times;Serif"/>
          <w:b w:val="false"/>
          <w:i w:val="false"/>
          <w:caps w:val="false"/>
          <w:smallCaps w:val="false"/>
          <w:sz w:val="20"/>
        </w:rPr>
        <w:t>”) to the Base Indenture, dated July 28, 2022, between the Company and the Trustee (together with the Fourth Supplemental Indenture,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The Fourth Supplemental Indenture relates to the Company’s issuance, offering and sale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will mature on December 1, 2029, unless previously redeemed or repurchased in accordance with their terms. The interest rate of the Notes is 7.00% per year and will be paid semi-annually on June 1 and December 1, commencing December 1, 2026. The Notes are the Company’s direct unsecured obligations and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Company’s existing and future unsecured, unsubordinated indebtedness, including the Company’s 7.50% Notes due 2027, 9.00% Senior Notes due 2027, the 7.51% Series 2025A Senior Notes due 2028 and the 7.25% Notes due 2031; senior to any series of preferred stock that it may issue in the future; senior to any of the Company’s future indebtedness that expressly provides it is subordinated to the Notes; effectively subordinated to all of the Company’s existing and future secured indebtedness (including indebtedness that is initially unsecured to which the Company subsequently grants security), to the extent of the value of the assets securing such indebtedness, including, without limitation, borrowings under the Company’s Credit Agreement with KeyBank National Association (the “</w:t>
      </w:r>
      <w:r>
        <w:rPr>
          <w:rFonts w:ascii="Times New Roman;Times;Serif" w:hAnsi="Times New Roman;Times;Serif"/>
          <w:b/>
          <w:i/>
          <w:caps w:val="false"/>
          <w:smallCaps w:val="false"/>
          <w:sz w:val="20"/>
        </w:rPr>
        <w:t>Credit Facility</w:t>
      </w:r>
      <w:r>
        <w:rPr>
          <w:rFonts w:ascii="Times New Roman;Times;Serif" w:hAnsi="Times New Roman;Times;Serif"/>
          <w:b w:val="false"/>
          <w:i w:val="false"/>
          <w:caps w:val="false"/>
          <w:smallCaps w:val="false"/>
          <w:sz w:val="20"/>
        </w:rPr>
        <w:t>”); and structurally subordinated to all existing and future indebtedness and other obligations of any of the Company’s existing or future subsidiaries, financing vehicles or similar facilities, including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may be redeemed in whole or in part at any time or from time to time at the Company’s option prior to June 1, 2029 (the “</w:t>
      </w:r>
      <w:r>
        <w:rPr>
          <w:rFonts w:ascii="Times New Roman;Times;Serif" w:hAnsi="Times New Roman;Times;Serif"/>
          <w:b/>
          <w:i/>
          <w:caps w:val="false"/>
          <w:smallCaps w:val="false"/>
          <w:sz w:val="20"/>
        </w:rPr>
        <w:t>Par Call Date</w:t>
      </w:r>
      <w:r>
        <w:rPr>
          <w:rFonts w:ascii="Times New Roman;Times;Serif" w:hAnsi="Times New Roman;Times;Serif"/>
          <w:b w:val="false"/>
          <w:i w:val="false"/>
          <w:caps w:val="false"/>
          <w:smallCaps w:val="false"/>
          <w:sz w:val="20"/>
        </w:rPr>
        <w:t>”) at a redemption price (expressed as a percentage of the principal amount and rounded to three decimal places) equal to the greater of: (1)(a) the sum of the present values of the remaining scheduled payments of principal and interest thereon discounted to the redemption date on a semi-annual basis at the Treasury Rate plus 50 basis points less (b) interest accrued to the date of redemption, and (2) 100% of the principal amount of the Notes to be redeemed, plus, in either case, accrued and unpaid interest thereon to, but not including, the redemption date. On or after the Par Call Date, the Company may redeem the Notes, in whole or in part, at any time and from time to time, at a redemption price equal to 100% of the principal amount of the Notes being redeemed plus accrued and unpaid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upon the occurrence of a “change of control repurchase event” (as defined in the Fourth Supplemental Indenture) prior to the maturity of the Notes, unless the Company has exercised its right to redeem the Notes in full, holders will have the right, at their option, to require the Company to repurchase for cash some or all of the Notes at a repurchase price equal to 100% of the principal amount of the Notes being repurchased, plus accrued and unpaid interest to, but not including, the repurchase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certain covenants, including covenants requiring the Company to comply with Section 18(a)(1)(A) as modified by Section 61(a)(2) of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 or any successor provisions to comply with Section 18(a)(1)(B) as modified by Section 61(a)(2) of the 1940 Act, or any successor provisions, whether or not the Company continues to be subject to such provisions of the 1940 Act, but giving effect, in either case, to any exemptive relief granted to the Company by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and certain other exceptions, and to provide financial information to the holders of the Notes and the Trustee if the Company should no longer be subject to the reporting requirements under the Securities Exchange Act of 1934, as amended. These covenants are subject to important limitations and exceptions that are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offered and sold in an offering registered under the Securities Act of 1933, as amended, pursuant to the Company’s registration statement on Form N-2 (Registration No. 333-284781) previously filed with the SEC, as supplemented by a free writing prospectus dated May 27, 2026 and a final prospectus supplement dated May 27, 2026. 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 The transaction closed on May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this offering (a) to repay outstanding indebtedness under the Company’s Credit Facility, and (b) for other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Fourth Supplemental Indenture and the Notes do not purport to be complete and are qualified in their entirety by reference to the full text of the Underwriting Agreement, the Fourth Supplemental Indenture and the form of global note representing the Notes, respectively, each filed or incorporated by reference as exhibits hereto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16014d1_ex1-1.htm">
              <w:r>
                <w:rPr>
                  <w:rStyle w:val="InternetLink"/>
                  <w:rFonts w:ascii="Times New Roman;Times;Serif" w:hAnsi="Times New Roman;Times;Serif"/>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16014d1_ex1-1.htm">
              <w:r>
                <w:rPr>
                  <w:rStyle w:val="InternetLink"/>
                  <w:rFonts w:ascii="Times New Roman;Times;Serif" w:hAnsi="Times New Roman;Times;Serif"/>
                  <w:sz w:val="20"/>
                </w:rPr>
                <w:t>Underwriting Agreement, dated as of May 27, 2026, by and among Runway Growth Finance Corp., Runway Growth Capital LLC and Oppenheimer &amp; Co. Inc.</w:t>
              </w:r>
            </w:hyperlink>
          </w:p>
        </w:tc>
      </w:tr>
      <w:tr>
        <w:trPr/>
        <w:tc>
          <w:tcPr>
            <w:tcW w:w="725" w:type="dxa"/>
            <w:tcBorders/>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Indenture, dated July 28, 2022, by and between Runway Growth Finance Corp. and U.S. Bank Trust Company, National Association, as trustee (Incorporated by reference to Exhibit 4.1 to the Company’s Current Report on Form 8-K filed with the SEC on July 28, 2022).</w:t>
              </w:r>
            </w:hyperlink>
          </w:p>
        </w:tc>
      </w:tr>
      <w:tr>
        <w:trPr/>
        <w:tc>
          <w:tcPr>
            <w:tcW w:w="725" w:type="dxa"/>
            <w:tcBorders/>
            <w:tcMar>
              <w:bottom w:w="0" w:type="dxa"/>
            </w:tcMar>
            <w:vAlign w:val="center"/>
          </w:tcPr>
          <w:p>
            <w:pPr>
              <w:pStyle w:val="TableContents"/>
              <w:bidi w:val="0"/>
              <w:spacing w:before="0" w:after="283"/>
              <w:jc w:val="left"/>
              <w:rPr/>
            </w:pPr>
            <w:hyperlink w:anchor="tm2616014d1_ex4-2.htm">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16014d1_ex4-2.htm">
              <w:r>
                <w:rPr>
                  <w:rStyle w:val="InternetLink"/>
                  <w:rFonts w:ascii="Times New Roman;Times;Serif" w:hAnsi="Times New Roman;Times;Serif"/>
                  <w:sz w:val="20"/>
                </w:rPr>
                <w:t>Fourth Supplemental Indenture, dated May 29, 2026, between Runway Growth Finance Corp. and U.S. Bank Trust Company, National Association, as trustee.</w:t>
              </w:r>
            </w:hyperlink>
          </w:p>
        </w:tc>
      </w:tr>
      <w:tr>
        <w:trPr/>
        <w:tc>
          <w:tcPr>
            <w:tcW w:w="725" w:type="dxa"/>
            <w:tcBorders/>
            <w:tcMar>
              <w:bottom w:w="0" w:type="dxa"/>
            </w:tcMar>
            <w:vAlign w:val="center"/>
          </w:tcPr>
          <w:p>
            <w:pPr>
              <w:pStyle w:val="TableContents"/>
              <w:bidi w:val="0"/>
              <w:spacing w:before="0" w:after="283"/>
              <w:jc w:val="left"/>
              <w:rPr/>
            </w:pPr>
            <w:hyperlink w:anchor="tm2616014d1_ex4-2.htm">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16014d1_ex4-2.htm">
              <w:r>
                <w:rPr>
                  <w:rStyle w:val="InternetLink"/>
                  <w:rFonts w:ascii="Times New Roman;Times;Serif" w:hAnsi="Times New Roman;Times;Serif"/>
                  <w:sz w:val="20"/>
                </w:rPr>
                <w:t xml:space="preserve">Form of Global Note (included in Exhibit 4.2 hereto) </w:t>
              </w:r>
            </w:hyperlink>
          </w:p>
        </w:tc>
      </w:tr>
      <w:tr>
        <w:trPr/>
        <w:tc>
          <w:tcPr>
            <w:tcW w:w="725" w:type="dxa"/>
            <w:tcBorders/>
            <w:tcMar>
              <w:bottom w:w="0" w:type="dxa"/>
            </w:tcMar>
            <w:vAlign w:val="center"/>
          </w:tcPr>
          <w:p>
            <w:pPr>
              <w:pStyle w:val="TableContents"/>
              <w:bidi w:val="0"/>
              <w:spacing w:before="0" w:after="283"/>
              <w:jc w:val="left"/>
              <w:rPr/>
            </w:pPr>
            <w:hyperlink w:anchor="tm2616014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16014d1_ex5-1.htm">
              <w:r>
                <w:rPr>
                  <w:rStyle w:val="InternetLink"/>
                  <w:rFonts w:ascii="Times New Roman;Times;Serif" w:hAnsi="Times New Roman;Times;Serif"/>
                  <w:sz w:val="20"/>
                </w:rPr>
                <w:t xml:space="preserve">Opinion of Dechert LLP </w:t>
              </w:r>
            </w:hyperlink>
          </w:p>
        </w:tc>
      </w:tr>
      <w:tr>
        <w:trPr/>
        <w:tc>
          <w:tcPr>
            <w:tcW w:w="725" w:type="dxa"/>
            <w:tcBorders/>
            <w:tcMar>
              <w:bottom w:w="0" w:type="dxa"/>
            </w:tcMar>
            <w:vAlign w:val="center"/>
          </w:tcPr>
          <w:p>
            <w:pPr>
              <w:pStyle w:val="TableContents"/>
              <w:bidi w:val="0"/>
              <w:spacing w:before="0" w:after="283"/>
              <w:jc w:val="left"/>
              <w:rPr/>
            </w:pPr>
            <w:hyperlink w:anchor="tm2616014d1_ex5-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16014d1_ex5-1.htm">
              <w:r>
                <w:rPr>
                  <w:rStyle w:val="InternetLink"/>
                  <w:rFonts w:ascii="Times New Roman;Times;Serif" w:hAnsi="Times New Roman;Times;Serif"/>
                  <w:sz w:val="20"/>
                </w:rPr>
                <w:t xml:space="preserve">Consent of Dechert LLP (included in Exhibit 5.1 hereto) </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890" w:type="dxa"/>
        <w:jc w:val="left"/>
        <w:tblInd w:w="0" w:type="dxa"/>
        <w:tblLayout w:type="fixed"/>
        <w:tblCellMar>
          <w:top w:w="0" w:type="dxa"/>
          <w:left w:w="0" w:type="dxa"/>
          <w:bottom w:w="0" w:type="dxa"/>
          <w:right w:w="0" w:type="dxa"/>
        </w:tblCellMar>
      </w:tblPr>
      <w:tblGrid>
        <w:gridCol w:w="1655"/>
        <w:gridCol w:w="365"/>
        <w:gridCol w:w="5870"/>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29, 2026</w:t>
            </w:r>
          </w:p>
        </w:tc>
        <w:tc>
          <w:tcPr>
            <w:tcW w:w="62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RUNWAY GROWTH FINANCE CORP.</w:t>
            </w:r>
          </w:p>
        </w:tc>
      </w:tr>
      <w:tr>
        <w:trPr/>
        <w:tc>
          <w:tcPr>
            <w:tcW w:w="1655" w:type="dxa"/>
            <w:tcBorders/>
            <w:vAlign w:val="center"/>
          </w:tcPr>
          <w:p>
            <w:pPr>
              <w:pStyle w:val="TableContents"/>
              <w:bidi w:val="0"/>
              <w:spacing w:before="0" w:after="283"/>
              <w:jc w:val="left"/>
              <w:rPr/>
            </w:pPr>
            <w:r>
              <w:rPr/>
              <w:t> </w:t>
            </w:r>
          </w:p>
        </w:tc>
        <w:tc>
          <w:tcPr>
            <w:tcW w:w="6235"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8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Thomas B. Raterman</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B. Raterman</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 Chief Financial Officer, Treasurer and Secretary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pPr>
      <w:bookmarkStart w:id="33" w:name="tm2616014d1_ex1-1.htm"/>
      <w:bookmarkStart w:id="34" w:name="kstm2616014d1_ex11"/>
      <w:bookmarkEnd w:id="33"/>
      <w:bookmarkEnd w:id="3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RUNWAY GROWTH FINANCE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Maryland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Oppenheimer &amp; Co.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Broad Street, 23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 of the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Underwriters named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Runway Growth Finance Corp., a Maryland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proposes to issue and sell to the Underwriters named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for whom Oppenheimer &amp; Co. Inc. is acting as representative (in such capacity, the “</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 $50,000,000 aggregate principal amount of 7.00% Notes due 2029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hereinafter referred to as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The Securities will be issued under an indenture dated as of July 28, 2022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as supplemented by the Fourth Supplemental Indenture dated as of May 29, 2026 (the “</w:t>
      </w:r>
      <w:r>
        <w:rPr>
          <w:rFonts w:ascii="Times New Roman;Times;Serif" w:hAnsi="Times New Roman;Times;Serif"/>
          <w:b/>
          <w:i w:val="false"/>
          <w:caps w:val="false"/>
          <w:smallCaps w:val="false"/>
          <w:sz w:val="20"/>
        </w:rPr>
        <w:t>Fourth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Company and U.S. Bank Trust Company,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The Securities will be issued to Cede &amp; Co. as nominee of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pursuant to a blanket letter of representations dated as of July 18, 2022 (the “</w:t>
      </w:r>
      <w:r>
        <w:rPr>
          <w:rFonts w:ascii="Times New Roman;Times;Serif" w:hAnsi="Times New Roman;Times;Serif"/>
          <w:b/>
          <w:i w:val="false"/>
          <w:caps w:val="false"/>
          <w:smallCaps w:val="false"/>
          <w:sz w:val="20"/>
        </w:rPr>
        <w:t>DTC Agreement</w:t>
      </w:r>
      <w:r>
        <w:rPr>
          <w:rFonts w:ascii="Times New Roman;Times;Serif" w:hAnsi="Times New Roman;Times;Serif"/>
          <w:b w:val="false"/>
          <w:i w:val="false"/>
          <w:caps w:val="false"/>
          <w:smallCaps w:val="false"/>
          <w:sz w:val="20"/>
        </w:rPr>
        <w:t>”) between the Company and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pursuant to the Securities Act of 1933, as amended (collectively with the rules and regulations of the Commission promulgated thereunder,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shelf registration statement on Form N-2 (File No. 333-284781), which registered the offer and sale of certain securities to be issued from time to time by the Company, including the Notes. Such registration statement was declared effective by the Commission on March 19, 2025. The registration statement as amended as of its most recent effective date, including the exhibits and schedules thereto, all documents incorporated or deemed to be incorporated in the registration statement by reference, any information contained in a prospectus supplement relating to the Securities subsequently filed with the Commission pursuant to Rule 424 under the Securities Act (“</w:t>
      </w:r>
      <w:r>
        <w:rPr>
          <w:rFonts w:ascii="Times New Roman;Times;Serif" w:hAnsi="Times New Roman;Times;Serif"/>
          <w:b/>
          <w:i w:val="false"/>
          <w:caps w:val="false"/>
          <w:smallCaps w:val="false"/>
          <w:sz w:val="20"/>
        </w:rPr>
        <w:t>Rule 424</w:t>
      </w:r>
      <w:r>
        <w:rPr>
          <w:rFonts w:ascii="Times New Roman;Times;Serif" w:hAnsi="Times New Roman;Times;Serif"/>
          <w:b w:val="false"/>
          <w:i w:val="false"/>
          <w:caps w:val="false"/>
          <w:smallCaps w:val="false"/>
          <w:sz w:val="20"/>
        </w:rPr>
        <w:t>”) and deemed to be a part of the registration statement at the time of effectiveness pursuant to Rule 430B under the Securities Act (“</w:t>
      </w:r>
      <w:r>
        <w:rPr>
          <w:rFonts w:ascii="Times New Roman;Times;Serif" w:hAnsi="Times New Roman;Times;Serif"/>
          <w:b/>
          <w:i w:val="false"/>
          <w:caps w:val="false"/>
          <w:smallCaps w:val="false"/>
          <w:sz w:val="20"/>
        </w:rPr>
        <w:t>Rule 430B</w:t>
      </w:r>
      <w:r>
        <w:rPr>
          <w:rFonts w:ascii="Times New Roman;Times;Serif" w:hAnsi="Times New Roman;Times;Serif"/>
          <w:b w:val="false"/>
          <w:i w:val="false"/>
          <w:caps w:val="false"/>
          <w:smallCaps w:val="false"/>
          <w:sz w:val="20"/>
        </w:rPr>
        <w:t>”), any registration statement filed pursuant to Rule 462(b) under the Securities Act (“</w:t>
      </w:r>
      <w:r>
        <w:rPr>
          <w:rFonts w:ascii="Times New Roman;Times;Serif" w:hAnsi="Times New Roman;Times;Serif"/>
          <w:b/>
          <w:i w:val="false"/>
          <w:caps w:val="false"/>
          <w:smallCaps w:val="false"/>
          <w:sz w:val="20"/>
        </w:rPr>
        <w:t>Rule 462(b)</w:t>
      </w:r>
      <w:r>
        <w:rPr>
          <w:rFonts w:ascii="Times New Roman;Times;Serif" w:hAnsi="Times New Roman;Times;Serif"/>
          <w:b w:val="false"/>
          <w:i w:val="false"/>
          <w:caps w:val="false"/>
          <w:smallCaps w:val="false"/>
          <w:sz w:val="20"/>
        </w:rPr>
        <w:t>”), and any post-effective amendment thereto, is hereinafter referred to as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prospectus included in the Registration Statement as of its most recent effective date, including documents incorporated or deemed to be incorporated therein by reference, is hereinafter referred to as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The Company will file with the Commission, in accordance with Rule 424, a final prospectus supplement, including documents incorporated or deemed to be incorporated therein by reference (the “</w:t>
      </w:r>
      <w:r>
        <w:rPr>
          <w:rFonts w:ascii="Times New Roman;Times;Serif" w:hAnsi="Times New Roman;Times;Serif"/>
          <w:b/>
          <w:i w:val="false"/>
          <w:caps w:val="false"/>
          <w:smallCaps w:val="false"/>
          <w:sz w:val="20"/>
        </w:rPr>
        <w:t>Final Prospectus Supplement</w:t>
      </w:r>
      <w:r>
        <w:rPr>
          <w:rFonts w:ascii="Times New Roman;Times;Serif" w:hAnsi="Times New Roman;Times;Serif"/>
          <w:b w:val="false"/>
          <w:i w:val="false"/>
          <w:caps w:val="false"/>
          <w:smallCaps w:val="false"/>
          <w:sz w:val="20"/>
        </w:rPr>
        <w:t>”), supplementing the Base Prospectus in connection with the offer and sale of the Notes. The Base Prospectus and the Final Prospectus Supplement are hereinafter referred to collectively as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Any reference herein to the Registration Statement, the Base Prospectus, the Final Prospectus Supplement or the Prospectus shall be deemed to refer to and include any supplements or amendments thereto, filed with the Commission after the date of filing of the Prospectus under Rule 424 and prior to the termination of the offering of the Notes by the Representative. All references in this Agreement to financial statements and schedules and other information which is “included” or “stated” in the Registration Statement or the Prospectus (and all other references of like import) shall be deemed to mean and include all such financial statements and schedules and other information which is or is deemed to be incorporated in or otherwise deemed to be a part of or included in the Registration Statement or the Prospectus, as the case may be, as of any specified date; and all references in this Agreement to amendments or supplements to the Registration Statement or the Prospectus, including those made pursuant to Rule 424 or such other rule under the Securities Act as may be applicable to the Company, shall be deemed to mean and include, without limitation, the filing of any document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which is or is deemed to be incorporated by reference in the Registration Statement or the Prospectus, as the case may be, as of any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the Third Amended and Restated Investment Advisory Agreement, dated as of January 30, 2025 (the “</w:t>
      </w:r>
      <w:r>
        <w:rPr>
          <w:rFonts w:ascii="Times New Roman;Times;Serif" w:hAnsi="Times New Roman;Times;Serif"/>
          <w:b/>
          <w:i w:val="false"/>
          <w:caps w:val="false"/>
          <w:smallCaps w:val="false"/>
          <w:sz w:val="20"/>
        </w:rPr>
        <w:t>Investment Advisory Agreement</w:t>
      </w:r>
      <w:r>
        <w:rPr>
          <w:rFonts w:ascii="Times New Roman;Times;Serif" w:hAnsi="Times New Roman;Times;Serif"/>
          <w:b w:val="false"/>
          <w:i w:val="false"/>
          <w:caps w:val="false"/>
          <w:smallCaps w:val="false"/>
          <w:sz w:val="20"/>
        </w:rPr>
        <w:t>”), with Runway Growth Capital LLC, a Delaware limited liability company registered as an investment adviser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under the Investment Advisers Act of 1940, as amended, and the rules and regulations thereunder (the “</w:t>
      </w:r>
      <w:r>
        <w:rPr>
          <w:rFonts w:ascii="Times New Roman;Times;Serif" w:hAnsi="Times New Roman;Times;Serif"/>
          <w:b/>
          <w:i w:val="false"/>
          <w:caps w:val="false"/>
          <w:smallCaps w:val="false"/>
          <w:sz w:val="20"/>
        </w:rPr>
        <w:t>Advisers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entered into the Amended and Restated Administration Agreement, dated as of June 28, 2021 (the “</w:t>
      </w:r>
      <w:r>
        <w:rPr>
          <w:rFonts w:ascii="Times New Roman;Times;Serif" w:hAnsi="Times New Roman;Times;Serif"/>
          <w:b/>
          <w:i w:val="false"/>
          <w:caps w:val="false"/>
          <w:smallCaps w:val="false"/>
          <w:sz w:val="20"/>
        </w:rPr>
        <w:t>Administration Agreement</w:t>
      </w:r>
      <w:r>
        <w:rPr>
          <w:rFonts w:ascii="Times New Roman;Times;Serif" w:hAnsi="Times New Roman;Times;Serif"/>
          <w:b w:val="false"/>
          <w:i w:val="false"/>
          <w:caps w:val="false"/>
          <w:smallCaps w:val="false"/>
          <w:sz w:val="20"/>
        </w:rPr>
        <w:t>”), with Runway Administrator Services LLC, a Delaware limited liability company (the “</w:t>
      </w:r>
      <w:r>
        <w:rPr>
          <w:rFonts w:ascii="Times New Roman;Times;Serif" w:hAnsi="Times New Roman;Times;Serif"/>
          <w:b/>
          <w:i w:val="false"/>
          <w:caps w:val="false"/>
          <w:smallCaps w:val="false"/>
          <w:sz w:val="20"/>
        </w:rPr>
        <w:t>Administrator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means 4:00 P.M., New York City time, on May 27, 2026, or such other time as agreed by the Company and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General Disclosure Package</w:t>
      </w:r>
      <w:r>
        <w:rPr>
          <w:rFonts w:ascii="Times New Roman;Times;Serif" w:hAnsi="Times New Roman;Times;Serif"/>
          <w:b w:val="false"/>
          <w:i w:val="false"/>
          <w:caps w:val="false"/>
          <w:smallCaps w:val="false"/>
          <w:sz w:val="20"/>
        </w:rPr>
        <w:t xml:space="preserve">” means (i) the Base Prospectus, and (ii) the information included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604"/>
        <w:gridCol w:w="9487"/>
      </w:tblGrid>
      <w:tr>
        <w:trPr/>
        <w:tc>
          <w:tcPr>
            <w:tcW w:w="1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pPr>
            <w:r>
              <w:rPr/>
              <w:t>1.</w:t>
            </w:r>
          </w:p>
        </w:tc>
        <w:tc>
          <w:tcPr>
            <w:tcW w:w="9487" w:type="dxa"/>
            <w:tcBorders/>
            <w:vAlign w:val="center"/>
          </w:tcPr>
          <w:p>
            <w:pPr>
              <w:pStyle w:val="TableContents"/>
              <w:bidi w:val="0"/>
              <w:spacing w:before="0" w:after="283"/>
              <w:jc w:val="both"/>
              <w:rPr>
                <w:i/>
              </w:rPr>
            </w:pPr>
            <w:r>
              <w:rPr>
                <w:i/>
              </w:rPr>
              <w:t>Representations and Warranties.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Representations and Warranties of the Company.</w:t>
      </w:r>
      <w:r>
        <w:rPr>
          <w:rFonts w:ascii="Times New Roman;Times;Serif" w:hAnsi="Times New Roman;Times;Serif"/>
          <w:b w:val="false"/>
          <w:i w:val="false"/>
          <w:caps w:val="false"/>
          <w:smallCaps w:val="false"/>
          <w:sz w:val="20"/>
        </w:rPr>
        <w:t xml:space="preserve"> The Company represents and warrants to each Underwriter as of the date hereof, the Applicable Time, and the Closing Date (as defined below), and agrees with each Underwriter,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Registration Statement has become effective, no stop order suspending the effectiveness of the Registration Statement is in effect, and no proceedings for such purpose are pending before or, to the knowledge of the Company,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Company is eligible to use Form N-2. In addition, (A) the Registration Statement, when it most recently became effective, did not contain and, as amended or supplemented, if applicable, will not contain any untrue statement of a material fact or omit to state a material fact required to be stated therein or necessary to make the statements therein not misleading, (B) the Registration Statement, General Disclosure Package and the Prospectus comply and, as amended or supplemented, if applicable, will comply in all material respects with the Securities Act and the applicable rules and regulations of the Commission promulgated thereunder, (C) the General Disclosure Package does not, and, at the time of sale of the Securities in connection with the offering when the Prospectus is not yet available to prospective purchasers and at the Closing Date (as defined below), the General Disclosure Package, as then amended or supplemented by the Company, if applicable, will not, contain any untrue statement of a material fact or omit to state a material fact necessary to make the statements therein, in the light of the circumstances under which they were made, not misleading, (D) each Additional Disclosure Item (as defined below) listed on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 does not and will not conflict with the information contained in the Registration Statement or the General Disclosure Package and each such Additional Disclosure Item, as supplemented by and taken together with the General Disclosure Package as of the Applicable Time, did not and will not include any untrue statement of a material fact or omit to state any material fact necessary in order to make the statements therein, in the light of the circumstances under which they were made, not misleading, and (E) the Prospectus, as of the date thereof, does not contain and, as of the Closing Date (as defined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as amended or supplemented, if applicable, will not contain any untrue statement of a material fact or omit to state a material fact necessary to make the statements therein, in the light of the circumstances under which they were made, not misleading;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representations and warranties in this paragraph shall not apply to statements in or omissions from the Registration Statement, the General Disclosure Package or the Prospectus, or any amendments or supplements thereto, made in reliance upon and in conformity with information relating to any Underwriter furnished to the Company in writing by any Underwriter expressly for use in the Registration Statement, the General Disclosure Package or the Prospectus (the “</w:t>
      </w:r>
      <w:r>
        <w:rPr>
          <w:rFonts w:ascii="Times New Roman;Times;Serif" w:hAnsi="Times New Roman;Times;Serif"/>
          <w:b/>
          <w:i w:val="false"/>
          <w:caps w:val="false"/>
          <w:smallCaps w:val="false"/>
          <w:sz w:val="20"/>
        </w:rPr>
        <w:t>Underwriter Information</w:t>
      </w:r>
      <w:r>
        <w:rPr>
          <w:rFonts w:ascii="Times New Roman;Times;Serif" w:hAnsi="Times New Roman;Times;Serif"/>
          <w:b w:val="false"/>
          <w:i w:val="false"/>
          <w:caps w:val="false"/>
          <w:smallCaps w:val="false"/>
          <w:sz w:val="20"/>
        </w:rPr>
        <w:t>”), it being understood and agreed that the Underwriter Information solely consists of the following information in the Final Prospectus Supplement furnished on behalf of each Underwriter: (1) the names and corresponding principal amount of Notes set forth in the table after the first paragraph of text under the caption “Underwriting” in the Prospectus; (2) the fifth paragraph of text under the caption “Underwriting” in the Prospectus concerning the terms of the offering by the Underwriters; (3) the first and second sentences of the second paragraph of text under the caption “Underwriting—New Listing of Notes” in the Prospectus; and (4) the text under the caption “Underwriting—Price Stabilization and Short Positions”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Exchange Act Conformance</w:t>
      </w:r>
      <w:r>
        <w:rPr>
          <w:rFonts w:ascii="Times New Roman;Times;Serif" w:hAnsi="Times New Roman;Times;Serif"/>
          <w:b w:val="false"/>
          <w:i w:val="false"/>
          <w:caps w:val="false"/>
          <w:smallCaps w:val="false"/>
          <w:sz w:val="20"/>
        </w:rPr>
        <w:t>. The documents incorporated by reference in each of the Registration Statement and the Prospectus, when they became effective or were filed with the Commission, as the case may be, conformed or will conform in all material respects to the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Company Not Ineligible Issuer</w:t>
      </w:r>
      <w:r>
        <w:rPr>
          <w:rFonts w:ascii="Times New Roman;Times;Serif" w:hAnsi="Times New Roman;Times;Serif"/>
          <w:b w:val="false"/>
          <w:i w:val="false"/>
          <w:caps w:val="false"/>
          <w:smallCaps w:val="false"/>
          <w:sz w:val="20"/>
        </w:rPr>
        <w:t xml:space="preserve">. At the time of filing the Registration Statement and any post-effective amendment thereto, at the earliest time thereafter that the Company or another offering participant made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 (within the meaning of Rule 164(h)(2) under the Securities Act) of the Securities and at the date hereof, the Company was not and is not an “ineligible issuer,” as defined in Rule 405 under the Securities Act (“</w:t>
      </w:r>
      <w:r>
        <w:rPr>
          <w:rFonts w:ascii="Times New Roman;Times;Serif" w:hAnsi="Times New Roman;Times;Serif"/>
          <w:b/>
          <w:i w:val="false"/>
          <w:caps w:val="false"/>
          <w:smallCaps w:val="false"/>
          <w:sz w:val="20"/>
        </w:rPr>
        <w:t>Rule 405</w:t>
      </w:r>
      <w:r>
        <w:rPr>
          <w:rFonts w:ascii="Times New Roman;Times;Serif" w:hAnsi="Times New Roman;Times;Serif"/>
          <w:b w:val="false"/>
          <w:i w:val="false"/>
          <w:caps w:val="false"/>
          <w:smallCaps w:val="false"/>
          <w:sz w:val="20"/>
        </w:rPr>
        <w:t>”), without taking account of any determination by the Commission pursuant to Rule 405 that it is not necessary that the Company be considered an ineligible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Emerging Growth Company Status</w:t>
      </w:r>
      <w:r>
        <w:rPr>
          <w:rFonts w:ascii="Times New Roman;Times;Serif" w:hAnsi="Times New Roman;Times;Serif"/>
          <w:b w:val="false"/>
          <w:i w:val="false"/>
          <w:caps w:val="false"/>
          <w:smallCaps w:val="false"/>
          <w:sz w:val="20"/>
        </w:rPr>
        <w:t>. The Company is an “emerging growth company,” as defined in Section 2(a)(19) of the Securities Act (an “</w:t>
      </w:r>
      <w:r>
        <w:rPr>
          <w:rFonts w:ascii="Times New Roman;Times;Serif" w:hAnsi="Times New Roman;Times;Serif"/>
          <w:b/>
          <w:i w:val="false"/>
          <w:caps w:val="false"/>
          <w:smallCaps w:val="false"/>
          <w:sz w:val="20"/>
        </w:rPr>
        <w:t>Emerging Growth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The accountants who certified the financial statements and supporting schedules included in the Registration Statement, the General Disclosure Package and the Prospectus are independent public accountants as required by the Securities Act, the Exchange Act and the Public Company Accounting Oversight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financial statements included or incorporated by reference in the Registration Statement, the General Disclosure Package and the Prospectus, together with the related schedules and notes, present fairly in all material respects the financial position of the Company at the dates indicated and the results of their operations and the changes in the cash flows for the periods specified, and said financial statements have been prepared in conformity with U.S. generally 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applied on a consistent basis throughout the periods involved. The supporting schedules included in the Registration Statement, if any, present fairly in all material respects in accordance with GAAP the information required to be stated therein. No historical or pro forma financial statements or supporting schedules are required to be included in the Registration Statement, the General Disclosure Package or the Prospectus under the Securities Act that are not so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No Material Adverse Change in Business</w:t>
      </w:r>
      <w:r>
        <w:rPr>
          <w:rFonts w:ascii="Times New Roman;Times;Serif" w:hAnsi="Times New Roman;Times;Serif"/>
          <w:b w:val="false"/>
          <w:i w:val="false"/>
          <w:caps w:val="false"/>
          <w:smallCaps w:val="false"/>
          <w:sz w:val="20"/>
        </w:rPr>
        <w:t>. Since the respective dates as of which information is given in the Registration Statement, the General Disclosure Package or the Prospectus, except as disclosed in the Registration Statement, the General Disclosure Package or the Prospectus, (A) there has been no material adverse change in the condition, financial or otherwise, or in the earnings, business affairs or business prospects of the Company, whether or not arising in the ordinary course of business (a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(B) there have been no transactions entered into by the Company, other than those in the ordinary course of business, which are material with respect to the Company, and (C) there has been no dividend or distribution of any kind declared, paid or made by the Company on any class of its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Good Standing of the Company</w:t>
      </w:r>
      <w:r>
        <w:rPr>
          <w:rFonts w:ascii="Times New Roman;Times;Serif" w:hAnsi="Times New Roman;Times;Serif"/>
          <w:b w:val="false"/>
          <w:i w:val="false"/>
          <w:caps w:val="false"/>
          <w:smallCaps w:val="false"/>
          <w:sz w:val="20"/>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the General Disclosure Package and the Prospectus, to perform its obligations under the Investment Advisory Agreement and the Administration Agreement,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No Significant Subsidiaries of the Company; Portfolio Companies</w:t>
      </w:r>
      <w:r>
        <w:rPr>
          <w:rFonts w:ascii="Times New Roman;Times;Serif" w:hAnsi="Times New Roman;Times;Serif"/>
          <w:b w:val="false"/>
          <w:i w:val="false"/>
          <w:caps w:val="false"/>
          <w:smallCaps w:val="false"/>
          <w:sz w:val="20"/>
        </w:rPr>
        <w:t>. The Company does not own any significant subsidiaries, as defined in Rule 1-02(w) of Regulation S-X, that are consolidated with the Company for financial reporting purposes under GAAP as of the date hereof. Except for any investments made in the ordinary course of business since the most recent quarter-end, the Company does not own, directly or indirectly, any investments or shares of stock or any other equity or long-term debt securities of any corporation or other entity other than those corporations or other entities described in the Registration Statement, the General Disclosure Package and the Prospectus (each, a “</w:t>
      </w:r>
      <w:r>
        <w:rPr>
          <w:rFonts w:ascii="Times New Roman;Times;Serif" w:hAnsi="Times New Roman;Times;Serif"/>
          <w:b/>
          <w:i w:val="false"/>
          <w:caps w:val="false"/>
          <w:smallCaps w:val="false"/>
          <w:sz w:val="20"/>
        </w:rPr>
        <w:t>Portfolio Company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Portfolio Companies</w:t>
      </w:r>
      <w:r>
        <w:rPr>
          <w:rFonts w:ascii="Times New Roman;Times;Serif" w:hAnsi="Times New Roman;Times;Serif"/>
          <w:b w:val="false"/>
          <w:i w:val="false"/>
          <w:caps w:val="false"/>
          <w:smallCaps w:val="false"/>
          <w:sz w:val="20"/>
        </w:rPr>
        <w:t>”) as of the date hereof. Except as otherwise disclosed in the Registration Statement, the General Disclosure Package and the Prospectus, the Company does not control (as defined in Section 2(a)(9) of the Investment Company Act of 1940, as amended (the “</w:t>
      </w:r>
      <w:r>
        <w:rPr>
          <w:rFonts w:ascii="Times New Roman;Times;Serif" w:hAnsi="Times New Roman;Times;Serif"/>
          <w:b/>
          <w:i w:val="false"/>
          <w:caps w:val="false"/>
          <w:smallCaps w:val="false"/>
          <w:sz w:val="20"/>
        </w:rPr>
        <w:t>1940 Act</w:t>
      </w:r>
      <w:r>
        <w:rPr>
          <w:rFonts w:ascii="Times New Roman;Times;Serif" w:hAnsi="Times New Roman;Times;Serif"/>
          <w:b w:val="false"/>
          <w:i w:val="false"/>
          <w:caps w:val="false"/>
          <w:smallCaps w:val="false"/>
          <w:sz w:val="20"/>
        </w:rPr>
        <w:t>”)) any of the Portfolio Companies or any corporation or other entity in which it invested since the most recent quarter-end.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authorized, issued and outstanding shares of capital stock of the Company are as set forth in the Registration Statement, the General Disclosure Package and the Prospectus in the column entitled “Actual” under the caption “Capitalization.”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r>
        <w:rPr>
          <w:rFonts w:ascii="Times New Roman;Times;Serif" w:hAnsi="Times New Roman;Times;Serif"/>
          <w:b w:val="false"/>
          <w:i w:val="false"/>
          <w:caps w:val="false"/>
          <w:smallCaps w:val="false"/>
          <w:sz w:val="20"/>
          <w:u w:val="single"/>
        </w:rPr>
        <w:t>Authorization of Agreements</w:t>
      </w:r>
      <w:r>
        <w:rPr>
          <w:rFonts w:ascii="Times New Roman;Times;Serif" w:hAnsi="Times New Roman;Times;Serif"/>
          <w:b w:val="false"/>
          <w:i w:val="false"/>
          <w:caps w:val="false"/>
          <w:smallCaps w:val="false"/>
          <w:sz w:val="20"/>
        </w:rPr>
        <w:t>. This Agreement, the Investment Advisory Agreement and the Administration Agreement have each been duly authorized, executed and delivered by the Company. This Agreement, the Investment Advisory Agreement and the Administration Agreement are each valid and binding obligations of the Company, enforceable against the Company in accordance with their terms, except as the enforcement thereof may be subject to (A) bankruptcy, insolvency, reorganization, moratorium or other similar laws now or thereafter in effect relating to creditors’ rights generally and (B) general principles of equity and the discretion of the court before which any proceeding therefor may be brought.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t>
      </w:r>
      <w:r>
        <w:rPr>
          <w:rFonts w:ascii="Times New Roman;Times;Serif" w:hAnsi="Times New Roman;Times;Serif"/>
          <w:b w:val="false"/>
          <w:i w:val="false"/>
          <w:caps w:val="false"/>
          <w:smallCaps w:val="false"/>
          <w:sz w:val="20"/>
          <w:u w:val="single"/>
        </w:rPr>
        <w:t>Authorization of Base Indenture</w:t>
      </w:r>
      <w:r>
        <w:rPr>
          <w:rFonts w:ascii="Times New Roman;Times;Serif" w:hAnsi="Times New Roman;Times;Serif"/>
          <w:b w:val="false"/>
          <w:i w:val="false"/>
          <w:caps w:val="false"/>
          <w:smallCaps w:val="false"/>
          <w:sz w:val="20"/>
        </w:rPr>
        <w:t>. The Base Indenture has been duly authorized, executed and delivered by the Company and constitutes a valid and binding obligation of the Company, enforceable against the Company in accordance with its terms, except as the enforcement thereof may be subject to (A) bankruptcy, insolvency, reorganization, moratorium or other similar laws now or thereafter in effect relating to creditors’ rights generally and (B) general principles of equity and the discretion of the court before which any proceeding therefor may be brought.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t>
      </w:r>
      <w:r>
        <w:rPr>
          <w:rFonts w:ascii="Times New Roman;Times;Serif" w:hAnsi="Times New Roman;Times;Serif"/>
          <w:b w:val="false"/>
          <w:i w:val="false"/>
          <w:caps w:val="false"/>
          <w:smallCaps w:val="false"/>
          <w:sz w:val="20"/>
          <w:u w:val="single"/>
        </w:rPr>
        <w:t>Authorization of Fourth Supplemental Indenture</w:t>
      </w:r>
      <w:r>
        <w:rPr>
          <w:rFonts w:ascii="Times New Roman;Times;Serif" w:hAnsi="Times New Roman;Times;Serif"/>
          <w:b w:val="false"/>
          <w:i w:val="false"/>
          <w:caps w:val="false"/>
          <w:smallCaps w:val="false"/>
          <w:sz w:val="20"/>
        </w:rPr>
        <w:t>. The Fourth Supplemental Indenture has been duly authorized by the Company and at the Closing Date will be executed and delivered by the Company, and when executed and delivered by both of the Company and the Trustee will constitute a valid and binding obligation of the Company, enforceable against the Company in accordance with its terms, except as the enforcement thereof may be subject to (A) bankruptcy, insolvency, reorganization, moratorium or other similar laws now or thereafter in effect relating to creditors’ rights generally and (B) general principles of equity and the discretion of the court before which any proceeding therefor may be brought.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t>
      </w:r>
      <w:r>
        <w:rPr>
          <w:rFonts w:ascii="Times New Roman;Times;Serif" w:hAnsi="Times New Roman;Times;Serif"/>
          <w:b w:val="false"/>
          <w:i w:val="false"/>
          <w:caps w:val="false"/>
          <w:smallCaps w:val="false"/>
          <w:sz w:val="20"/>
          <w:u w:val="single"/>
        </w:rPr>
        <w:t>Authorization of DTC Agreement</w:t>
      </w:r>
      <w:r>
        <w:rPr>
          <w:rFonts w:ascii="Times New Roman;Times;Serif" w:hAnsi="Times New Roman;Times;Serif"/>
          <w:b w:val="false"/>
          <w:i w:val="false"/>
          <w:caps w:val="false"/>
          <w:smallCaps w:val="false"/>
          <w:sz w:val="20"/>
        </w:rPr>
        <w:t>. The DTC Agreement has been duly authorized, executed and delivered by the Company and constitutes a valid and binding obligation of the Company, enforceable against the Company in accordance with its terms, except as the enforcement thereof may be subject to (A) bankruptcy, insolvency, reorganization, moratorium or other similar laws now or thereafter in effect relating to creditors’ rights generally and (B) general principles of equity and the discretion of the court before which any proceeding therefor may be brought.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t>
      </w:r>
      <w:r>
        <w:rPr>
          <w:rFonts w:ascii="Times New Roman;Times;Serif" w:hAnsi="Times New Roman;Times;Serif"/>
          <w:b w:val="false"/>
          <w:i w:val="false"/>
          <w:caps w:val="false"/>
          <w:smallCaps w:val="false"/>
          <w:sz w:val="20"/>
          <w:u w:val="single"/>
        </w:rPr>
        <w:t>Qualification of Base Indenture</w:t>
      </w:r>
      <w:r>
        <w:rPr>
          <w:rFonts w:ascii="Times New Roman;Times;Serif" w:hAnsi="Times New Roman;Times;Serif"/>
          <w:b w:val="false"/>
          <w:i w:val="false"/>
          <w:caps w:val="false"/>
          <w:smallCaps w:val="false"/>
          <w:sz w:val="20"/>
        </w:rPr>
        <w:t>. The Base Indenture has been duly qualified under the Trust Indenture Act of 1939,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No person has the right to require the Company to register any securities for sale under the Securities Act by reason of the filing of the Registration Statement with the Commission or the issuance and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w:t>
      </w:r>
      <w:r>
        <w:rPr>
          <w:rFonts w:ascii="Times New Roman;Times;Serif" w:hAnsi="Times New Roman;Times;Serif"/>
          <w:b w:val="false"/>
          <w:i w:val="false"/>
          <w:caps w:val="false"/>
          <w:smallCaps w:val="false"/>
          <w:sz w:val="20"/>
          <w:u w:val="single"/>
        </w:rPr>
        <w:t>Absence of Violations, Defaults and Conflicts</w:t>
      </w:r>
      <w:r>
        <w:rPr>
          <w:rFonts w:ascii="Times New Roman;Times;Serif" w:hAnsi="Times New Roman;Times;Serif"/>
          <w:b w:val="false"/>
          <w:i w:val="false"/>
          <w:caps w:val="false"/>
          <w:smallCaps w:val="false"/>
          <w:sz w:val="20"/>
        </w:rPr>
        <w:t>. The Company is not (A) in violation of its charter or bylaws, each as amended or supplemented as of the date of this Agreement and the Closing Date, as applicable, (B) in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properties or assets of the Company is subject (collectively, “</w:t>
      </w:r>
      <w:r>
        <w:rPr>
          <w:rFonts w:ascii="Times New Roman;Times;Serif" w:hAnsi="Times New Roman;Times;Serif"/>
          <w:b/>
          <w:i w:val="false"/>
          <w:caps w:val="false"/>
          <w:smallCaps w:val="false"/>
          <w:sz w:val="20"/>
        </w:rPr>
        <w:t>Agreements and Instruments</w:t>
      </w:r>
      <w:r>
        <w:rPr>
          <w:rFonts w:ascii="Times New Roman;Times;Serif" w:hAnsi="Times New Roman;Times;Serif"/>
          <w:b w:val="false"/>
          <w:i w:val="false"/>
          <w:caps w:val="false"/>
          <w:smallCaps w:val="false"/>
          <w:sz w:val="20"/>
        </w:rPr>
        <w:t>”),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respective properties, assets or operations (each, a “</w:t>
      </w:r>
      <w:r>
        <w:rPr>
          <w:rFonts w:ascii="Times New Roman;Times;Serif" w:hAnsi="Times New Roman;Times;Serif"/>
          <w:b/>
          <w:i w:val="false"/>
          <w:caps w:val="false"/>
          <w:smallCaps w:val="false"/>
          <w:sz w:val="20"/>
        </w:rPr>
        <w:t>Governmental Entity</w:t>
      </w:r>
      <w:r>
        <w:rPr>
          <w:rFonts w:ascii="Times New Roman;Times;Serif" w:hAnsi="Times New Roman;Times;Serif"/>
          <w:b w:val="false"/>
          <w:i w:val="false"/>
          <w:caps w:val="false"/>
          <w:smallCaps w:val="false"/>
          <w:sz w:val="20"/>
        </w:rPr>
        <w:t>”), except for such violations that would not reasonably be expected, singly or in the aggregate, to result in a Material Adverse Effect. The execution, delivery and performance of this Agreement, the Investment Advisory Agreement, the Administration Agreement, and the consummation of the transactions contemplated herein and therein and in the Registration Statement, the General Disclosure Package and the Prospectus (including the issuance and sale of the Securities and the use of the proceeds from the sale of the Securities as described in the General Disclosure Package and the Prospectus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(1) the charter or bylaws of the Company, each as amended or supplemented as of the date of this Agreement and the Closing Date, as applicable, or (2) any law, statute, rule, regulation, judgment, order, writ or decree of any Governmental Entity, except, in the case of (2) above, any violation that would not reasonably be expected, singly or in the aggregate, to result in a Material Adverse Effect. As used herein, a “</w:t>
      </w:r>
      <w:r>
        <w:rPr>
          <w:rFonts w:ascii="Times New Roman;Times;Serif" w:hAnsi="Times New Roman;Times;Serif"/>
          <w:b/>
          <w:i w:val="false"/>
          <w:caps w:val="false"/>
          <w:smallCaps w:val="false"/>
          <w:sz w:val="20"/>
        </w:rPr>
        <w:t>Repayment Event</w:t>
      </w:r>
      <w:r>
        <w:rPr>
          <w:rFonts w:ascii="Times New Roman;Times;Serif" w:hAnsi="Times New Roman;Times;Serif"/>
          <w:b w:val="false"/>
          <w:i w:val="false"/>
          <w:caps w:val="false"/>
          <w:smallCaps w:val="false"/>
          <w:sz w:val="20"/>
        </w:rPr>
        <w:t>” means any event or condition which gives the holder of any note, debenture or other evidence of indebtedness (or any person acting on such holder’s behalf) the right to require the repurchase, redemption or repayment of all or a portion of such indebtedness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w:t>
      </w:r>
      <w:r>
        <w:rPr>
          <w:rFonts w:ascii="Times New Roman;Times;Serif" w:hAnsi="Times New Roman;Times;Serif"/>
          <w:b w:val="false"/>
          <w:i w:val="false"/>
          <w:caps w:val="false"/>
          <w:smallCaps w:val="false"/>
          <w:sz w:val="20"/>
          <w:u w:val="single"/>
        </w:rPr>
        <w:t>Employees</w:t>
      </w:r>
      <w:r>
        <w:rPr>
          <w:rFonts w:ascii="Times New Roman;Times;Serif" w:hAnsi="Times New Roman;Times;Serif"/>
          <w:b w:val="false"/>
          <w:i w:val="false"/>
          <w:caps w:val="false"/>
          <w:smallCaps w:val="false"/>
          <w:sz w:val="20"/>
        </w:rPr>
        <w:t>. As of the date hereof, the Company does not have, and as of the Closing Date the Company will not have, any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Absence of Proceedings</w:t>
      </w:r>
      <w:r>
        <w:rPr>
          <w:rFonts w:ascii="Times New Roman;Times;Serif" w:hAnsi="Times New Roman;Times;Serif"/>
          <w:b w:val="false"/>
          <w:i w:val="false"/>
          <w:caps w:val="false"/>
          <w:smallCaps w:val="false"/>
          <w:sz w:val="20"/>
        </w:rPr>
        <w:t>. Except as disclosed in the Registration Statement, the General Disclosure Package and the Prospectus, there is no action, suit, proceeding or, to the knowledge of the Company, inquiry or investigation before or brought by any Governmental Entity now pending or, to the knowledge of the Company, threatened, against or affecting the Company, which would reasonably be expected to result in a Material Adverse Effect or which would reasonably be expected to materially and adversely affect the properties or assets of the Company, the consummation of the transactions contemplated in this Agreement, the Investment Advisory Agreement, or the Administration Agreement, or the performance by the Company of its obligations hereunder or thereunder; and the aggregate of all pending legal or governmental proceedings to which the Company is a party or of which any of its properties or assets is the subject which are not described in the Registration Statement, the General Disclosure Package and the Prospectus, including ordinary routine litigation incidental to the business of the Company,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w:t>
      </w:r>
      <w:r>
        <w:rPr>
          <w:rFonts w:ascii="Times New Roman;Times;Serif" w:hAnsi="Times New Roman;Times;Serif"/>
          <w:b w:val="false"/>
          <w:i w:val="false"/>
          <w:caps w:val="false"/>
          <w:smallCaps w:val="false"/>
          <w:sz w:val="20"/>
          <w:u w:val="single"/>
        </w:rPr>
        <w:t>Exchange Act Compliance</w:t>
      </w:r>
      <w:r>
        <w:rPr>
          <w:rFonts w:ascii="Times New Roman;Times;Serif" w:hAnsi="Times New Roman;Times;Serif"/>
          <w:b w:val="false"/>
          <w:i w:val="false"/>
          <w:caps w:val="false"/>
          <w:smallCaps w:val="false"/>
          <w:sz w:val="20"/>
        </w:rPr>
        <w:t>. The Company is subject to and in compliance in all material respects with the reporting requirements of Section 13 and Section 15(d) of the Exchange Act, and has timely filed all reports required to be filed pursuant to Sections 13(a) and 15(d) of the Exchange Act during the preceding twelve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w:t>
      </w:r>
      <w:r>
        <w:rPr>
          <w:rFonts w:ascii="Times New Roman;Times;Serif" w:hAnsi="Times New Roman;Times;Serif"/>
          <w:b w:val="false"/>
          <w:i w:val="false"/>
          <w:caps w:val="false"/>
          <w:smallCaps w:val="false"/>
          <w:sz w:val="20"/>
          <w:u w:val="single"/>
        </w:rPr>
        <w:t>Accuracy of Exhibits</w:t>
      </w:r>
      <w:r>
        <w:rPr>
          <w:rFonts w:ascii="Times New Roman;Times;Serif" w:hAnsi="Times New Roman;Times;Serif"/>
          <w:b w:val="false"/>
          <w:i w:val="false"/>
          <w:caps w:val="false"/>
          <w:smallCaps w:val="false"/>
          <w:sz w:val="20"/>
        </w:rPr>
        <w:t>. There are no contracts or documents that are required to be described in the Registration Statement, the General Disclosure Package or the Prospectus or to be filed as exhibits to the Registration Statement that have not been so described and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w:t>
      </w:r>
      <w:r>
        <w:rPr>
          <w:rFonts w:ascii="Times New Roman;Times;Serif" w:hAnsi="Times New Roman;Times;Serif"/>
          <w:b w:val="false"/>
          <w:i w:val="false"/>
          <w:caps w:val="false"/>
          <w:smallCaps w:val="false"/>
          <w:sz w:val="20"/>
          <w:u w:val="single"/>
        </w:rPr>
        <w:t>Absence of Further Requirements</w:t>
      </w:r>
      <w:r>
        <w:rPr>
          <w:rFonts w:ascii="Times New Roman;Times;Serif" w:hAnsi="Times New Roman;Times;Serif"/>
          <w:b w:val="false"/>
          <w:i w:val="false"/>
          <w:caps w:val="false"/>
          <w:smallCaps w:val="false"/>
          <w:sz w:val="20"/>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to effectuate the consummation of the transactions contemplated by this Agreement, except (A) such as have been already obtained or as may be required under the Securities Act, the 1940 Act, the rules of the NASDAQ Global Select Market, state securities laws or the rules of the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and (B) where the failure to obtain any such filing, authorization, approval, consent, license, order, registration, qualification or decree would not reasonably be expected, singly or in the aggregate,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w:t>
      </w:r>
      <w:r>
        <w:rPr>
          <w:rFonts w:ascii="Times New Roman;Times;Serif" w:hAnsi="Times New Roman;Times;Serif"/>
          <w:b w:val="false"/>
          <w:i w:val="false"/>
          <w:caps w:val="false"/>
          <w:smallCaps w:val="false"/>
          <w:sz w:val="20"/>
          <w:u w:val="single"/>
        </w:rPr>
        <w:t>Possession of Licenses and Permits</w:t>
      </w:r>
      <w:r>
        <w:rPr>
          <w:rFonts w:ascii="Times New Roman;Times;Serif" w:hAnsi="Times New Roman;Times;Serif"/>
          <w:b w:val="false"/>
          <w:i w:val="false"/>
          <w:caps w:val="false"/>
          <w:smallCaps w:val="false"/>
          <w:sz w:val="20"/>
        </w:rPr>
        <w:t>. The Company possesses such permits, licenses, approvals, consents and other authorizations (collectively, “</w:t>
      </w:r>
      <w:r>
        <w:rPr>
          <w:rFonts w:ascii="Times New Roman;Times;Serif" w:hAnsi="Times New Roman;Times;Serif"/>
          <w:b/>
          <w:i w:val="false"/>
          <w:caps w:val="false"/>
          <w:smallCaps w:val="false"/>
          <w:sz w:val="20"/>
        </w:rPr>
        <w:t>Governmental Licenses</w:t>
      </w:r>
      <w:r>
        <w:rPr>
          <w:rFonts w:ascii="Times New Roman;Times;Serif" w:hAnsi="Times New Roman;Times;Serif"/>
          <w:b w:val="false"/>
          <w:i w:val="false"/>
          <w:caps w:val="false"/>
          <w:smallCaps w:val="false"/>
          <w:sz w:val="20"/>
        </w:rPr>
        <w:t>”) issued by the appropriate Governmental Entities necessary to conduct the business now operated by the Company, except where the failure so to possess would not reasonably be expected, singly or in the aggregate, to result in a Material Adverse Effect. The Company is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The Company has not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The Company does not own any real property. Any leases and subleases material to the business of the Company, and under which the Company holds properties, if any, are in full force and effect, and the Company has not received any notice of any material claim of any sort that has been asserted by anyone adverse to the rights of the Company under any of the foregoing leases or subleases, or affecting or questioning the rights of the Company to the continued possession of the leased or subleased premises under any such lease or sublease that, singly or in the aggregate,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w:t>
      </w:r>
      <w:r>
        <w:rPr>
          <w:rFonts w:ascii="Times New Roman;Times;Serif" w:hAnsi="Times New Roman;Times;Serif"/>
          <w:b w:val="false"/>
          <w:i w:val="false"/>
          <w:caps w:val="false"/>
          <w:smallCaps w:val="false"/>
          <w:sz w:val="20"/>
          <w:u w:val="single"/>
        </w:rPr>
        <w:t>Possession of Intellectual Property</w:t>
      </w:r>
      <w:r>
        <w:rPr>
          <w:rFonts w:ascii="Times New Roman;Times;Serif" w:hAnsi="Times New Roman;Times;Serif"/>
          <w:b w:val="false"/>
          <w:i w:val="false"/>
          <w:caps w:val="false"/>
          <w:smallCaps w:val="false"/>
          <w:sz w:val="20"/>
        </w:rPr>
        <w:t>. Except as would not reasonably be expected, singly or in the aggregate, to result in a Material Adverse Effect, the Company owns or possesses,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necessary to carry on the business now operated by the Company, and the Company has not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therein, and which infringement or conflict (if the subject of any unfavorable decision, ruling or finding) or invalidity or inadequacy, singly or in the aggregate,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w:t>
      </w:r>
      <w:r>
        <w:rPr>
          <w:rFonts w:ascii="Times New Roman;Times;Serif" w:hAnsi="Times New Roman;Times;Serif"/>
          <w:b w:val="false"/>
          <w:i w:val="false"/>
          <w:caps w:val="false"/>
          <w:smallCaps w:val="false"/>
          <w:sz w:val="20"/>
          <w:u w:val="single"/>
        </w:rPr>
        <w:t>Accounting Controls</w:t>
      </w:r>
      <w:r>
        <w:rPr>
          <w:rFonts w:ascii="Times New Roman;Times;Serif" w:hAnsi="Times New Roman;Times;Serif"/>
          <w:b w:val="false"/>
          <w:i w:val="false"/>
          <w:caps w:val="false"/>
          <w:smallCaps w:val="false"/>
          <w:sz w:val="20"/>
        </w:rPr>
        <w:t>. The Company maintains a system of internal control over financial reporting (as defined in Rules 13a-15(f) and 15d-15(f) under the Exchange Act)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newly required to comply with the auditor attestation requirements under Section 404(b) of the Sarbanes-Oxley Act of 2002,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All United States federal income tax returns of the Company required by law to have been filed by the Company (taking into account any applicable extensions) have been filed and all taxes shown by such returns or otherwise assessed, which are due and payable, have been paid, or insofar as the failure to do so would not reasonably be expected, singly or in the aggregate, to result in a Material Adverse Effect. The United States federal income tax returns of the Company through the fiscal year ended December 31, 2025, have been filed, and no assessment in connection therewith has been made against the Company. The Company has filed all other tax returns that are required to have been filed by the Company (taking into account any applicable extensions) pursuant to applicable foreign, state, local or other law and has paid all taxes due pursuant to such returns or pursuant to any assessment received by the Company,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fiscal year not finally determined, except to the extent of any inadequacy that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(xxix)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carries or is entitled to the benefits of insurance, with financially sound and reputable insurers, in such amounts and covering such risks as the Company reasonably believes is prudent, and all such insurance is in full force and effect. The Company has no reason to believe that it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w:t>
      </w:r>
      <w:r>
        <w:rPr>
          <w:rFonts w:ascii="Times New Roman;Times;Serif" w:hAnsi="Times New Roman;Times;Serif"/>
          <w:b w:val="false"/>
          <w:i w:val="false"/>
          <w:caps w:val="false"/>
          <w:smallCaps w:val="false"/>
          <w:sz w:val="20"/>
          <w:u w:val="single"/>
        </w:rPr>
        <w:t>1940 Act</w:t>
      </w:r>
      <w:r>
        <w:rPr>
          <w:rFonts w:ascii="Times New Roman;Times;Serif" w:hAnsi="Times New Roman;Times;Serif"/>
          <w:b w:val="false"/>
          <w:i w:val="false"/>
          <w:caps w:val="false"/>
          <w:smallCaps w:val="false"/>
          <w:sz w:val="20"/>
        </w:rPr>
        <w:t>. The Company is not required, and upon the issuance and sale of the Securities as herein contemplated and the application of the net proceeds therefrom as described in the Prospectus will not be required, to register as a “management investment company” under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    </w:t>
      </w:r>
      <w:r>
        <w:rPr>
          <w:rFonts w:ascii="Times New Roman;Times;Serif" w:hAnsi="Times New Roman;Times;Serif"/>
          <w:b w:val="false"/>
          <w:i w:val="false"/>
          <w:caps w:val="false"/>
          <w:smallCaps w:val="false"/>
          <w:sz w:val="20"/>
          <w:u w:val="single"/>
        </w:rPr>
        <w:t>Stabilization and Manipulation</w:t>
      </w:r>
      <w:r>
        <w:rPr>
          <w:rFonts w:ascii="Times New Roman;Times;Serif" w:hAnsi="Times New Roman;Times;Serif"/>
          <w:b w:val="false"/>
          <w:i w:val="false"/>
          <w:caps w:val="false"/>
          <w:smallCaps w:val="false"/>
          <w:sz w:val="20"/>
        </w:rPr>
        <w:t>. The Company has not taken nor will it take, directly or indirectly, without giving effect to any activities by the Underwriters, any action designed, or that would reasonably be expected to cause or result in, or that constitutes, any stabilization or manipulation of the price of any security of the Company to facilitate the sale or resale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   </w:t>
      </w:r>
      <w:r>
        <w:rPr>
          <w:rFonts w:ascii="Times New Roman;Times;Serif" w:hAnsi="Times New Roman;Times;Serif"/>
          <w:b w:val="false"/>
          <w:i w:val="false"/>
          <w:caps w:val="false"/>
          <w:smallCaps w:val="false"/>
          <w:sz w:val="20"/>
          <w:u w:val="single"/>
        </w:rPr>
        <w:t>No Unlawful Payments</w:t>
      </w:r>
      <w:r>
        <w:rPr>
          <w:rFonts w:ascii="Times New Roman;Times;Serif" w:hAnsi="Times New Roman;Times;Serif"/>
          <w:b w:val="false"/>
          <w:i w:val="false"/>
          <w:caps w:val="false"/>
          <w:smallCaps w:val="false"/>
          <w:sz w:val="20"/>
        </w:rPr>
        <w:t>. The Company has not, nor has any director, officer or employee of the Company or, to the knowledge of the Company, any agent, affiliate or other person associated with or acting on behalf of the Company (i) used any corporate funds for any unlawful contribution, gift, entertainment or other unlawful expense relating to political activity; (ii) made or taken an act in furtherance of an offer, payment,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or any person in violation of any applicable anti-corruption laws; (iii) violated or is in violation of any provision of the Foreign Corrupt Practices Act of 1977, as amended (the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has conducted its business in compliance with applicable anti-corruption laws and has instituted, maintained and enforced, and will continue to maintain and enforce policies and procedures designed to promote and ensure compliance with all applicable anti-bribery and anti-corruption laws and with the representations and warranties contained herein, and the Company will not use, directly or indirectly, the proceeds of the offering of the Securities in furtherance of any payment, promise to pay, or authorization of the payment or giving of money, or anything else of value, to any person in violation of any applicable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(xxxiii)  </w:t>
      </w:r>
      <w:r>
        <w:rPr>
          <w:rFonts w:ascii="Times New Roman;Times;Serif" w:hAnsi="Times New Roman;Times;Serif"/>
          <w:b w:val="false"/>
          <w:i w:val="false"/>
          <w:caps w:val="false"/>
          <w:smallCaps w:val="false"/>
          <w:sz w:val="20"/>
          <w:u w:val="single"/>
        </w:rPr>
        <w:t>Compliance with Anti-Money Laundering Laws</w:t>
      </w:r>
      <w:r>
        <w:rPr>
          <w:rFonts w:ascii="Times New Roman;Times;Serif" w:hAnsi="Times New Roman;Times;Serif"/>
          <w:b w:val="false"/>
          <w:i w:val="false"/>
          <w:caps w:val="false"/>
          <w:smallCaps w:val="false"/>
          <w:sz w:val="20"/>
        </w:rPr>
        <w:t>. The operations of the Company are and have been conducted at all times in compliance with applicable financial recordkeeping and reporting requirements, including those of the Currency and Foreign Transactions Reporting Act of 1970, as amended by the USA Patriot Act (Title III of Pub. L. 107-56 (signed into law October 26, 2001)) (the “</w:t>
      </w:r>
      <w:r>
        <w:rPr>
          <w:rFonts w:ascii="Times New Roman;Times;Serif" w:hAnsi="Times New Roman;Times;Serif"/>
          <w:b/>
          <w:i w:val="false"/>
          <w:caps w:val="false"/>
          <w:smallCaps w:val="false"/>
          <w:sz w:val="20"/>
        </w:rPr>
        <w:t>USA Patriot Act</w:t>
      </w:r>
      <w:r>
        <w:rPr>
          <w:rFonts w:ascii="Times New Roman;Times;Serif" w:hAnsi="Times New Roman;Times;Serif"/>
          <w:b w:val="false"/>
          <w:i w:val="false"/>
          <w:caps w:val="false"/>
          <w:smallCaps w:val="false"/>
          <w:sz w:val="20"/>
        </w:rPr>
        <w:t>”), the applicable money laundering statutes of all jurisdictions where the Company conducts business, the rules and regulations thereunder and any related or similar rules, regulations or guidelines issued, administered or enforced by any Governmental Entity (collectively, the “</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and no action, suit or proceeding by or before any Governmental Entity involving the Company with respect to the Anti-Money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(xxxiv)  </w:t>
      </w:r>
      <w:r>
        <w:rPr>
          <w:rFonts w:ascii="Times New Roman;Times;Serif" w:hAnsi="Times New Roman;Times;Serif"/>
          <w:b w:val="false"/>
          <w:i w:val="false"/>
          <w:caps w:val="false"/>
          <w:smallCaps w:val="false"/>
          <w:sz w:val="20"/>
          <w:u w:val="single"/>
        </w:rPr>
        <w:t>No Conflicts with Sanctions Laws</w:t>
      </w:r>
      <w:r>
        <w:rPr>
          <w:rFonts w:ascii="Times New Roman;Times;Serif" w:hAnsi="Times New Roman;Times;Serif"/>
          <w:b w:val="false"/>
          <w:i w:val="false"/>
          <w:caps w:val="false"/>
          <w:smallCaps w:val="false"/>
          <w:sz w:val="20"/>
        </w:rPr>
        <w:t>. None of the Company or any of its subsidiaries, directors, officers, or employees, or, to the knowledge of the Company, any agent, affiliate or other person associated with or acting on behalf of the Company, is an individual or entity that is, or is owned or controlled by one or more individuals or entities that are currently the subject or the target of any economic sanctions laws, regulations, embargoes or restrictive measures administered, enacted or enforced by the U.S. government, (including, without limitation, the Office of Foreign Assets Control of the U.S. Department of the Treasury, the U.S. Department of Commerce or the U.S. Department of State and including, without limitation, the designation as a “specially designated national” or “blocked person”), the United Nations Security Council, the European Union, His Majesty’s Treasury, or any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nor is the Company or any of its subsidiaries, directors, officers, or employees, or, to the knowledge of the Company, any agent, affiliate, or other person associated with or acting on behalf of the Company, an individual or entity that is, or is owned or controlled by one or more individuals or entities that are, located, organized or resident in a country or territory that is the subject or target of comprehensive Sanctions, including, without limitation, as of the date hereof, the Crimea regions of Ukraine, Cuba, Iran, North Korea, the so-called Donetsk People’s Republic and the so-called Luhansk People’s Republic (each, a “</w:t>
      </w:r>
      <w:r>
        <w:rPr>
          <w:rFonts w:ascii="Times New Roman;Times;Serif" w:hAnsi="Times New Roman;Times;Serif"/>
          <w:b/>
          <w:i w:val="false"/>
          <w:caps w:val="false"/>
          <w:smallCaps w:val="false"/>
          <w:sz w:val="20"/>
        </w:rPr>
        <w:t>Sanctioned Jurisdiction</w:t>
      </w:r>
      <w:r>
        <w:rPr>
          <w:rFonts w:ascii="Times New Roman;Times;Serif" w:hAnsi="Times New Roman;Times;Serif"/>
          <w:b w:val="false"/>
          <w:i w:val="false"/>
          <w:caps w:val="false"/>
          <w:smallCaps w:val="false"/>
          <w:sz w:val="20"/>
        </w:rPr>
        <w:t>”); and the Company will not directly or indirectly use the proceeds of the offering of the Securities hereunder, or lend, contribute or otherwise make available such proceeds to any subsidiary, joint venture partner or other individual or entity (A) to fund or facilitate any activities of or business with any individual or entity that, at the time of such funding or facilitation, is the subject or target of Sanctions, (B) to fund or facilitate any activities of or business in any Sanctioned Jurisdiction, or (C) in any other manner that will result in a violation by any individual or entity participating in the transaction, whether as underwriter, advisor, investor or otherwise, of Sanctions. Since its inception, the Company has not knowingly engaged in, is not now knowingly engaged in, and will not knowingly engage in, any dealings or transactions with any person that at the time of the dealing or transaction is or was the subject or the target of Sanctions or with any Sanctioned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   </w:t>
      </w:r>
      <w:r>
        <w:rPr>
          <w:rFonts w:ascii="Times New Roman;Times;Serif" w:hAnsi="Times New Roman;Times;Serif"/>
          <w:b w:val="false"/>
          <w:i w:val="false"/>
          <w:caps w:val="false"/>
          <w:smallCaps w:val="false"/>
          <w:sz w:val="20"/>
          <w:u w:val="single"/>
        </w:rPr>
        <w:t>Lending Relationship</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Except as disclosed in the Registration Statement, the General Disclosure Package and the Prospectus, the Company (A) does not have any material lending or other relationship with any bank or lending affiliate of any Underwriter and (B) does not intend to use any of the proceeds from the sale of the Securities to repay any outstanding debt owed to any affiliate of any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  </w:t>
      </w:r>
      <w:r>
        <w:rPr>
          <w:rFonts w:ascii="Times New Roman;Times;Serif" w:hAnsi="Times New Roman;Times;Serif"/>
          <w:b w:val="false"/>
          <w:i w:val="false"/>
          <w:caps w:val="false"/>
          <w:smallCaps w:val="false"/>
          <w:sz w:val="20"/>
          <w:u w:val="single"/>
        </w:rPr>
        <w:t>Statistical and Market-Related Data</w:t>
      </w:r>
      <w:r>
        <w:rPr>
          <w:rFonts w:ascii="Times New Roman;Times;Serif" w:hAnsi="Times New Roman;Times;Serif"/>
          <w:b w:val="false"/>
          <w:i w:val="false"/>
          <w:caps w:val="false"/>
          <w:smallCaps w:val="false"/>
          <w:sz w:val="20"/>
        </w:rPr>
        <w:t>. Any statistical and market-related data included in the Registration Statement, the General Disclosure Package or the Prospectus are based on or derived from sources that the Company believes to be reliable and accurate and, to the extent required, the Company has obtained the written consent to the use of such data from such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(xxxvii)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There are no business relationships or related party transactions involving the Company or any other person required to be described in the Registration Statement, the General Disclosure Package or the Prospectus which have not been described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(xxxviii)  </w:t>
      </w:r>
      <w:r>
        <w:rPr>
          <w:rFonts w:ascii="Times New Roman;Times;Serif" w:hAnsi="Times New Roman;Times;Serif"/>
          <w:b w:val="false"/>
          <w:i w:val="false"/>
          <w:caps w:val="false"/>
          <w:smallCaps w:val="false"/>
          <w:sz w:val="20"/>
          <w:u w:val="single"/>
        </w:rPr>
        <w:t>Notification of Election</w:t>
      </w:r>
      <w:r>
        <w:rPr>
          <w:rFonts w:ascii="Times New Roman;Times;Serif" w:hAnsi="Times New Roman;Times;Serif"/>
          <w:b w:val="false"/>
          <w:i w:val="false"/>
          <w:caps w:val="false"/>
          <w:smallCaps w:val="false"/>
          <w:sz w:val="20"/>
        </w:rPr>
        <w:t>. When the Company filed its Notification of Election to be subject to Sections 55 through 65 of the 1940 Act on Form N-54A with the Commission pursuant to Section 54(a) of the 1940 Act, such Form N-54A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(xxxix)   </w:t>
      </w:r>
      <w:r>
        <w:rPr>
          <w:rFonts w:ascii="Times New Roman;Times;Serif" w:hAnsi="Times New Roman;Times;Serif"/>
          <w:b w:val="false"/>
          <w:i w:val="false"/>
          <w:caps w:val="false"/>
          <w:smallCaps w:val="false"/>
          <w:sz w:val="20"/>
          <w:u w:val="single"/>
        </w:rPr>
        <w:t>Investment Advisory Agreement</w:t>
      </w:r>
      <w:r>
        <w:rPr>
          <w:rFonts w:ascii="Times New Roman;Times;Serif" w:hAnsi="Times New Roman;Times;Serif"/>
          <w:b w:val="false"/>
          <w:i w:val="false"/>
          <w:caps w:val="false"/>
          <w:smallCaps w:val="false"/>
          <w:sz w:val="20"/>
        </w:rPr>
        <w:t>. The Company confirms that (A) the terms of the Investment Advisory Agreement, including compensation terms, comply in all material respects with all applicable provisions of the 1940 Act and the Advisers Act, and (B) the approvals by the board of directors and the stockholders of the Company of the Investment Advisory Agreement have been made in accordance with the requirements of Sections 15(a) and 15(c) of the 1940 Act and the rules and regulations promulgated under the 1940 Act that are applicable to companies that have elected to be regulated as business development companies under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        </w:t>
      </w:r>
      <w:r>
        <w:rPr>
          <w:rFonts w:ascii="Times New Roman;Times;Serif" w:hAnsi="Times New Roman;Times;Serif"/>
          <w:b w:val="false"/>
          <w:i w:val="false"/>
          <w:caps w:val="false"/>
          <w:smallCaps w:val="false"/>
          <w:sz w:val="20"/>
          <w:u w:val="single"/>
        </w:rPr>
        <w:t>Interested Persons</w:t>
      </w:r>
      <w:r>
        <w:rPr>
          <w:rFonts w:ascii="Times New Roman;Times;Serif" w:hAnsi="Times New Roman;Times;Serif"/>
          <w:b w:val="false"/>
          <w:i w:val="false"/>
          <w:caps w:val="false"/>
          <w:smallCaps w:val="false"/>
          <w:sz w:val="20"/>
        </w:rPr>
        <w:t>. Except as disclosed in the Registration Statement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any of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       </w:t>
      </w:r>
      <w:r>
        <w:rPr>
          <w:rFonts w:ascii="Times New Roman;Times;Serif" w:hAnsi="Times New Roman;Times;Serif"/>
          <w:b w:val="false"/>
          <w:i w:val="false"/>
          <w:caps w:val="false"/>
          <w:smallCaps w:val="false"/>
          <w:sz w:val="20"/>
          <w:u w:val="single"/>
        </w:rPr>
        <w:t>Business Development Company</w:t>
      </w:r>
      <w:r>
        <w:rPr>
          <w:rFonts w:ascii="Times New Roman;Times;Serif" w:hAnsi="Times New Roman;Times;Serif"/>
          <w:b w:val="false"/>
          <w:i w:val="false"/>
          <w:caps w:val="false"/>
          <w:smallCaps w:val="false"/>
          <w:sz w:val="20"/>
        </w:rPr>
        <w:t>. The Company has duly elected to be regulated by the Commission under the 1940 Act as a business development company, such election is effective and all required action has been taken by the Company under the Securities Act and the 1940 Act to make the public offering and consummate the sale of the Securities as provided in this Agreement, the provisions of the charter and bylaws of the Company, and the investment objectives, policies and restrictions described in the Prospectus, assuming they are implemented as described, will comply in all material respects with the requirements of the 1940 Act, and the operations of the Company are in compliance in all material respects with the provisions of the 1940 Act and the 1940 Act rules and regulations applicable to business development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(xlii)      </w:t>
      </w:r>
      <w:r>
        <w:rPr>
          <w:rFonts w:ascii="Times New Roman;Times;Serif" w:hAnsi="Times New Roman;Times;Serif"/>
          <w:b w:val="false"/>
          <w:i w:val="false"/>
          <w:caps w:val="false"/>
          <w:smallCaps w:val="false"/>
          <w:sz w:val="20"/>
          <w:u w:val="single"/>
        </w:rPr>
        <w:t>No Extension of Credit</w:t>
      </w:r>
      <w:r>
        <w:rPr>
          <w:rFonts w:ascii="Times New Roman;Times;Serif" w:hAnsi="Times New Roman;Times;Serif"/>
          <w:b w:val="false"/>
          <w:i w:val="false"/>
          <w:caps w:val="false"/>
          <w:smallCaps w:val="false"/>
          <w:sz w:val="20"/>
        </w:rPr>
        <w:t>. The Company has not, directly or indirectly, extended credit, agreed to extend credit, arranged to extend credit or renewed any extension of credit, in the form of a personal loan, to or for any director or executive officer of the Company, or to or for any family member or affiliate of any director or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(xliii)     </w:t>
      </w:r>
      <w:r>
        <w:rPr>
          <w:rFonts w:ascii="Times New Roman;Times;Serif" w:hAnsi="Times New Roman;Times;Serif"/>
          <w:b w:val="false"/>
          <w:i w:val="false"/>
          <w:caps w:val="false"/>
          <w:smallCaps w:val="false"/>
          <w:sz w:val="20"/>
          <w:u w:val="single"/>
        </w:rPr>
        <w:t>Regulated Investment Company</w:t>
      </w:r>
      <w:r>
        <w:rPr>
          <w:rFonts w:ascii="Times New Roman;Times;Serif" w:hAnsi="Times New Roman;Times;Serif"/>
          <w:b w:val="false"/>
          <w:i w:val="false"/>
          <w:caps w:val="false"/>
          <w:smallCaps w:val="false"/>
          <w:sz w:val="20"/>
        </w:rPr>
        <w:t>. The Company has elected to be treated and has operated and intends to continue to operate its business in such a manner as to enable the Company to continue to qualify as a regulated investment company under subchapter M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The Company intends to direct the investment of the proceeds of the offering of the Securities in a manner as to comply with the requirements of subchapter M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(xliv)     </w:t>
      </w:r>
      <w:r>
        <w:rPr>
          <w:rFonts w:ascii="Times New Roman;Times;Serif" w:hAnsi="Times New Roman;Times;Serif"/>
          <w:b w:val="false"/>
          <w:i w:val="false"/>
          <w:caps w:val="false"/>
          <w:smallCaps w:val="false"/>
          <w:sz w:val="20"/>
          <w:u w:val="single"/>
        </w:rPr>
        <w:t>Cybersecurity; Data Protection</w:t>
      </w:r>
      <w:r>
        <w:rPr>
          <w:rFonts w:ascii="Times New Roman;Times;Serif" w:hAnsi="Times New Roman;Times;Serif"/>
          <w:b w:val="false"/>
          <w:i w:val="false"/>
          <w:caps w:val="false"/>
          <w:smallCaps w:val="false"/>
          <w:sz w:val="20"/>
        </w:rPr>
        <w:t>. The Company’s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as currently conducted. The Company has implemented and maintained commercially reasonable controls, policies, procedures, and safeguards to maintain and protect its material confidential information and the integrity, continuous operation, redundancy and security of all IT Systems and data (including all personal, personally identifiable, sensitive, confidential or regulated data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used in connection with the Company’s businesses, and there have been no breaches, violations, outages or unauthorized uses of or accesses to same, except for those that have been remedied without material cost or liability or the duty to notify any other person, nor are there any incidents under internal review or investigations relating to the same.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(xlv)     </w:t>
      </w:r>
      <w:r>
        <w:rPr>
          <w:rFonts w:ascii="Times New Roman;Times;Serif" w:hAnsi="Times New Roman;Times;Serif"/>
          <w:b w:val="false"/>
          <w:i w:val="false"/>
          <w:caps w:val="false"/>
          <w:smallCaps w:val="false"/>
          <w:sz w:val="20"/>
          <w:u w:val="single"/>
        </w:rPr>
        <w:t>Distribution of Offering Materials</w:t>
      </w:r>
      <w:r>
        <w:rPr>
          <w:rFonts w:ascii="Times New Roman;Times;Serif" w:hAnsi="Times New Roman;Times;Serif"/>
          <w:b w:val="false"/>
          <w:i w:val="false"/>
          <w:caps w:val="false"/>
          <w:smallCaps w:val="false"/>
          <w:sz w:val="20"/>
        </w:rPr>
        <w:t xml:space="preserve">. The Company has not distributed and will not distribute any offering material in connection with the sale of the Securities other than the Registration Statement, the Prospectus, the General Disclosure Package and the Additional Disclosure Items (as defined in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Representations and Warranties by the Adviser.</w:t>
      </w:r>
      <w:r>
        <w:rPr>
          <w:rFonts w:ascii="Times New Roman;Times;Serif" w:hAnsi="Times New Roman;Times;Serif"/>
          <w:b w:val="false"/>
          <w:i w:val="false"/>
          <w:caps w:val="false"/>
          <w:smallCaps w:val="false"/>
          <w:sz w:val="20"/>
        </w:rPr>
        <w:t xml:space="preserve"> The Adviser represents to each Underwriter as of the date hereof, the Applicable Time, and the Closing Date (as defined below), and agrees with each Underwriter,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Material Adverse Change in Business</w:t>
      </w:r>
      <w:r>
        <w:rPr>
          <w:rFonts w:ascii="Times New Roman;Times;Serif" w:hAnsi="Times New Roman;Times;Serif"/>
          <w:b w:val="false"/>
          <w:i w:val="false"/>
          <w:caps w:val="false"/>
          <w:smallCaps w:val="false"/>
          <w:sz w:val="20"/>
        </w:rPr>
        <w:t>. Except as otherwise stated therein, since the respective dates as of which information is given in the Registration Statement, the General Disclosure Package or the Prospectus, there has been no material adverse change in the condition, financial or otherwise, or in the earnings, business affairs, business prospects or regulatory status of the Adviser, whether or not arising in the ordinary course of business, or on the ability of the Adviser or the Administrator to carry out its obligations under this Agreement, the Investment Advisory Agreement or the Administration Agreement, as applicable (collectively, an “</w:t>
      </w:r>
      <w:r>
        <w:rPr>
          <w:rFonts w:ascii="Times New Roman;Times;Serif" w:hAnsi="Times New Roman;Times;Serif"/>
          <w:b/>
          <w:i w:val="false"/>
          <w:caps w:val="false"/>
          <w:smallCaps w:val="false"/>
          <w:sz w:val="20"/>
        </w:rPr>
        <w:t>Adviser 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Good Standing</w:t>
      </w:r>
      <w:r>
        <w:rPr>
          <w:rFonts w:ascii="Times New Roman;Times;Serif" w:hAnsi="Times New Roman;Times;Serif"/>
          <w:b w:val="false"/>
          <w:i w:val="false"/>
          <w:caps w:val="false"/>
          <w:smallCaps w:val="false"/>
          <w:sz w:val="20"/>
        </w:rPr>
        <w:t>. The Adviser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the General Disclosure Package and the Prospectus and to enter into and perform its obligations under this Agreement. The Adviser has limited liability company power and authority to perform its obligations under the Investment Advisory Agreement, and the Adviser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Registration Under Advisers Act</w:t>
      </w:r>
      <w:r>
        <w:rPr>
          <w:rFonts w:ascii="Times New Roman;Times;Serif" w:hAnsi="Times New Roman;Times;Serif"/>
          <w:b w:val="false"/>
          <w:i w:val="false"/>
          <w:caps w:val="false"/>
          <w:smallCaps w:val="false"/>
          <w:sz w:val="20"/>
        </w:rPr>
        <w:t>. The Adviser is duly registered with the Commission as an investment adviser under the Advisers Act and is not prohibited by the Advisers Act or the 1940 Act from acting under the Investment Advisory Agreement for the Company as contemplated by the Registration Statement, the General Disclosure Package and the Prospectus. There does not exist any proceeding or, to the Adviser’s knowledge, any facts or circumstances the existence of which could lead to any proceeding which might adversely affect the registration of the Adviser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Absence of Proceedings</w:t>
      </w:r>
      <w:r>
        <w:rPr>
          <w:rFonts w:ascii="Times New Roman;Times;Serif" w:hAnsi="Times New Roman;Times;Serif"/>
          <w:b w:val="false"/>
          <w:i w:val="false"/>
          <w:caps w:val="false"/>
          <w:smallCaps w:val="false"/>
          <w:sz w:val="20"/>
        </w:rPr>
        <w:t>. Except as disclosed in the Registration Statement, the General Disclosure Package and the Prospectus, there is no action, suit, proceeding or, to the knowledge of the Adviser, inquiry or investigation before or brought by any arbitrator, court, governmental body, regulatory body, administrative agency or other authority, body or agency having jurisdiction over the Adviser, its subsidiaries or any of their properties, assets or operations now pending or, to the knowledge of the Adviser, threatened, against or affecting the Adviser or its subsidiaries, which is required to be disclosed in the Registration Statement (other than disclosed therein) or which would reasonably be expected to result in an Adviser Material Adverse Effect, or which would reasonably be expected to materially and adversely affect their properties or assets or the consummation of the transactions contemplated in this Agreement, the Investment Advisory Agreement or the Administration Agreement or the performance by the Adviser of its obligations hereunder or thereunder; and the aggregate of all pending legal or governmental proceedings to which the Adviser or any of its subsidiaries is a party or of which any of their properties or assets is the subject which are not described in the Registration Statement, the General Disclosure Package and the Prospectus, including ordinary routine litigation incidental to their business, would not reasonably be expected to result in an Adviser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Absence of Violations, Defaults and Conflicts</w:t>
      </w:r>
      <w:r>
        <w:rPr>
          <w:rFonts w:ascii="Times New Roman;Times;Serif" w:hAnsi="Times New Roman;Times;Serif"/>
          <w:b w:val="false"/>
          <w:i w:val="false"/>
          <w:caps w:val="false"/>
          <w:smallCaps w:val="false"/>
          <w:sz w:val="20"/>
        </w:rPr>
        <w:t>. The Adviser is not (A) in violation of its limited liability company agreement, (B) in default in the performance or observance of any obligation, agreement, covenant or condition contained in any contract, indenture, mortgage, deed of trust, loan or credit agreement, note, lease or other agreement or instrument to which the Adviser is a party or by which it may be bound or to which any of its properties or assets is subject (collectively, the “</w:t>
      </w:r>
      <w:r>
        <w:rPr>
          <w:rFonts w:ascii="Times New Roman;Times;Serif" w:hAnsi="Times New Roman;Times;Serif"/>
          <w:b/>
          <w:i w:val="false"/>
          <w:caps w:val="false"/>
          <w:smallCaps w:val="false"/>
          <w:sz w:val="20"/>
        </w:rPr>
        <w:t>Adviser Agreements and Instruments</w:t>
      </w:r>
      <w:r>
        <w:rPr>
          <w:rFonts w:ascii="Times New Roman;Times;Serif" w:hAnsi="Times New Roman;Times;Serif"/>
          <w:b w:val="false"/>
          <w:i w:val="false"/>
          <w:caps w:val="false"/>
          <w:smallCaps w:val="false"/>
          <w:sz w:val="20"/>
        </w:rPr>
        <w:t>”), except for such defaults that would not reasonably be expected, singly or in the aggregate, to result in an Adviser Material Adverse Effect, or (C) in violation of any applicable law, statute, rule, regulation, judgment, order, writ or decree of any arbitrator, court, governmental body, regulatory body, administrative agency or other authority, body or agency having jurisdiction over the Adviser or any of its properties, assets or operations, except for such violations that would not reasonably be expected, singly or in the aggregate, to result in an Adviser Material Adverse Effect. The execution, delivery and performance of this Agreement, the Investment Advisory Agreement and the Administration Agreement by the Adviser or the Administrator and the consummation of the transactions contemplated herein and therein and in the Registration Statement, the General Disclosure Package and the Prospectus (including the issuance and sale of the Securities and the use of the proceeds from the sale of the Securities as described therein under the caption “Use of Proceeds”) and compliance by the Adviser and the Administrator with their obligations hereunder and under the Investment Advisory Agreement and Administration Agreement do not and will not, whether with or without the giving of notice or passage of time or both, conflict with or constitute a breach of, or default under, or result in the creation or imposition of any lien, charge or encumbrance upon any properties or assets of the Adviser or pursuant to the Adviser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liens, charges or encumbrances that would not reasonably be expected, singly or in the aggregate, to result in an Adviser Material Adverse Effect), nor will such action result in any violation of the provisions of (a) the limited liability company agreement of the Adviser, or (b) any applicable law, statute, rule, regulation, judgment, order, writ or decree of any arbitrator, court, governmental body, regulatory body, administrative agency or other authority, body or agency having jurisdiction over the Adviser or any of its properties, assets or operations except, in the case of (b) above, for any violations that would not reasonably be expected, singly or in the aggregate, to result in an Adviser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Authorization of Agreements</w:t>
      </w:r>
      <w:r>
        <w:rPr>
          <w:rFonts w:ascii="Times New Roman;Times;Serif" w:hAnsi="Times New Roman;Times;Serif"/>
          <w:b w:val="false"/>
          <w:i w:val="false"/>
          <w:caps w:val="false"/>
          <w:smallCaps w:val="false"/>
          <w:sz w:val="20"/>
        </w:rPr>
        <w:t>. This Agreement, the Investment Advisory Agreement and the Administration Agreement have each been duly authorized, executed and delivered by the Adviser or the Administrator. This Agreement and the Investment Advisory Agreement are valid and binding obligations of the Adviser, enforceable against it in accordance with their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Absence of Further Requirements</w:t>
      </w:r>
      <w:r>
        <w:rPr>
          <w:rFonts w:ascii="Times New Roman;Times;Serif" w:hAnsi="Times New Roman;Times;Serif"/>
          <w:b w:val="false"/>
          <w:i w:val="false"/>
          <w:caps w:val="false"/>
          <w:smallCaps w:val="false"/>
          <w:sz w:val="20"/>
        </w:rPr>
        <w:t>. No filing with, or authorization, approval, consent, license, order, registration, qualification or decree of, any court or governmental authority or agency is necessary or required for the performance by the Adviser of its obligations hereunder, in connection with the offering, issuance or sale of the Securities hereunder or the consummation of the transactions contemplated by this Agreement or the Investment Advisory Agreement, except (A) such as have been already obtained or as may be required under the Securities Act, the 1940 Act, the rules of the NASDAQ Global Select Market, state securities laws or the rules of FINRA and (B) where the failure to obtain any such filing, authorization, approval, consent, license, order, registration, qualification or decree would not reasonably be expected, singly or in the aggregate, to result in an Adviser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Description of Adviser</w:t>
      </w:r>
      <w:r>
        <w:rPr>
          <w:rFonts w:ascii="Times New Roman;Times;Serif" w:hAnsi="Times New Roman;Times;Serif"/>
          <w:b w:val="false"/>
          <w:i w:val="false"/>
          <w:caps w:val="false"/>
          <w:smallCaps w:val="false"/>
          <w:sz w:val="20"/>
        </w:rPr>
        <w:t>. The description of the Adviser contained in the Registration Statement, the General Disclosure Package and the Prospectus does not contain any untrue statement of a material fact or omit to state a material fact required to be stated therein or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Possession of Licenses and Permits</w:t>
      </w:r>
      <w:r>
        <w:rPr>
          <w:rFonts w:ascii="Times New Roman;Times;Serif" w:hAnsi="Times New Roman;Times;Serif"/>
          <w:b w:val="false"/>
          <w:i w:val="false"/>
          <w:caps w:val="false"/>
          <w:smallCaps w:val="false"/>
          <w:sz w:val="20"/>
        </w:rPr>
        <w:t>. The Adviser and its subsidiaries each possess such Governmental Licenses issued by the appropriate federal, state, local or foreign regulatory agencies or bodies necessary to conduct the business now operated by them, except where the failure so to possess would not reasonably be expected, singly or in the aggregate, to result in an Adviser Material Adverse Effect. The Adviser and its subsidiaries are in compliance with the terms and conditions of all such Governmental Licenses, except where the failure so to comply would not reasonably be expected, singly or in the aggregate, to result in an Adviser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 Material Adverse Effect. The Adviser and its subsidiaries have not received any notice of proceedings relating to the revocation or modification of any such Governmental Licenses which, singly or in the aggregate, if the subject of an unfavorable decision, ruling or finding, would reasonably be expected to result in an Adviser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Stabilization and Manipulation</w:t>
      </w:r>
      <w:r>
        <w:rPr>
          <w:rFonts w:ascii="Times New Roman;Times;Serif" w:hAnsi="Times New Roman;Times;Serif"/>
          <w:b w:val="false"/>
          <w:i w:val="false"/>
          <w:caps w:val="false"/>
          <w:smallCaps w:val="false"/>
          <w:sz w:val="20"/>
        </w:rPr>
        <w:t>. The Adviser has not taken, nor will the Adviser take, directly or indirectly, without giving effect to any activities by the Underwriters, any action designed, or that would reasonably be expected, to cause or result in, or which constitutes, the stabilization or manipulation of the price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r>
        <w:rPr>
          <w:rFonts w:ascii="Times New Roman;Times;Serif" w:hAnsi="Times New Roman;Times;Serif"/>
          <w:b w:val="false"/>
          <w:i w:val="false"/>
          <w:caps w:val="false"/>
          <w:smallCaps w:val="false"/>
          <w:sz w:val="20"/>
          <w:u w:val="single"/>
        </w:rPr>
        <w:t>No Unlawful Payments</w:t>
      </w:r>
      <w:r>
        <w:rPr>
          <w:rFonts w:ascii="Times New Roman;Times;Serif" w:hAnsi="Times New Roman;Times;Serif"/>
          <w:b w:val="false"/>
          <w:i w:val="false"/>
          <w:caps w:val="false"/>
          <w:smallCaps w:val="false"/>
          <w:sz w:val="20"/>
        </w:rPr>
        <w:t>. Neither the Adviser nor any of its subsidiaries, nor any director, officer or employee of the Adviser or any of its subsidiaries nor, to the knowledge of the Adviser, any agent, affiliate or other person associated with or acting on behalf of the Adviser or any of its subsidiaries has (i) used any corporate funds for any unlawful contribution, gift, entertainment or other unlawful expense relating to political activity; (ii) made or taken an act in furtherance of an offer, payment,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or any person in violation of any applicable anti-corruption laws; (iii) violated or is in violation of any provision of the FCPA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Adviser and its subsidiaries have conducted their business in compliance with applicable anti-corruption laws and have instituted, maintained and enforced, and will continue to maintain and enforce policies and procedures designed to promote and ensure compliance with all applicable anti-bribery and anti-corruption laws and with the representations and warranties contained herein; and the Adviser and its subsidiaries will not cause the Company to use, directly or indirectly, the proceeds of the offering of the Securities in furtherance of any payment, promise to pay, or authorization of the payment or giving of money, or anything else of value, to any person in violation of any applicable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r>
        <w:rPr>
          <w:rFonts w:ascii="Times New Roman;Times;Serif" w:hAnsi="Times New Roman;Times;Serif"/>
          <w:b w:val="false"/>
          <w:i w:val="false"/>
          <w:caps w:val="false"/>
          <w:smallCaps w:val="false"/>
          <w:sz w:val="20"/>
          <w:u w:val="single"/>
        </w:rPr>
        <w:t>Compliance with Anti-Money Laundering Laws</w:t>
      </w:r>
      <w:r>
        <w:rPr>
          <w:rFonts w:ascii="Times New Roman;Times;Serif" w:hAnsi="Times New Roman;Times;Serif"/>
          <w:b w:val="false"/>
          <w:i w:val="false"/>
          <w:caps w:val="false"/>
          <w:smallCaps w:val="false"/>
          <w:sz w:val="20"/>
        </w:rPr>
        <w:t>. The operations of the Adviser and its subsidiaries are and have been conducted at all times in compliance with applicable financial recordkeeping and reporting requirements of the Anti-Money Laundering Laws, and no action, suit or proceeding by or before any Governmental Entity or other authority, body or agency having jurisdiction over the Adviser or any of its subsidiaries or any of their properties, assets or operations involving the Adviser or any of its subsidiaries with respect to the Anti-Money Laundering Laws is pending or, to the knowledge of the Adviser,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t>
      </w:r>
      <w:r>
        <w:rPr>
          <w:rFonts w:ascii="Times New Roman;Times;Serif" w:hAnsi="Times New Roman;Times;Serif"/>
          <w:b w:val="false"/>
          <w:i w:val="false"/>
          <w:caps w:val="false"/>
          <w:smallCaps w:val="false"/>
          <w:sz w:val="20"/>
          <w:u w:val="single"/>
        </w:rPr>
        <w:t>No Conflicts with Sanctions Laws</w:t>
      </w:r>
      <w:r>
        <w:rPr>
          <w:rFonts w:ascii="Times New Roman;Times;Serif" w:hAnsi="Times New Roman;Times;Serif"/>
          <w:b w:val="false"/>
          <w:i w:val="false"/>
          <w:caps w:val="false"/>
          <w:smallCaps w:val="false"/>
          <w:sz w:val="20"/>
        </w:rPr>
        <w:t>. Neither the Adviser nor any of its subsidiaries or, to the knowledge of the Adviser, any agent, affiliate or other person associated with or acting on behalf of the Adviser or any of its subsidiaries is an individual or entity that is, or is owned or controlled by one or more individuals or entities that are currently the subject or the target of any Sanctions, nor is the Adviser or any of its subsidiaries located, organized or resident in a Sanctioned Jurisdiction. For the past five years, the Adviser has not knowingly engaged in, is not now knowingly engaged in, and will not engage in, any dealings or transactions with any person that at the time of the dealing or transaction is or was the subject or the target of Sanctions or with any Sanctioned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t>
      </w:r>
      <w:r>
        <w:rPr>
          <w:rFonts w:ascii="Times New Roman;Times;Serif" w:hAnsi="Times New Roman;Times;Serif"/>
          <w:b w:val="false"/>
          <w:i w:val="false"/>
          <w:caps w:val="false"/>
          <w:smallCaps w:val="false"/>
          <w:sz w:val="20"/>
          <w:u w:val="single"/>
        </w:rPr>
        <w:t>Key Employees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Adviser is not aware that (i) any of the executive officers, key employees or significant group of employees that provide services to the Company pursuant to the Investment Advisory Agreement or Administration Agreement plans to terminate employment with the Adviser or the Administrator or (ii) any such executive officer or key employee is subject to any noncompete, nondisclosure, confidentiality, employment, consulting or similar agreement that would be violated by either the Adviser’s present or proposed business activities, except, in each case, as would not reasonably be expected, singly or in the aggregate, to result in an Adviser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t>
      </w:r>
      <w:r>
        <w:rPr>
          <w:rFonts w:ascii="Times New Roman;Times;Serif" w:hAnsi="Times New Roman;Times;Serif"/>
          <w:b w:val="false"/>
          <w:i w:val="false"/>
          <w:caps w:val="false"/>
          <w:smallCaps w:val="false"/>
          <w:sz w:val="20"/>
          <w:u w:val="single"/>
        </w:rPr>
        <w:t>No Labor Disputes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No labor disturbance by or dispute with employees of the Adviser or the Administrator exists or, to the knowledge of the Adviser, is contemplated or threatened, and the Adviser is not aware of any existing or imminent labor disturbance by, or dispute with, the employees, except in each case as would not reasonably be expected to result in an Adviser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t>
      </w:r>
      <w:r>
        <w:rPr>
          <w:rFonts w:ascii="Times New Roman;Times;Serif" w:hAnsi="Times New Roman;Times;Serif"/>
          <w:b w:val="false"/>
          <w:i w:val="false"/>
          <w:caps w:val="false"/>
          <w:smallCaps w:val="false"/>
          <w:sz w:val="20"/>
          <w:u w:val="single"/>
        </w:rPr>
        <w:t>Accounting Controls</w:t>
      </w:r>
      <w:r>
        <w:rPr>
          <w:rFonts w:ascii="Times New Roman;Times;Serif" w:hAnsi="Times New Roman;Times;Serif"/>
          <w:b w:val="false"/>
          <w:i w:val="false"/>
          <w:caps w:val="false"/>
          <w:smallCaps w:val="false"/>
          <w:sz w:val="20"/>
        </w:rPr>
        <w:t>. The Adviser maintains a system of internal accounting controls sufficient to provide reasonable assurance that (A) transactions effectuated by the Adviser under the Investment Advisory Agreement are executed in accordance with its management’s general or specific authorization, (B) access to the Company’s consolidated assets that are in its possession or control is permitted only in accordance with its management’s general or specific authorization, (C) transactions for which the Adviser has bookkeeping and record-keeping responsibility under the Investment Advisory Agreement are recorded as necessary to permit preparation of the Company’s financial statements in conformity with GAAP and to maintain accountability for the Company’s assets, and (D) the recorded accountability for such assets is compared with existing assets at reasonable intervals and appropriate action is taken with respect to any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w:t>
      </w:r>
      <w:r>
        <w:rPr>
          <w:rFonts w:ascii="Times New Roman;Times;Serif" w:hAnsi="Times New Roman;Times;Serif"/>
          <w:b w:val="false"/>
          <w:i w:val="false"/>
          <w:caps w:val="false"/>
          <w:smallCaps w:val="false"/>
          <w:sz w:val="20"/>
          <w:u w:val="single"/>
        </w:rPr>
        <w:t>Financial Resources</w:t>
      </w:r>
      <w:r>
        <w:rPr>
          <w:rFonts w:ascii="Times New Roman;Times;Serif" w:hAnsi="Times New Roman;Times;Serif"/>
          <w:b w:val="false"/>
          <w:i w:val="false"/>
          <w:caps w:val="false"/>
          <w:smallCaps w:val="false"/>
          <w:sz w:val="20"/>
        </w:rPr>
        <w:t>. The Adviser has the financial resources available to it necessary for the performance of its services and obligations as contemplated by the Registration Statement, the General Disclosure Package, the Prospectus and the Investment Advisory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Officer’s Certificates.</w:t>
      </w:r>
      <w:r>
        <w:rPr>
          <w:rFonts w:ascii="Times New Roman;Times;Serif" w:hAnsi="Times New Roman;Times;Serif"/>
          <w:b w:val="false"/>
          <w:i w:val="false"/>
          <w:caps w:val="false"/>
          <w:smallCaps w:val="false"/>
          <w:sz w:val="20"/>
        </w:rPr>
        <w:t xml:space="preserve"> Any certificate signed by any officer of the Company or the Adviser delivered to the Representative or to counsel for the Underwriters shall be deemed a representation and warranty by the Company or the Adviser, as applicable, to each Underwriter as to the matters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Agreements to Sell and Purchase</w:t>
      </w:r>
      <w:r>
        <w:rPr>
          <w:rFonts w:ascii="Times New Roman;Times;Serif" w:hAnsi="Times New Roman;Times;Serif"/>
          <w:b w:val="false"/>
          <w:i w:val="false"/>
          <w:caps w:val="false"/>
          <w:smallCaps w:val="false"/>
          <w:sz w:val="20"/>
        </w:rPr>
        <w:t>. The Company agrees to sell to the several Underwriters, and each Underwriter, upon the basis of the representations and warranties herein contained but subject to the conditions hereinafter stated, agrees severally and not jointly to purchase from the Company, at the price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the aggregate principal amount of Securities set forth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opposite the name of such Underwriter, plus any additional aggregate principal amount of Securities which such Underwriter may become obligated to purchase pursuant to the provisions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of 90 days from the date of the Prospectus, the Company will not, without the prior written consent of the Representative,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provided that the foregoing limitation will not apply to the Company’s ability to file a post-effective amendment to the Registration Statement for purposes of adding this Agreement, the Indenture and certain other documents related to the transactions contemplated by this Agreement as exhibits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Terms of Public Offering</w:t>
      </w:r>
      <w:r>
        <w:rPr>
          <w:rFonts w:ascii="Times New Roman;Times;Serif" w:hAnsi="Times New Roman;Times;Serif"/>
          <w:b w:val="false"/>
          <w:i w:val="false"/>
          <w:caps w:val="false"/>
          <w:smallCaps w:val="false"/>
          <w:sz w:val="20"/>
        </w:rPr>
        <w:t>. The Company is advised by the Representative that the Underwriters propose to make a public offering of their respective portions of the Securities as soon after this Agreement has become effective as in the Representative’s judgment is advisable. The Company is further advised by the Representative that the Securities are to be offered to the public from time to time in one or more negotiated transactions at prices that may be different than par. These sales may occur at market prices prevailing at the time of sale, at prices related to such prevailing market prices, or at negotiated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Payment and Delivery</w:t>
      </w:r>
      <w:r>
        <w:rPr>
          <w:rFonts w:ascii="Times New Roman;Times;Serif" w:hAnsi="Times New Roman;Times;Serif"/>
          <w:b w:val="false"/>
          <w:i w:val="false"/>
          <w:caps w:val="false"/>
          <w:smallCaps w:val="false"/>
          <w:sz w:val="20"/>
        </w:rPr>
        <w:t>. Payment for the Notes to be sold by the Company shall be made to the Company in Federal or other funds immediately available in New York City against delivery of such Notes for the respective accounts of the several Underwriters at the offices of Eversheds Sutherland (US) LLP, 1114 Sixth Ave, New York, New York 10036, or at such other places as shall be agreed upon by the Representative and the Company at 10:00 a.m. New York City time on May 27, 2026, or at such other time on the same or such other date as shall be designated in writing by the Representative. The time and date of such payment are hereinafter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shall be registered in such names as the Representative shall request in writing not later than one full business day prior to the Closing Date. The Notes shall be delivered to the Representative on the Closing Date for the respective accounts of the several Underwriters, with any transfer taxes payable in connection with the transfer of the Securities to the Underwriters duly paid against payment of the Purchase Price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Conditions to the Underwriters’ Obligations</w:t>
      </w:r>
      <w:r>
        <w:rPr>
          <w:rFonts w:ascii="Times New Roman;Times;Serif" w:hAnsi="Times New Roman;Times;Serif"/>
          <w:b w:val="false"/>
          <w:i w:val="false"/>
          <w:caps w:val="false"/>
          <w:smallCaps w:val="false"/>
          <w:sz w:val="20"/>
        </w:rPr>
        <w:t>. The several obligations of the Underwriters are subject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Subsequent to the execution and delivery of this Agreement and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by any “nationally recognized statistical rating organization,” as such term is defined in Section 3(a)(62)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shall not have occurred any change, or any development involving a prospective change, in the condition, financial or otherwise, or in the earnings, business or operations of the Company from that set forth in the General Disclosure Package as of the date of this Agreement that, in the judgment of the Representative, is material and adverse and that makes it, in the judgment of the Representative, impracticable to market the Securities on the terms and in the manner contemplated in the General Disclosure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shall not have occurred any change, or any development involving a prospective change, in the condition, financial or otherwise, or in the business or operations of the Adviser from that set forth in the General Disclosure Package as of the date of this Agreement that, in the judgment of the Representative, is material and adverse and that makes it, in the judgment of the Representative, impracticable to market the Securities on the terms and in the manner contemplated in the General Disclosure Package;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and the Trustee shall have executed and delivered the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Underwriters shall have received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certificate, dated the Closing Date and signed by an executive officer of the Company, in the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certificate, dated the Closing Date and signed by an executive officer of the Adviser, to the effect that the representations and warranties of the Adviser contained in this Agreement are true and correct as of the Closing Date and that the Adviser has complied with all of the agreements and satisfied all of the conditions on its part to be performed or satisfied hereunder on or before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 signing and delivering such certificates may rely upon the best of his or her knowledge as to proceedings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Underwriters shall have received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 opinion and negative assurance letter of Dechert LLP, outside counsel for the Company, dated the Closing Date, to the effect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opinion and negative assurance letter of Eversheds Sutherland (US) LLP, counsel for the Underwriters, dated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of Dechert LLP described in clause (c)(i) above shall be rendered to the Underwriters at the request of the Company and shall so state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Underwriters shall have received, on the Closing Date, reasonably satisfactory evidence of the good standing of the Company, the Adviser and the Administrator in their respective jurisdictions of organization and their good standing as foreign entities in such other jurisdictions as the Underwriters may reasonably request, in each case in writing or by any standard form of telecommunication from the appropriate governmental authorities of such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Underwriters shall have received, on each of the date hereof and the Closing Date, a certificate dated as of the Closing Date of the Chief Financial Officer of the Company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Covenants of the Company</w:t>
      </w:r>
      <w:r>
        <w:rPr>
          <w:rFonts w:ascii="Times New Roman;Times;Serif" w:hAnsi="Times New Roman;Times;Serif"/>
          <w:b w:val="false"/>
          <w:i w:val="false"/>
          <w:caps w:val="false"/>
          <w:smallCaps w:val="false"/>
          <w:sz w:val="20"/>
        </w:rPr>
        <w:t>. The Company covenants with each Underwriter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furnish to the Representative, without charge, two signed copies of the Registration Statement (including exhibits thereto) and, for delivery to each other Underwriter, a conformed copy of the Registration Statement (without exhibits thereto) and to furnish to the Representative in New York City, without charge, prior to 10:00 a.m. New York City time on the business day next succeeding the date of this Agreement and during the period mentioned in Section 6(d) or 6(e) below, as applicable, as many copies of the General Disclosure Package, the Prospectus and any supplements and amendments thereto or to the Registration Statement as the Representative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amending or supplementing the Registration Statement, the General Disclosure Package or the Prospectus, to furnish to the Representative a copy of each such proposed amendment or supplement and not to file any such proposed amendment or supplement to which the Representative reasonably objects, and to file with the Commission within the applicable period specified in Rule 424(b) under the Securities Act any prospectus required to be filed pursuant to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Additional Disclosure Items</w:t>
      </w:r>
      <w:r>
        <w:rPr>
          <w:rFonts w:ascii="Times New Roman;Times;Serif" w:hAnsi="Times New Roman;Times;Serif"/>
          <w:b w:val="false"/>
          <w:i w:val="false"/>
          <w:caps w:val="false"/>
          <w:smallCaps w:val="false"/>
          <w:sz w:val="20"/>
        </w:rPr>
        <w:t xml:space="preserve">. The Company represents and agrees that, without the prior consent of the Representative, (i) it will not distribute any offering material other than the Registration Statement, the Prospectus, the General Disclosure Package and the Additional Disclosure Items, and (ii) it has not made and will not make any offer relating to the Securities that would constitute a “free writing prospectus,” as defined in Rule 405 under the Securities Act,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Securities, including any in-person road show or investor presentations (including slides and scripts relating thereto) made to investors by or on behalf of the Company (each of the materials and information referred to in this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are herein referred to as an “</w:t>
      </w:r>
      <w:r>
        <w:rPr>
          <w:rFonts w:ascii="Times New Roman;Times;Serif" w:hAnsi="Times New Roman;Times;Serif"/>
          <w:b/>
          <w:i w:val="false"/>
          <w:caps w:val="false"/>
          <w:smallCaps w:val="false"/>
          <w:sz w:val="20"/>
        </w:rPr>
        <w:t>Additional Disclosure Item</w:t>
      </w:r>
      <w:r>
        <w:rPr>
          <w:rFonts w:ascii="Times New Roman;Times;Serif" w:hAnsi="Times New Roman;Times;Serif"/>
          <w:b w:val="false"/>
          <w:i w:val="false"/>
          <w:caps w:val="false"/>
          <w:smallCaps w:val="false"/>
          <w:sz w:val="20"/>
        </w:rPr>
        <w:t xml:space="preserve">”). Any Additional Disclosure Item the use of which has been consented to by the Representative is listed on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General Disclosure Package is being used to solicit offers to buy the Securities at a time when the Prospectus is not yet available to prospective purchasers and any event shall occur or condition exist as a result of which it is necessary to amend or supplement the General Disclosure Package in order to make the statements therein, in the light of the circumstances, not misleading, or if any event shall occur or condition exist as a result of which the General Disclosure Package conflicts with the information contained in the Registration Statement then on file, or if, in the opinion of counsel for the Underwriters, it is necessary to amend or supplement the General Disclosure Package to comply with applicable law, forthwith to prepare, file with the Commission and furnish, at its own expense, to the Underwriters and to any dealer upon request, either amendments or supplements to the General Disclosure Package so that the statements in the General Disclosure Package as so amended or supplemented will not, in the light of the circumstances when the General Disclosure Package is delivered to a prospective purchaser, be misleading, or so that the General Disclosure Package, as amended or supplemented, will no longer conflict with the Registration Statement, or so that the General Disclosure Package, as amended or supplemented, will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during such period after the first date of the public offering of the Securities as in the opinion of counsel for the Underwriters the Prospectus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 will furnish to the Company) to which Securities may have been sold by the Representative on behalf of the Underwriters, and to any other dealers upon request, either amendments or supplements to the Prospectus so that the statements in the Prospectus as so amended or supplemented will not, in the light of the circumstances when the Prospectus is delivered to a purchaser, be misleading or so that the Prospectus, as amended or supplemented, will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endeavor to qualify the Securities for offer and sale under the securities or “blue sky” laws of such jurisdictions as the Representative shall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make generally available to the Company’s security holders and to the Representative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use reasonable efforts to maintain its status as a business development company under the 1940 Act; provided, however, that the Company may only cease to be, or withdraw its election to be treated as, a business development company with the approval of its Board of Directors and a vote of stockholders as required by Section 58 of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use reasonable efforts to qualify and elect to be treated as a regulated investment company under subchapter M of the Code and to maintain such qualification and election in effect for each full fiscal year during which it is a business development company under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cooperate with the Representative and use its commercially reasonable efforts to permit the offered Securities to be eligible for clearance and settlement through the facilities of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xml:space="preserve">. 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and the Company’s accountants in connection with the registration and delivery of the Securities under the Securities Act and all other fees or expenses in connection with the preparation and filing of the Registration Statement, the General Disclosure Package, the Prospectus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issued Securities to the Underwriters, including any transfer or other taxes payable thereon, (iii) the cost of printing or producing any “blue sky” or legal memorandum in connection with the offer and sale of the Securities under state securities laws, and all expenses in connection with the qualification of the Securities for offer and sale under state securities laws as provided in </w:t>
      </w:r>
      <w:r>
        <w:rPr>
          <w:rFonts w:ascii="Times New Roman;Times;Serif" w:hAnsi="Times New Roman;Times;Serif"/>
          <w:b w:val="false"/>
          <w:i w:val="false"/>
          <w:caps w:val="false"/>
          <w:smallCaps w:val="false"/>
          <w:sz w:val="20"/>
          <w:u w:val="single"/>
        </w:rPr>
        <w:t>Section 6(f)</w:t>
      </w:r>
      <w:r>
        <w:rPr>
          <w:rFonts w:ascii="Times New Roman;Times;Serif" w:hAnsi="Times New Roman;Times;Serif"/>
          <w:b w:val="false"/>
          <w:i w:val="false"/>
          <w:caps w:val="false"/>
          <w:smallCaps w:val="false"/>
          <w:sz w:val="20"/>
        </w:rPr>
        <w:t xml:space="preserve"> hereof, including filing fees and the reasonable fees and disbursements of counsel for the Underwriters in connection with such qualification and in connection with the “blue sky” or legal memorandum, (iv) the costs and expenses of any trustee, (v) the costs and charges of any transfer agent, registrar or depository, (vi)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(vii) the document production charges and expenses associated with printing this Agreement, the Indenture, the Securities and such other documents as may be required in connection with the offering, and (viii) all other costs and expenses incident to the performance of the obligations of the Company hereunder for which provision is not otherwise made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It is understood, however, that except as provided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the last paragraph of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below, the Underwriters will pay all of their costs and expenses, including fees and disbursements of their counsel (except as provided for above in </w:t>
      </w:r>
      <w:r>
        <w:rPr>
          <w:rFonts w:ascii="Times New Roman;Times;Serif" w:hAnsi="Times New Roman;Times;Serif"/>
          <w:b w:val="false"/>
          <w:i w:val="false"/>
          <w:caps w:val="false"/>
          <w:smallCaps w:val="false"/>
          <w:sz w:val="20"/>
          <w:u w:val="single"/>
        </w:rPr>
        <w:t>Section 7(iii)</w:t>
      </w:r>
      <w:r>
        <w:rPr>
          <w:rFonts w:ascii="Times New Roman;Times;Serif" w:hAnsi="Times New Roman;Times;Serif"/>
          <w:b w:val="false"/>
          <w:i w:val="false"/>
          <w:caps w:val="false"/>
          <w:smallCaps w:val="false"/>
          <w:sz w:val="20"/>
        </w:rPr>
        <w:t>), transfer taxes payable on resale of any of the Securities by them and any advertising expenses connected with any offers they may make.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Indemnity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agrees to indemnify and hold harmless each Underwriter, each affiliate of any Underwriter within the meaning of Rule 405 under the Securities Act, the officers, directors, employees, partners and members of any of the foregoing, and each person, if any, who controls any Underwriter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the General Disclosure Package, any Additional Disclosure Item, or the Prospectus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Adviser agrees, severally and not jointly, to indemnify and hold harmless each Underwriter, each affiliate of any Underwriter within the meaning of Rule 405 under the Securities Act, the officers, directors, employees, partners and members of any of the foregoing, and each person, if any, who controls any Underwriter within the meaning of either Section 15 of the Securities Act or Section 20 of the Exchange Act, to the same extent as the foregoing indemnity from the Company to such Underwriter, but only to the extent that such untrue statement or alleged untrue statement or omission or alleged omission was made in the Registration Statement, the General Disclosure Package, any Additional Disclosure Item or the Prospectus or any amendment or supplement thereto in reliance upon and in conformity with written information furnished to the Company by the Adviser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Underwriter agrees, severally and not jointly, to indemnify and hold harmless the Company, the Adviser, the directors of the Company, the officers of the Company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 expressly for use in the Registration Statement, the General Disclosure Package, any Additional Disclosure Item or the Prospectus or any amendment or supplement thereto. For purposes of this Agreement, the only information so furnished shall be the Underwriter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case any proceeding (including any governmental investigation) shall be instituted involving any person in respect of which indemnity may be sought pursuant to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 such person (the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shall promptly notify the person against whom such indemnity may be sought (the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xml:space="preserve">”) in writing (but failure to so notify an indemnifying party shall not relieve such indemnifying party from any liability hereunder to the extent such indemnifying party is not materially prejudiced as a result thereof),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In the case of any such separate firm for the Underwriters and such control persons and affiliates of any Underwriters, such firm shall be designated in writing by the Representative.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w:t>
      </w:r>
      <w:r>
        <w:rPr>
          <w:rFonts w:ascii="Times New Roman;Times;Serif" w:hAnsi="Times New Roman;Times;Serif"/>
          <w:b w:val="false"/>
          <w:i w:val="false"/>
          <w:caps w:val="false"/>
          <w:smallCaps w:val="false"/>
          <w:sz w:val="20"/>
          <w:u w:val="single"/>
        </w:rPr>
        <w:t>Section 8(c)</w:t>
      </w:r>
      <w:r>
        <w:rPr>
          <w:rFonts w:ascii="Times New Roman;Times;Serif" w:hAnsi="Times New Roman;Times;Serif"/>
          <w:b w:val="false"/>
          <w:i w:val="false"/>
          <w:caps w:val="false"/>
          <w:smallCaps w:val="false"/>
          <w:sz w:val="20"/>
        </w:rPr>
        <w:t>,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from all liability on claims that are the subject matter of such proceeding and (y) does not include a statement as to or an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the extent the indemnification provided for in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 xml:space="preserve"> is unavailable to an indemnified party or insufficient in respect of any losses, claims, damages or liabilities referred to therein, then each indemnifying party under such section,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difference between (x) the aggregate price to the public received by the Underwriters and (y) the aggregate price paid by the Underwriters to the Company for the Securities, bear to the aggregate public offering price of the Securities.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are several in proportion to the respective principal amount of Securities they have purchased hereunder,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 the Adviser and the Underwriters agree that it would not be just or equitable if contribution pursuant to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were determined by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allocation (even if the Underwriters were treated as one entity for such purpose) or by any other method of allocation that does not take account of the equitable considerations referred to in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 xml:space="preserve">. The amount paid or payable by an indemnified party as a result of the losses, claims, damages and liabilities referenced in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 xml:space="preserve">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no Underwriter shall be required to contribute any amount in excess of the amount by which the total price of the Securities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are not exclusive and shall not limit any rights or remedies which may otherwise be available to any indemnified party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indemnity and contribution provisions contained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the Company, its officers or directors or any person controlling the Company, and (iii) acceptance of and payment for any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 other provision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no party shall be entitled to indemnification or contribution under this Agreement in violation of Section 17(i) of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The Underwriters may terminate this Agreement by notice given by the Representative to the Company, if after the execution and delivery of this Agreement and prior to the Closing Date (i) trading generally shall have been suspended or materially limited on, or by, as the case may be, any of the NYSE, the NYSE American or the NASDAQ Global Select Market or other relevant exchanges, (ii) there shall have been a downgrade in the rating of any debt of the Company or any subsidiary by any “nationally recognized statistical rating organization,” as such term is defined for purposes of Section 3(a)(62) of the Exchange Act, (iii) trading of any securities of the Company shall have been suspended on any exchange or in any over-the-counter market, (iv) a material disruption in securities settlement, payment or clearance services in the United States or other relevant jurisdiction shall have occurred, (v) any moratorium on commercial banking activities shall have been declared by Federal or New York State authorities, or (vi) there shall have occurred any outbreak or escalation of hostilities, or any change in financial markets or any calamity or crisis that, in the judgment of the Representative, is material and adverse and which, singly or together with any other event specified in this clause (vi), makes it, in the judgment of the Representative, impracticable or inadvisable to proceed with the offer, sale or delivery of the Securities on the terms and in the manner contemplated in the General Disclosure Package or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Effectiveness</w:t>
      </w:r>
      <w:r>
        <w:rPr>
          <w:rFonts w:ascii="Times New Roman;Times;Serif" w:hAnsi="Times New Roman;Times;Serif"/>
          <w:b w:val="false"/>
          <w:i w:val="false"/>
          <w:caps w:val="false"/>
          <w:smallCaps w:val="false"/>
          <w:sz w:val="20"/>
        </w:rPr>
        <w:t>. This Agreement shall become effective upon the execution and delivery hereof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 as has so terminated this Agreement with respect to itself, severally in proportion to the respective principal amount of Securities sold by the Company for all out-of-pocket expenses (including the fees and disbursements of their counsel) reasonably incurred by such Underwriters in connection with this Agreement or the offering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together with any contemporaneous written agreements and any prior written agreements (to the extent not superseded by this Agreement) that relate to the offering of the Securities, represents the entire agreement between the Company and the Adviser, on the one hand, and the Underwriters, on the other, with respect to the preparation of the General Disclosure Package, the Prospectus, the conduct of the offering, and the purchase and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acknowledges that in connection with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Underwriters have acted at arm’s length, are not agents of, and owe no fiduciary duties to, the Company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Underwriters owe the Company only those duties and obligations set forth in this Agreement and prior written agreements (to the extent not superseded by this Agreement),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Underwriters may have interests that differ from those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Underwriters have not provided any legal, accounting, regulatory or tax advice with respect to the offering contemplated hereby and the Company has consulted its own legal, accounting, regulatory and tax advisors to the extent it deemed appropriate;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none of the activities of the Underwriters in connection with the transactions contemplated herein constitutes a recommendation, investment advice, or solicitation of any action by the Underwriters with respect to any entity or natural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waives to the full extent permitted by applicable law any claims it may have against the Underwriters arising from an alleged breach of fiduciary duty in connection with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may be signed in two or more counterparts, each of which shall be an original, with the same effect as if the signatures thereto and hereto were upon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caps w:val="false"/>
          <w:smallCaps w:val="false"/>
          <w:sz w:val="20"/>
        </w:rPr>
        <w:t>Tax Disclosure.</w:t>
      </w:r>
      <w:r>
        <w:rPr>
          <w:rFonts w:ascii="Times New Roman;Times;Serif" w:hAnsi="Times New Roman;Times;Serif"/>
          <w:b w:val="false"/>
          <w:i w:val="false"/>
          <w:caps w:val="false"/>
          <w:smallCaps w:val="false"/>
          <w:sz w:val="20"/>
        </w:rPr>
        <w:t xml:space="preserve"> Notwithstanding any other provision of this Agreement, from the commencement of discussions with respect to the transactions contemplated hereby, the Company (and each employee, representative or other agent of the Company) may disclose to any and all persons, without limitation of any kind, the tax treatment and tax structure (as such terms are used in Sections 6011, 6111 and 6112 of the Code and the Treasury Regulations promulgated thereunder) of the transactions contemplated by this Agreement and all materials of any kind (including opinions or other tax analyses) that are provided relating to such tax treatment and tax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caps w:val="false"/>
          <w:smallCaps w:val="false"/>
          <w:sz w:val="20"/>
        </w:rPr>
        <w:t>Recognition of the U.S. Special Resolution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Section 14, a “</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caps w:val="false"/>
          <w:smallCaps w:val="false"/>
          <w:sz w:val="20"/>
        </w:rPr>
        <w:t>Applicable Law</w:t>
      </w:r>
      <w:r>
        <w:rPr>
          <w:rFonts w:ascii="Times New Roman;Times;Serif" w:hAnsi="Times New Roman;Times;Serif"/>
          <w:b w:val="false"/>
          <w:i w:val="false"/>
          <w:caps w:val="false"/>
          <w:smallCaps w:val="false"/>
          <w:sz w:val="20"/>
        </w:rPr>
        <w:t>. This Agreement shall be governed by and construed in accordance with the internal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The headings of the sections of this Agreement have been inserted for convenience of reference only and shall not be deemed a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caps w:val="false"/>
          <w:smallCaps w:val="false"/>
          <w:sz w:val="20"/>
        </w:rPr>
        <w:t xml:space="preserve">Notices. </w:t>
      </w:r>
      <w:r>
        <w:rPr>
          <w:rFonts w:ascii="Times New Roman;Times;Serif" w:hAnsi="Times New Roman;Times;Serif"/>
          <w:b w:val="false"/>
          <w:i w:val="false"/>
          <w:caps w:val="false"/>
          <w:smallCaps w:val="false"/>
          <w:sz w:val="20"/>
        </w:rPr>
        <w:t>All communications hereunder shall be in writing and effective only upon receipt and, if to the Underwriters, shall be delivered, mailed or sent to the Representative in care of Oppenheimer &amp; Co. Inc., 85 Broad Street, 23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New York, NY 10004, with a copy, which shall not constitute notice, to Eversheds Sutherland (US) LLP, 700 6th Street NW, Washington, DC 20001, attention of Payam Siadatpour, Esq., and, if to the Company, shall be delivered, mailed or sent to Runway Growth Finance Corp., 205 N. Michigan Ave., Suite 4200, Chicago, IL 60601, with a copy, which shall not constitute notice, to Dechert LLP, 1900 K Street NW, Washington, DC 20006, attention of Harry S. Pangas, Esq.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19" w:type="dxa"/>
        <w:jc w:val="left"/>
        <w:tblInd w:w="0" w:type="dxa"/>
        <w:tblLayout w:type="fixed"/>
        <w:tblCellMar>
          <w:top w:w="0" w:type="dxa"/>
          <w:left w:w="0" w:type="dxa"/>
          <w:bottom w:w="0" w:type="dxa"/>
          <w:right w:w="0" w:type="dxa"/>
        </w:tblCellMar>
      </w:tblPr>
      <w:tblGrid>
        <w:gridCol w:w="75"/>
        <w:gridCol w:w="364"/>
        <w:gridCol w:w="2880"/>
      </w:tblGrid>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RUNWAY GROWTH FINANCE CORP.</w:t>
            </w:r>
          </w:p>
        </w:tc>
      </w:tr>
      <w:tr>
        <w:trPr/>
        <w:tc>
          <w:tcPr>
            <w:tcW w:w="75"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c>
          <w:tcPr>
            <w:tcW w:w="2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/s/Thomas B. Raterman</w:t>
            </w:r>
          </w:p>
        </w:tc>
      </w:tr>
      <w:tr>
        <w:trPr/>
        <w:tc>
          <w:tcPr>
            <w:tcW w:w="75"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c>
          <w:tcPr>
            <w:tcW w:w="2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Thomas B. Raterman </w:t>
            </w:r>
          </w:p>
        </w:tc>
      </w:tr>
      <w:tr>
        <w:trPr/>
        <w:tc>
          <w:tcPr>
            <w:tcW w:w="75"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c>
          <w:tcPr>
            <w:tcW w:w="2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Chief Financial Officer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Runway Growth Capital LLC</w:t>
            </w:r>
          </w:p>
        </w:tc>
      </w:tr>
      <w:tr>
        <w:trPr/>
        <w:tc>
          <w:tcPr>
            <w:tcW w:w="75"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c>
          <w:tcPr>
            <w:tcW w:w="2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/s/Thomas B. Raterman</w:t>
            </w:r>
          </w:p>
        </w:tc>
      </w:tr>
      <w:tr>
        <w:trPr/>
        <w:tc>
          <w:tcPr>
            <w:tcW w:w="75"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c>
          <w:tcPr>
            <w:tcW w:w="2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Thomas B. Raterman</w:t>
            </w:r>
          </w:p>
        </w:tc>
      </w:tr>
      <w:tr>
        <w:trPr/>
        <w:tc>
          <w:tcPr>
            <w:tcW w:w="75"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c>
          <w:tcPr>
            <w:tcW w:w="2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Chief Financial Officer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Signature Page - Underwriting Agreement (Institutional Notes – May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AND ACCEPTED,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335"/>
        <w:gridCol w:w="2345"/>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OPPENHEIMER &amp; CO. INC.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JD Nelson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JD Nelson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itself and as Representative of the other Underwriter named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[Underwriter Signature Page - Underwriting Agreement (Institutional Notes –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left"/>
        <w:rPr>
          <w:caps w:val="false"/>
          <w:smallCaps w:val="false"/>
        </w:rPr>
      </w:pPr>
      <w:r>
        <w:rPr>
          <w:caps w:val="false"/>
          <w:smallCaps w:val="false"/>
        </w:rPr>
        <w:t> </w:t>
      </w:r>
    </w:p>
    <w:tbl>
      <w:tblPr>
        <w:tblW w:w="4944" w:type="dxa"/>
        <w:jc w:val="left"/>
        <w:tblInd w:w="0" w:type="dxa"/>
        <w:tblLayout w:type="fixed"/>
        <w:tblCellMar>
          <w:top w:w="0" w:type="dxa"/>
          <w:left w:w="0" w:type="dxa"/>
          <w:bottom w:w="28" w:type="dxa"/>
          <w:right w:w="0" w:type="dxa"/>
        </w:tblCellMar>
      </w:tblPr>
      <w:tblGrid>
        <w:gridCol w:w="2300"/>
        <w:gridCol w:w="60"/>
        <w:gridCol w:w="235"/>
        <w:gridCol w:w="2274"/>
        <w:gridCol w:w="75"/>
      </w:tblGrid>
      <w:tr>
        <w:trPr/>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Underwriter</w:t>
            </w:r>
          </w:p>
        </w:tc>
        <w:tc>
          <w:tcPr>
            <w:tcW w:w="60" w:type="dxa"/>
            <w:tcBorders/>
            <w:tcMar>
              <w:bottom w:w="0" w:type="dxa"/>
            </w:tcMar>
            <w:vAlign w:val="center"/>
          </w:tcPr>
          <w:p>
            <w:pPr>
              <w:pStyle w:val="TableContents"/>
              <w:bidi w:val="0"/>
              <w:spacing w:before="0" w:after="283"/>
              <w:jc w:val="left"/>
              <w:rPr/>
            </w:pPr>
            <w:r>
              <w:rPr/>
              <w:t> </w:t>
            </w:r>
          </w:p>
        </w:tc>
        <w:tc>
          <w:tcPr>
            <w:tcW w:w="25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Principal Amount of Notes to </w:t>
              <w:br/>
              <w:t>be Purchased</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Oppenheimer &amp; Co.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BC Partners Securities, LLC</w:t>
            </w:r>
          </w:p>
        </w:tc>
        <w:tc>
          <w:tcPr>
            <w:tcW w:w="60"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2274"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5,000,000.00</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Total: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II</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2"/>
        <w:gridCol w:w="9929"/>
      </w:tblGrid>
      <w:tr>
        <w:trPr/>
        <w:tc>
          <w:tcPr>
            <w:tcW w:w="4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283"/>
              <w:jc w:val="left"/>
              <w:rPr/>
            </w:pPr>
            <w:r>
              <w:rPr/>
              <w:t xml:space="preserve">Term sheet containing the terms of the Notes, substantially in the form of </w:t>
            </w:r>
            <w:r>
              <w:rPr>
                <w:u w:val="single"/>
              </w:rPr>
              <w:t>Annex A</w:t>
            </w:r>
            <w:r>
              <w:rPr/>
              <w:t xml:space="preserve"> 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Runway Growth Finance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 Notes Due 2029</w:t>
        <w:br/>
        <w:t>Pricing Term Sheet</w:t>
        <w:br/>
        <w:t>May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following sets forth the final terms of the 7.00% Notes due 2029 (the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and should only be read together with the prospectus dated March 19, 2025, relating to these securities. All references to dollar amounts are references to U.S. dollars.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8"/>
        <w:gridCol w:w="60"/>
        <w:gridCol w:w="7827"/>
      </w:tblGrid>
      <w:tr>
        <w:trPr/>
        <w:tc>
          <w:tcPr>
            <w:tcW w:w="231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Runway Growth Finance Corp. (the “Company”)</w:t>
            </w:r>
          </w:p>
        </w:tc>
      </w:tr>
      <w:tr>
        <w:trPr/>
        <w:tc>
          <w:tcPr>
            <w:tcW w:w="23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1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the Securities: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 Notes due 2029</w:t>
            </w:r>
          </w:p>
        </w:tc>
      </w:tr>
      <w:tr>
        <w:trPr/>
        <w:tc>
          <w:tcPr>
            <w:tcW w:w="23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1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Principal Amount Being Offered: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   </w:t>
            </w:r>
          </w:p>
        </w:tc>
      </w:tr>
      <w:tr>
        <w:trPr/>
        <w:tc>
          <w:tcPr>
            <w:tcW w:w="23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1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98.859%</w:t>
            </w:r>
          </w:p>
        </w:tc>
      </w:tr>
      <w:tr>
        <w:trPr/>
        <w:tc>
          <w:tcPr>
            <w:tcW w:w="23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1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Payable at Maturity: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of the aggregate principal amount.</w:t>
            </w:r>
          </w:p>
        </w:tc>
      </w:tr>
      <w:tr>
        <w:trPr/>
        <w:tc>
          <w:tcPr>
            <w:tcW w:w="23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1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 of Note: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Fixed-rate note</w:t>
            </w:r>
          </w:p>
        </w:tc>
      </w:tr>
      <w:tr>
        <w:trPr/>
        <w:tc>
          <w:tcPr>
            <w:tcW w:w="23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1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Established Trading Market: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intend to list the Notes on any securities exchange or automated dealer quotation system. We cannot assure you that a liquid market for the Notes will develop or be maintained.</w:t>
            </w:r>
          </w:p>
        </w:tc>
      </w:tr>
      <w:tr>
        <w:trPr/>
        <w:tc>
          <w:tcPr>
            <w:tcW w:w="23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1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Maturity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 2029</w:t>
            </w:r>
          </w:p>
        </w:tc>
      </w:tr>
      <w:tr>
        <w:trPr/>
        <w:tc>
          <w:tcPr>
            <w:tcW w:w="23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1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 per year, payable semi-annually in arrears</w:t>
            </w:r>
          </w:p>
        </w:tc>
      </w:tr>
      <w:tr>
        <w:trPr/>
        <w:tc>
          <w:tcPr>
            <w:tcW w:w="23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1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Discount: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r>
      <w:tr>
        <w:trPr/>
        <w:tc>
          <w:tcPr>
            <w:tcW w:w="23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1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 to the Issuer, before Expenses: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97.359%</w:t>
            </w:r>
          </w:p>
        </w:tc>
      </w:tr>
      <w:tr>
        <w:trPr/>
        <w:tc>
          <w:tcPr>
            <w:tcW w:w="23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1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Day Count Basis: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360-day year of twelve 30-day months</w:t>
            </w:r>
          </w:p>
        </w:tc>
      </w:tr>
      <w:tr>
        <w:trPr/>
        <w:tc>
          <w:tcPr>
            <w:tcW w:w="23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1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27, 2026</w:t>
            </w:r>
          </w:p>
        </w:tc>
      </w:tr>
      <w:tr>
        <w:trPr/>
        <w:tc>
          <w:tcPr>
            <w:tcW w:w="23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1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29, 2026 (T+2)</w:t>
            </w:r>
          </w:p>
        </w:tc>
      </w:tr>
      <w:tr>
        <w:trPr/>
        <w:tc>
          <w:tcPr>
            <w:tcW w:w="23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1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Interest Starts Accruing: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4"/>
        <w:gridCol w:w="60"/>
        <w:gridCol w:w="8391"/>
      </w:tblGrid>
      <w:tr>
        <w:trPr/>
        <w:tc>
          <w:tcPr>
            <w:tcW w:w="1754" w:type="dxa"/>
            <w:tcBorders/>
            <w:vAlign w:val="center"/>
          </w:tcPr>
          <w:p>
            <w:pPr>
              <w:pStyle w:val="TableContents"/>
              <w:bidi w:val="0"/>
              <w:spacing w:before="0" w:after="283"/>
              <w:ind w:left="0" w:right="0" w:hanging="2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Payment Dates: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and December 1 of each year, commencing on December 1, 2026. If an interest payment date falls on a non-business day, the applicable interest payment will be made on the next business day and no additional interest will accrue as a result of such delayed payment.</w:t>
            </w:r>
          </w:p>
        </w:tc>
      </w:tr>
      <w:tr>
        <w:trPr/>
        <w:tc>
          <w:tcPr>
            <w:tcW w:w="17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ind w:left="0" w:right="0" w:hanging="2160"/>
              <w:jc w:val="both"/>
              <w:rPr>
                <w:caps w:val="false"/>
                <w:smallCaps w:val="false"/>
              </w:rPr>
            </w:pPr>
            <w:r>
              <w:rPr>
                <w:caps w:val="false"/>
                <w:smallCaps w:val="false"/>
              </w:rPr>
              <w:t> </w:t>
            </w:r>
          </w:p>
        </w:tc>
      </w:tr>
      <w:tr>
        <w:trPr/>
        <w:tc>
          <w:tcPr>
            <w:tcW w:w="175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Periods: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interest period will be the period from and including May 29, 2026, to, but excluding, the initial interest payment date, and the subsequent interest periods will be the periods from and including an interest payment date to, but excluding, the next interest payment date or the stated maturity date, as the case may be.</w:t>
            </w:r>
          </w:p>
        </w:tc>
      </w:tr>
      <w:tr>
        <w:trPr/>
        <w:tc>
          <w:tcPr>
            <w:tcW w:w="17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5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Specified Currency: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w:t>
            </w:r>
          </w:p>
        </w:tc>
      </w:tr>
      <w:tr>
        <w:trPr/>
        <w:tc>
          <w:tcPr>
            <w:tcW w:w="17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5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Denominations: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issue the Notes in denominations of $2,000 and integral multiples of $1,000 in excess thereof.</w:t>
            </w:r>
          </w:p>
        </w:tc>
      </w:tr>
      <w:tr>
        <w:trPr/>
        <w:tc>
          <w:tcPr>
            <w:tcW w:w="17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ind w:left="0" w:right="0" w:hanging="2160"/>
              <w:jc w:val="both"/>
              <w:rPr>
                <w:caps w:val="false"/>
                <w:smallCaps w:val="false"/>
              </w:rPr>
            </w:pPr>
            <w:r>
              <w:rPr>
                <w:caps w:val="false"/>
                <w:smallCaps w:val="false"/>
              </w:rPr>
              <w:t> </w:t>
            </w:r>
          </w:p>
        </w:tc>
      </w:tr>
      <w:tr>
        <w:trPr/>
        <w:tc>
          <w:tcPr>
            <w:tcW w:w="175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Day: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Monday, Tuesday, Wednesday, Thursday and Friday that is not a day on which banking institutions in New York City or the place of payment are authorized or required by law or executive order to close.</w:t>
            </w:r>
          </w:p>
        </w:tc>
      </w:tr>
      <w:tr>
        <w:trPr/>
        <w:tc>
          <w:tcPr>
            <w:tcW w:w="17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ind w:left="0" w:right="0" w:hanging="2160"/>
              <w:jc w:val="both"/>
              <w:rPr>
                <w:caps w:val="false"/>
                <w:smallCaps w:val="false"/>
              </w:rPr>
            </w:pPr>
            <w:r>
              <w:rPr>
                <w:caps w:val="false"/>
                <w:smallCaps w:val="false"/>
              </w:rPr>
              <w:t> </w:t>
            </w:r>
          </w:p>
        </w:tc>
      </w:tr>
      <w:tr>
        <w:trPr/>
        <w:tc>
          <w:tcPr>
            <w:tcW w:w="175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Optional Redemption: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1" w:type="dxa"/>
            <w:tcBorders/>
            <w:vAlign w:val="center"/>
          </w:tcPr>
          <w:p>
            <w:pPr>
              <w:pStyle w:val="TableContents"/>
              <w:bidi w:val="0"/>
              <w:spacing w:before="0" w:after="283"/>
              <w:ind w:left="0" w:right="0" w:hanging="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June 1, 2029 (six months prior to the maturity date of the Notes) (the “Par Call Date”), the Company may redeem the Notes at its option, in whole or in part, at any time and from time to time, at a redemption price (expressed as a percentage of principal amount and rounded to three decimal places) equal to the greater of: (1)(a)the sum of the present values of the remaining scheduled payments of principal and interest thereon discounted to the redemption date (assuming the Notes matured on the Par Call Date) on a semi-annual basis at the Treasury Rate plus 50 basis points less (b)interest accrued to the date of redemption, and (2)100% of the principal amount of the Notes to be redeemed, plus, in either case, accrued and unpaid interest thereon, but not including the redemption date.</w:t>
            </w:r>
          </w:p>
        </w:tc>
      </w:tr>
      <w:tr>
        <w:trPr/>
        <w:tc>
          <w:tcPr>
            <w:tcW w:w="17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ind w:left="0" w:right="0" w:hanging="2160"/>
              <w:jc w:val="both"/>
              <w:rPr>
                <w:caps w:val="false"/>
                <w:smallCaps w:val="false"/>
              </w:rPr>
            </w:pPr>
            <w:r>
              <w:rPr>
                <w:caps w:val="false"/>
                <w:smallCaps w:val="false"/>
              </w:rPr>
              <w:t> </w:t>
            </w:r>
          </w:p>
        </w:tc>
      </w:tr>
      <w:tr>
        <w:trPr/>
        <w:tc>
          <w:tcPr>
            <w:tcW w:w="17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Notes, in whole or in part, at any time and from time to time, at a redemption price equal to 100% of the principal amount of the Notes being redeemed plus accrued and unpaid interest, if any, to but excluding, the redemption date.</w:t>
            </w:r>
          </w:p>
        </w:tc>
      </w:tr>
      <w:tr>
        <w:trPr/>
        <w:tc>
          <w:tcPr>
            <w:tcW w:w="17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5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to Purchase upon a Change of Control Repurchase Event: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Repurchase  Event occurs prior to maturity, unless the Company has exercised its right to redeem the Notes in full, holders will have the right, at their option, to require the Company to repurchase for cash some or all of the Notes at a repurchase price equal to 100% of the principal amount of the Notes being repurchased, plus accrued and unpaid interest to, but not including, the repurchase date.</w:t>
            </w:r>
          </w:p>
        </w:tc>
      </w:tr>
      <w:tr>
        <w:trPr/>
        <w:tc>
          <w:tcPr>
            <w:tcW w:w="17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5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this offering to repay indebtedness, including the repayment of its Credit Facility and for the Company’s general corporate purposes.</w:t>
            </w:r>
          </w:p>
        </w:tc>
      </w:tr>
      <w:tr>
        <w:trPr/>
        <w:tc>
          <w:tcPr>
            <w:tcW w:w="17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5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CUSIP/ISIN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78163D AB6 / US78163DAB64</w:t>
            </w:r>
          </w:p>
        </w:tc>
      </w:tr>
      <w:tr>
        <w:trPr/>
        <w:tc>
          <w:tcPr>
            <w:tcW w:w="17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5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 Book-Running Manager: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Oppenheimer&amp; Co. Inc.</w:t>
            </w:r>
          </w:p>
        </w:tc>
      </w:tr>
      <w:tr>
        <w:trPr/>
        <w:tc>
          <w:tcPr>
            <w:tcW w:w="17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5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Co-Manager: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BC Partners Securities, LLC</w:t>
            </w:r>
          </w:p>
        </w:tc>
      </w:tr>
      <w:tr>
        <w:trPr/>
        <w:tc>
          <w:tcPr>
            <w:tcW w:w="17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5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 Paying Agent and Security Registrar: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A securities rating is not a recommendation to buy, sell or hold securities and may be subject to revision or withdrawal at any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w:t>
            </w:r>
          </w:p>
        </w:tc>
        <w:tc>
          <w:tcPr>
            <w:tcW w:w="10009" w:type="dxa"/>
            <w:tcBorders/>
            <w:vAlign w:val="center"/>
          </w:tcPr>
          <w:p>
            <w:pPr>
              <w:pStyle w:val="TableContents"/>
              <w:bidi w:val="0"/>
              <w:spacing w:before="0" w:after="283"/>
              <w:jc w:val="both"/>
              <w:rPr/>
            </w:pPr>
            <w:r>
              <w:rPr/>
              <w:t>Under Rule 15c6-1 of the Securities Exchange Act of 1934, as amended, trades in the secondary market generally are required to settle in one business day, unless the parties to any such trade expressly agree otherwise. Accordingly, purchasers who wish to trade the Notes on any date prior to the business day before delivery thereof will be required, by virtue of the fact that the Notes initially will settle T+2, to specify an alternate settlement cycle at the time of any such trade to prevent a failed settlement. Purchasers of the Notes who wish to trade should consult their own advisor prior to the closing.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are advised to carefully consider the investment objectives, risks, charges and expenses of the Company before investing.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pricing term sheet is not an offer to sell or the solicitation of offers to buy, nor will there be any sale of the Notes referred to in this pricing term sheet, in any jurisdiction where such offer, solicitation or sale would be unlawful prior to the registration or qualification under the securities laws of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shelf registration statement (including a prospectus) relating to these securities is on file with, and has been declared effective by, the SEC. Before you invest, you should read the prospectus in that registration statement and other documents the Company has filed with the SEC for more complete information about the Company and this offering. You may obtain these documents for free by visiting EDGAR on the SEC’s website at </w:t>
      </w:r>
      <w:r>
        <w:rPr>
          <w:rFonts w:ascii="Times New Roman;Times;Serif" w:hAnsi="Times New Roman;Times;Serif"/>
          <w:b/>
          <w:i/>
          <w:caps w:val="false"/>
          <w:smallCaps w:val="false"/>
          <w:sz w:val="20"/>
          <w:u w:val="single"/>
        </w:rPr>
        <w:t>www.sec.gov</w:t>
      </w:r>
      <w:r>
        <w:rPr>
          <w:rFonts w:ascii="Times New Roman;Times;Serif" w:hAnsi="Times New Roman;Times;Serif"/>
          <w:b/>
          <w:i w:val="false"/>
          <w:caps w:val="false"/>
          <w:smallCaps w:val="false"/>
          <w:sz w:val="20"/>
        </w:rPr>
        <w:t>. Alternatively, the Company, the underwriter or any dealer participating in the offering will arrange to send you the prospectus if you request it from Oppenheimer &amp; Co. Inc., 85 Broad Street, 23rd Floor, New York, NY 10004 or by calling (800) 966 1559.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Term Sheet dated May 27, 2026, substantially in the form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containing the terms of the Securities, filed with the Commission on May 27, 2026 pursuant to Rule 433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Exhibit 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Opinion of Dechert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Separate Cover]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Separate Cover]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chief financial officer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Separate Cover]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5" w:name="tm2616014d1_ex4-2.htm"/>
      <w:bookmarkStart w:id="36" w:name="kstm2616014d1_ex42"/>
      <w:bookmarkEnd w:id="35"/>
      <w:bookmarkEnd w:id="3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RUNWAY GROWTH FINANCE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May 29,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FOURTH SUPPLEMENTAL INDENTURE (this “</w:t>
      </w:r>
      <w:r>
        <w:rPr>
          <w:rFonts w:ascii="Times New Roman;Times;Serif" w:hAnsi="Times New Roman;Times;Serif"/>
          <w:b w:val="false"/>
          <w:i w:val="false"/>
          <w:caps w:val="false"/>
          <w:smallCaps w:val="false"/>
          <w:sz w:val="20"/>
          <w:u w:val="single"/>
        </w:rPr>
        <w:t>Fourth Supplemental Indenture</w:t>
      </w:r>
      <w:r>
        <w:rPr>
          <w:rFonts w:ascii="Times New Roman;Times;Serif" w:hAnsi="Times New Roman;Times;Serif"/>
          <w:b w:val="false"/>
          <w:i w:val="false"/>
          <w:caps w:val="false"/>
          <w:smallCaps w:val="false"/>
          <w:sz w:val="20"/>
        </w:rPr>
        <w:t>”), dated as of May 29, 2026, is between Runway Growth Finance Corp., a Maryland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All capitalized terms used herein shall have the meaning set forth in the Base Indenture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executed and delivered an Indenture, dated as of July 28, 2022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and, as supplemented by this Fourth Supplemental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to provide for the issuance by the Company from time to time of the Company’s unsecured debentures, notes or other evidences of indebtedness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to be issued in one or more series as provided in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desires to initially issue and sell up to $50,000,000 aggregate principal amount of the Company’s 7.00% Notes due 2029 (the “</w:t>
      </w:r>
      <w:r>
        <w:rPr>
          <w:rFonts w:ascii="Times New Roman;Times;Serif" w:hAnsi="Times New Roman;Times;Serif"/>
          <w:b w:val="false"/>
          <w:i w:val="false"/>
          <w:caps w:val="false"/>
          <w:smallCaps w:val="false"/>
          <w:sz w:val="20"/>
          <w:u w:val="single"/>
        </w:rPr>
        <w:t>2029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901(4) and 901(6)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desires to establish the form and terms of the 2029 Notes and to modify, alter, supplement and change certain provisions of the Base Indenture for the benefit of the Holders of the 2029 Notes (except as may be provided in a future supplemental indenture to the Indenture (“</w:t>
      </w:r>
      <w:r>
        <w:rPr>
          <w:rFonts w:ascii="Times New Roman;Times;Serif" w:hAnsi="Times New Roman;Times;Serif"/>
          <w:b w:val="false"/>
          <w:i w:val="false"/>
          <w:caps w:val="false"/>
          <w:smallCaps w:val="false"/>
          <w:sz w:val="20"/>
          <w:u w:val="single"/>
        </w:rPr>
        <w:t>Future Supplemental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duly authorized the execution and delivery of this Fourth Supplemental Indenture to provide for the issuance of the 2029 Notes and all acts and things necessary to make this Fourth Supplemental Indenture a valid, binding, and legal obligation of the Company and to constitute a valid agreement of the Company, in accordance with its terms, have been done and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 THEREFORE, THIS INDENTURE 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premises and the purchase of the 2029 Notes by the Holders thereof, it is mutually agreed, for the equal and proportionate benefit of all Holders of the 2029 Notes,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TERMS OF THE 2029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Terms of the 2029 Notes.</w:t>
      </w:r>
      <w:r>
        <w:rPr>
          <w:rFonts w:ascii="Times New Roman;Times;Serif" w:hAnsi="Times New Roman;Times;Serif"/>
          <w:b w:val="false"/>
          <w:i w:val="false"/>
          <w:caps w:val="false"/>
          <w:smallCaps w:val="false"/>
          <w:sz w:val="20"/>
        </w:rPr>
        <w:t xml:space="preserve"> The following terms relating to the 2029 Notes are hereby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2029 Notes shall constitute a series of Securities having the title “7.00% Notes due 2029” and shall be designated as “Senior Securities” under the Indenture. The 2029 Notes shall bear a CUSIP number of 78163D AB6 and an ISIN number of US78163DAB64.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aggregate principal amount of the 2029 Notes that may be initially authenticated and delivered under the Indenture (except for 2029 Notes authenticated and delivered upon registration of, transfer of, or in exchange for, or in lieu of, other 2029 Notes pursuant to Sections 304, 305, 306, 906 or 1107 of the Base Indenture) shall be $50,000,000 aggregate principal amount. Under a Board Resolution, Officers’ Certificate pursuant to Board Resolutions or a Future Supplemental Indenture, the Company may from time to time, without the consent of the Holders of 2029 Notes, issue additional 2029 Notes (in any such case, “</w:t>
      </w:r>
      <w:r>
        <w:rPr>
          <w:rFonts w:ascii="Times New Roman;Times;Serif" w:hAnsi="Times New Roman;Times;Serif"/>
          <w:b w:val="false"/>
          <w:i w:val="false"/>
          <w:caps w:val="false"/>
          <w:smallCaps w:val="false"/>
          <w:sz w:val="20"/>
          <w:u w:val="single"/>
        </w:rPr>
        <w:t>Additional Notes</w:t>
      </w:r>
      <w:r>
        <w:rPr>
          <w:rFonts w:ascii="Times New Roman;Times;Serif" w:hAnsi="Times New Roman;Times;Serif"/>
          <w:b w:val="false"/>
          <w:i w:val="false"/>
          <w:caps w:val="false"/>
          <w:smallCaps w:val="false"/>
          <w:sz w:val="20"/>
        </w:rPr>
        <w:t>”) having the same ranking and the same interest rate, maturity and other terms as the 2029 Notes initially issued. Any Additional Notes and the existing 2029 Notes shall constitute a single series under the Indenture, and all references to the relevant 2029 Notes herein shall include the Additional Notes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entire outstanding principal of the 2029 Notes shall be payable on December 1, 2029 unless earlier redeemed or repurchased in accordance with the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at which the 2029 Notes shall bear interest shall be 7.00% per annum. The date from which interest shall accrue on the 2029 Notes shall be May 29, 2026, or the most recent Interest Payment Date to which interest has been paid or provided for; the Interest Payment Dates for the 2029 Notes shall be June 1 and December 1 of each year, commencing December 1, 2026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if an Interest Payment Date falls on a day that is not a Business Day, then the applicable interest payment shall be made on the next succeeding Business Day, and no additional interest shall accrue as a result of such delayed payment); the initial interest period shall be the period from and including May 29, 2026 (or the most recent Interest Payment Date to which interest has been paid or provided for), to, but excluding, the initial Interest Payment Date, and the subsequent interest periods shall be the periods from and including an Interest Payment Date to, but excluding, the next Interest Payment Date or the Stated Maturity, as the case may be; the interest so payable, and punctually paid or duly provided for, on any Interest Payment Date, shall be paid to the Person in whose name the 2029 Note (or one or more predecessor 2029 Notes) is registered at the close of business on the Regular Record Date for such interest, which shall be May 15 and November 15 (whether or not a Business Day), as the case may be, next preceding such Interest Payment Date. Payment of principal of (and premium, if any) and any such interest on the 2029 Notes shall be made at Corporate Trust Office of the Trustee located at 111 Filmore Avenue, St. Paul, MN 55107, Attention: Runway Growth Finance Corp. (7.00% Notes Due 2029) and at such other address as designated by the Trustee from time to time, in such coin or currency of the United States of America as at the time of payment is legal tender for payment of public and private debts;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at the option of the Company, payment of interest may be made by check mailed to the address of the Person entitled thereto as such address shall appear in the Security Register; </w:t>
      </w:r>
      <w:r>
        <w:rPr>
          <w:rFonts w:ascii="Times New Roman;Times;Serif" w:hAnsi="Times New Roman;Times;Serif"/>
          <w:b w:val="false"/>
          <w:i/>
          <w:caps w:val="false"/>
          <w:smallCaps w:val="false"/>
          <w:sz w:val="20"/>
        </w:rPr>
        <w:t>provided further, however</w:t>
      </w:r>
      <w:r>
        <w:rPr>
          <w:rFonts w:ascii="Times New Roman;Times;Serif" w:hAnsi="Times New Roman;Times;Serif"/>
          <w:b w:val="false"/>
          <w:i w:val="false"/>
          <w:caps w:val="false"/>
          <w:smallCaps w:val="false"/>
          <w:sz w:val="20"/>
        </w:rPr>
        <w:t>, that so long as the 2029 Notes are registered to Cede &amp; Co., such payment will be made by wire transfer in accordance with the procedures established by The Depository Trust Company and the Trustee. Interest on the 2029 Notes shall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2029 Notes shall be initially issuable in global form (each such 2029 Note, a “</w:t>
      </w:r>
      <w:r>
        <w:rPr>
          <w:rFonts w:ascii="Times New Roman;Times;Serif" w:hAnsi="Times New Roman;Times;Serif"/>
          <w:b w:val="false"/>
          <w:i w:val="false"/>
          <w:caps w:val="false"/>
          <w:smallCaps w:val="false"/>
          <w:sz w:val="20"/>
          <w:u w:val="single"/>
        </w:rPr>
        <w:t>Global Note</w:t>
      </w:r>
      <w:r>
        <w:rPr>
          <w:rFonts w:ascii="Times New Roman;Times;Serif" w:hAnsi="Times New Roman;Times;Serif"/>
          <w:b w:val="false"/>
          <w:i w:val="false"/>
          <w:caps w:val="false"/>
          <w:smallCaps w:val="false"/>
          <w:sz w:val="20"/>
        </w:rPr>
        <w:t xml:space="preserve">”). The Global Notes and the Trustee’s certificate of authentication thereon shall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this Fourth Supplemental Indenture. Each Global Note shall represent the outstanding 2029 Notes as shall be specified therein and each shall provide that it shall represent the aggregate amount of outstanding 2029 Notes from time to time endorsed thereon and that the aggregate amount of outstanding 2029 Notes represented thereby may from time to time be reduced or increased, as appropriate, to reflect exchanges and redemptions. Any endorsement of a Global Note to reflect the amount of any increase or decrease in the amount of outstanding 2029 Notes represented thereby shall be made by the Trustee or the Security Registrar, in accordance with Sections 203 and 305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depositary for such Global Notes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shall be The Depository Trust Company, New York, New York. The Security Registrar with respect to the Global Notes shall be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2029 Notes shall be defeasible pursuant to Section 1402 or Section 1403 of the Base Indenture. Covenant defeasance contained in Section 1403 of the Base Indenture shall apply to the covenants contained in Sections 1007 and 1008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2029 Notes shall be redeemable pursuant to Section 1101 of the Base Indenture and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June 1, 2029 (six months prior to the maturity date of the 2029 Notes) (the “</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the Company may redeem the 2029 Notes at the Company’s option, in whole or in part, at any time or from time to time, at a Redemption Price (expressed as a percentage of principal amount and rounded to three decimal points) equal to the greater of: (A)(1) the sum of the present values of the remaining scheduled payments of principal and interest thereon discounted to the Redemption Date (assuming the 2029 Notes matured on the Par Call Date) on a semiannual basis (assuming a 360-day year consisting of twelve 30-day months) at the Treasury Rate plus 50 basis points less (2) interest accrued to the date of Redemption Date, and (B) 100% of the principal amount of the 2029 Notes to be redeemed, plus, in either case,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on or after the Par Call Date, the Company may redeem the 2029 Notes, in whole or in part, at any time and from time to time, at a Redemption Price equal to 100% of the principal amount of the 2029 Notes to be redeemed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of the 2029 Notes,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(on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Times;Serif" w:hAnsi="Times New Roman;Times;Serif"/>
          <w:b w:val="false"/>
          <w:i w:val="false"/>
          <w:caps w:val="false"/>
          <w:smallCaps w:val="false"/>
          <w:sz w:val="20"/>
          <w:u w:val="single"/>
        </w:rPr>
        <w:t>H.15</w:t>
      </w:r>
      <w:r>
        <w:rPr>
          <w:rFonts w:ascii="Times New Roman;Times;Serif" w:hAnsi="Times New Roman;Times;Serif"/>
          <w:b w:val="false"/>
          <w:i w:val="false"/>
          <w:caps w:val="false"/>
          <w:smallCaps w:val="false"/>
          <w:sz w:val="20"/>
        </w:rPr>
        <w:t>”) under the caption “U.S. government securities-Treasury constant maturities-Nominal” (or any successor caption or heading) (“</w:t>
      </w:r>
      <w:r>
        <w:rPr>
          <w:rFonts w:ascii="Times New Roman;Times;Serif" w:hAnsi="Times New Roman;Times;Serif"/>
          <w:b w:val="false"/>
          <w:i w:val="false"/>
          <w:caps w:val="false"/>
          <w:smallCaps w:val="false"/>
          <w:sz w:val="20"/>
          <w:u w:val="single"/>
        </w:rPr>
        <w:t>H.15 TCM</w:t>
      </w:r>
      <w:r>
        <w:rPr>
          <w:rFonts w:ascii="Times New Roman;Times;Serif" w:hAnsi="Times New Roman;Times;Serif"/>
          <w:b w:val="false"/>
          <w:i w:val="false"/>
          <w:caps w:val="false"/>
          <w:smallCaps w:val="false"/>
          <w:sz w:val="20"/>
        </w:rPr>
        <w:t>”). In determining the Treasury Rate, the Company shall select, as applicable: (1) the yield for the Treasury constant maturity on H.15 exactly equal to the period from the Redemption Date to the Par Call Date (the “</w:t>
      </w:r>
      <w:r>
        <w:rPr>
          <w:rFonts w:ascii="Times New Roman;Times;Serif" w:hAnsi="Times New Roman;Times;Serif"/>
          <w:b w:val="false"/>
          <w:i w:val="false"/>
          <w:caps w:val="false"/>
          <w:smallCaps w:val="false"/>
          <w:sz w:val="20"/>
          <w:u w:val="single"/>
        </w:rPr>
        <w:t>Remaining Life</w:t>
      </w:r>
      <w:r>
        <w:rPr>
          <w:rFonts w:ascii="Times New Roman;Times;Serif" w:hAnsi="Times New Roman;Times;Serif"/>
          <w:b w:val="false"/>
          <w:i w:val="false"/>
          <w:caps w:val="false"/>
          <w:smallCaps w:val="false"/>
          <w:sz w:val="20"/>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 For the avoidance of doubt, the Trustee shall have no duty to calculate the Redemption Price, nor shall it have any duty to review or verify the Company’s calculations of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Notice of redemption shall be given in writing and mailed, first-class postage prepaid, by overnight courier guaranteeing next-day delivery or sent electronically in accordance with the applicable procedures of DTC with respect to the 2029 Notes in global form, to each Holder of the 2029 Notes to be redeemed, not less than thirty (30) nor more than sixty (60) days prior to the Redemption Date, at the Holder’s address, facsimile number or email address appearing in the Security Register. All notices of redemption shall contain the information set forth in Section 1104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exercise of the Company’s option to redeem the 2029 Notes shall be done in compliance with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Company elects to redeem only a portion of the 2029 Notes, the Trustee shall determine the method for selecting the particular 2029 Notes to be redeemed, in accordance with Section 1103 of the Base Indenture and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Unless the Company defaults in payment of the Redemption Price, on and after the Redemption Date, interest shall cease to accrue on the 2029 Notes called for redemption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2029 Notes shall not be subject to any sinking fund pursuant to Section 1201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2029 Notes shall be issuable in denominations of $2,000 and integral multiples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Holders of the 2029 Notes shall not have the option to have the 2029 Notes repaid prior to the Stated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DEFINITIONS AND OTHER PROVISIONS 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201.</w:t>
      </w:r>
      <w:r>
        <w:rPr>
          <w:rFonts w:ascii="Times New Roman;Times;Serif" w:hAnsi="Times New Roman;Times;Serif"/>
          <w:b w:val="false"/>
          <w:i w:val="false"/>
          <w:caps w:val="false"/>
          <w:smallCaps w:val="false"/>
          <w:sz w:val="20"/>
        </w:rPr>
        <w:t xml:space="preserve"> Except as may be provided in a Future Supplemental Indenture, for the benefit of the Holders of the 2029 Notes but no other series of Securities under the Base Indenture, whether now or hereafter issued and Outstanding, Article One of the Base Indenture shall be amended by adding or amending and restating, as applicable, the following defined terms to Section 101 thereof in appropriate alphabetical sequence,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Business Day</w:t>
      </w:r>
      <w:r>
        <w:rPr>
          <w:rFonts w:ascii="Times New Roman;Times;Serif" w:hAnsi="Times New Roman;Times;Serif"/>
          <w:b w:val="false"/>
          <w:i w:val="false"/>
          <w:caps w:val="false"/>
          <w:smallCaps w:val="false"/>
          <w:sz w:val="20"/>
          <w:shd w:fill="FFFFFF" w:val="clear"/>
        </w:rPr>
        <w:t>’, when used with respect to any Place of Payment or any other particular location referred to in this Indenture or in the Securities, means, each Monday, Tuesday, Wednesday, Thursday and Friday that is not a day on which banking institutions in New York City and Chicago are authorized or obligated by law or executive order to close.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Change of Control</w:t>
      </w:r>
      <w:r>
        <w:rPr>
          <w:rFonts w:ascii="Times New Roman;Times;Serif" w:hAnsi="Times New Roman;Times;Serif"/>
          <w:b w:val="false"/>
          <w:i w:val="false"/>
          <w:caps w:val="false"/>
          <w:smallCaps w:val="false"/>
          <w:sz w:val="20"/>
          <w:shd w:fill="FFFFFF" w:val="clear"/>
        </w:rPr>
        <w:t>’ means the occurrence of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(1) 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Times New Roman;Times;Serif" w:hAnsi="Times New Roman;Times;Serif"/>
          <w:b w:val="false"/>
          <w:i/>
          <w:caps w:val="false"/>
          <w:smallCaps w:val="false"/>
          <w:sz w:val="20"/>
          <w:shd w:fill="FFFFFF" w:val="clear"/>
        </w:rPr>
        <w:t>provided</w:t>
      </w:r>
      <w:r>
        <w:rPr>
          <w:rFonts w:ascii="Times New Roman;Times;Serif" w:hAnsi="Times New Roman;Times;Serif"/>
          <w:b w:val="false"/>
          <w:i w:val="false"/>
          <w:caps w:val="false"/>
          <w:smallCaps w:val="false"/>
          <w:sz w:val="20"/>
          <w:shd w:fill="FFFFFF" w:val="clear"/>
        </w:rPr>
        <w:t xml:space="preserve"> that, for the avoidance of doubt, a pledge of assets pursuant to any secured debt instrument of the Company or its Controlled Subsidiaries shall not be deemed to be any such sale, lease, transfer, conveyance or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(2) 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promulgated under the Exchange Act), directly or indirectly, of more than 50% of the outstanding Voting Stock of the Company, measured by voting power rather than number of shares;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(3) the approval by the Company’s stockholders of any plan or proposal relating to the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Change of Control Repurchase Event</w:t>
      </w:r>
      <w:r>
        <w:rPr>
          <w:rFonts w:ascii="Times New Roman;Times;Serif" w:hAnsi="Times New Roman;Times;Serif"/>
          <w:b w:val="false"/>
          <w:i w:val="false"/>
          <w:caps w:val="false"/>
          <w:smallCaps w:val="false"/>
          <w:sz w:val="20"/>
          <w:shd w:fill="FFFFFF" w:val="clear"/>
        </w:rPr>
        <w:t>’ means the occurrence of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Controlled Subsidiary</w:t>
      </w:r>
      <w:r>
        <w:rPr>
          <w:rFonts w:ascii="Times New Roman;Times;Serif" w:hAnsi="Times New Roman;Times;Serif"/>
          <w:b w:val="false"/>
          <w:i w:val="false"/>
          <w:caps w:val="false"/>
          <w:smallCaps w:val="false"/>
          <w:sz w:val="20"/>
          <w:shd w:fill="FFFFFF" w:val="clear"/>
        </w:rPr>
        <w:t>’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principal designated office of the Trustee at which at any time its corporate trust business shall be administered, which office at the date hereof is (i) solely for purposes of surrender for registration of transfer or exchange or for presentation for payment or repurchase or for conversion is located at 111 Filmore Avenue, St. Paul, MN 55107, Attention: Runway Growth Finance Corp., and (ii) for all other purposes is located as One Federal Street, 10th Floor, Boston, MA 02110, Attention: Runway Growth Finance Corp., or such other address as the Trustee may designate from time to time by notice to the Holders and the Company, or the principal designated corporate trust office of any successor Trustee (or such other address as such successor Trustee may designate from time to time by notice to the Holders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any statute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(or any amended or successor version) and any current or future regulations or official interpretations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 Withholding Tax</w:t>
      </w:r>
      <w:r>
        <w:rPr>
          <w:rFonts w:ascii="Times New Roman;Times;Serif" w:hAnsi="Times New Roman;Times;Serif"/>
          <w:b w:val="false"/>
          <w:i w:val="false"/>
          <w:caps w:val="false"/>
          <w:smallCaps w:val="false"/>
          <w:sz w:val="20"/>
        </w:rPr>
        <w:t>’ means any withholding or deduction pursuant to an agreement described in Section 1471(b) of the Code or otherwise imposed pursuant to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means the Investment Company Act of 1940, as amended, and the rules, regulations and interpretations promulgated thereunder, to the extent applicable, and any statute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Noteholder FATCA Information</w:t>
      </w:r>
      <w:r>
        <w:rPr>
          <w:rFonts w:ascii="Times New Roman;Times;Serif" w:hAnsi="Times New Roman;Times;Serif"/>
          <w:b w:val="false"/>
          <w:i w:val="false"/>
          <w:caps w:val="false"/>
          <w:smallCaps w:val="false"/>
          <w:sz w:val="20"/>
        </w:rPr>
        <w:t>’ means, with respect to any Holder of a 2029 Note or Holder of an interest in a 2029 Note, information sufficient to eliminate the imposition of, or determine the amount of, U.S. withholding tax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Noteholder Tax Identification Information</w:t>
      </w:r>
      <w:r>
        <w:rPr>
          <w:rFonts w:ascii="Times New Roman;Times;Serif" w:hAnsi="Times New Roman;Times;Serif"/>
          <w:b w:val="false"/>
          <w:i w:val="false"/>
          <w:caps w:val="false"/>
          <w:smallCaps w:val="false"/>
          <w:sz w:val="20"/>
        </w:rPr>
        <w:t>’ means properly completed and signed tax certifications (generally, in the case of U.S. federal income tax, IRS Form W-9 (or applicable successor form) in the case of a person that is a “United States Person” within the meaning of Section 7701(a)(30) of the Code or the appropriate IRS Form W-8 (or applicable successor form) in the case of a person that is not a "United States Person" within the meaning of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Holders</w:t>
      </w:r>
      <w:r>
        <w:rPr>
          <w:rFonts w:ascii="Times New Roman;Times;Serif" w:hAnsi="Times New Roman;Times;Serif"/>
          <w:b w:val="false"/>
          <w:i w:val="false"/>
          <w:caps w:val="false"/>
          <w:smallCaps w:val="false"/>
          <w:sz w:val="20"/>
        </w:rPr>
        <w:t>’ means (i) the Company, (ii) one or more of the Company’s Controlled Subsidiaries and (iii) Runway Growth Capital LLC, any control affiliate of Runway Growth Capital LLC or any entity that is advised by Runway Growth Capital LLC that is organized under the laws of a jurisdiction located in the United States of America and in the business of managing or advising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301.</w:t>
      </w:r>
      <w:r>
        <w:rPr>
          <w:rFonts w:ascii="Times New Roman;Times;Serif" w:hAnsi="Times New Roman;Times;Serif"/>
          <w:b w:val="false"/>
          <w:i w:val="false"/>
          <w:caps w:val="false"/>
          <w:smallCaps w:val="false"/>
          <w:sz w:val="20"/>
        </w:rPr>
        <w:t xml:space="preserve"> Except as may be provided in a Future Supplemental Indenture, for the benefit of the Holders of the 2029 Notes but no other series of Securities under the Base Indenture, whether now or hereafter issued and Outstanding, Article Three of the Base Indenture shall be amended with respect to the 2029 Notes by adding the following Section 315: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315. </w:t>
      </w:r>
      <w:r>
        <w:rPr>
          <w:rFonts w:ascii="Times New Roman;Times;Serif" w:hAnsi="Times New Roman;Times;Serif"/>
          <w:b w:val="false"/>
          <w:i w:val="false"/>
          <w:caps w:val="false"/>
          <w:smallCaps w:val="false"/>
          <w:sz w:val="20"/>
          <w:u w:val="single"/>
        </w:rPr>
        <w:t>FATCA Withholding</w:t>
      </w:r>
      <w:r>
        <w:rPr>
          <w:rFonts w:ascii="Times New Roman;Times;Serif" w:hAnsi="Times New Roman;Times;Serif"/>
          <w:b w:val="false"/>
          <w:i w:val="false"/>
          <w:caps w:val="false"/>
          <w:smallCaps w:val="false"/>
          <w:sz w:val="20"/>
        </w:rPr>
        <w:t>. Each Holder of a 2029 Note or Holder of an interest in a 2029 Note shall provide to the Trustee, any Paying Agent or the Company, upon its request, the Noteholder Tax Identification Information and, to the extent FATCA Withholding Tax is applicable, the Noteholder FATCA Information. The Trustee has the right to withhold any amounts of interest (properly withholdable under law and without any corresponding gross-up) payable to a Holder of a 2029 Note or a Holder of an interest in a 2029 Note that fails to comply with the requirements of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401</w:t>
      </w:r>
      <w:r>
        <w:rPr>
          <w:rFonts w:ascii="Times New Roman;Times;Serif" w:hAnsi="Times New Roman;Times;Serif"/>
          <w:b w:val="false"/>
          <w:i w:val="false"/>
          <w:caps w:val="false"/>
          <w:smallCaps w:val="false"/>
          <w:sz w:val="20"/>
        </w:rPr>
        <w:t>. Except as may be provided in a Future Supplemental Indenture, for the benefit of the Holders of the 2029 Notes but no other series of Securities under the Base Indenture, whether now or hereafter issued and Outstanding, Section 401 of the Base Indenture shall be amended by replacing clause (2) thereof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(2) the Company has irrevocably paid or caused to be irrevocably paid all other sums payable hereunder by the Company, including sums payable to the Trustee; and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Except as may be provided in a Future Supplemental Indenture, for the benefit of the Holders of the 2029 Notes but no other series of Securities under the Base Indenture, whether now or hereafter issued and Outstanding, Article Ten of the Base Indenture shall be amended by adding the following new Sections 1007, 1008, and 1009, each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1007. </w:t>
      </w:r>
      <w:r>
        <w:rPr>
          <w:rFonts w:ascii="Times New Roman;Times;Serif" w:hAnsi="Times New Roman;Times;Serif"/>
          <w:b w:val="false"/>
          <w:i w:val="false"/>
          <w:caps w:val="false"/>
          <w:smallCaps w:val="false"/>
          <w:sz w:val="20"/>
          <w:u w:val="single"/>
        </w:rPr>
        <w:t>Section 18(a)(1)(A) of the 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agrees that for the period of time during which 2029 Notes are Outstanding, the Company will not violate, whether or not it is subject to, Section 18(a)(1)(A) as modified by Section 61(a)(2) of the Investment Company Act or any successor provisions thereto of the Investment Company Act, whether or not the Company continues to be subject to such provisions of the Investment Company Act, but giving effect to any exemptive relief granted to the Company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1008. </w:t>
      </w:r>
      <w:r>
        <w:rPr>
          <w:rFonts w:ascii="Times New Roman;Times;Serif" w:hAnsi="Times New Roman;Times;Serif"/>
          <w:b w:val="false"/>
          <w:i w:val="false"/>
          <w:caps w:val="false"/>
          <w:smallCaps w:val="false"/>
          <w:sz w:val="20"/>
          <w:u w:val="single"/>
        </w:rPr>
        <w:t>Commission Reports and Reports to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Company is not subject to the reporting requirements of Sections 13 or 15(d) of the Exchange Act to file any periodic reports with the Commission, the Company agrees to furnish to the Holders of 2029 Notes and the Trustee for the period of time during which the 2029 Notes are Outstanding: (i) within 90 days after the end of the each fiscal year of the Company, audited annual financial statements of the Company and (ii) within 45 days after the end of each fiscal quarter of the Company (other than the Company’s fourth fiscal quarter), unaudited interim financial statements of the Company. All such financial statements shall be prepared, in all material respects,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1009. </w:t>
      </w:r>
      <w:r>
        <w:rPr>
          <w:rFonts w:ascii="Times New Roman;Times;Serif" w:hAnsi="Times New Roman;Times;Serif"/>
          <w:b w:val="false"/>
          <w:i w:val="false"/>
          <w:caps w:val="false"/>
          <w:smallCaps w:val="false"/>
          <w:sz w:val="20"/>
          <w:u w:val="single"/>
        </w:rPr>
        <w:t>Section 18(a)(1)(B) of the 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agrees that for the period of time during which the 2029 Notes are Outstanding, the Company will not violate Section 18(a)(1)(B) as modified by Section 61(a)(2) and the definitional provisions of the Investment Company Act or any successor provisions thereto of the Investment Company Act, whether or not the Company is subject to such provisions of the Investment Company Act, and after giving effect to any exemptive relief granted to the Company by the Commission; provided that the Company may declare a cash dividend or distribution, notwithstanding the prohibition contained in Section 18(a)(1)(B) as modified by Section 61(a)(2) and the definitional provisions of the Investment Company Act, but only up to such amount as is necessary in order for the Company to maintain its status as a regulated investment company under Subchapter M of the Code; provided, however, that the prohibition in this Section 1009 shall not apply until such time as the Company’s asset coverage has been below the minimum asset coverage required pursuant to Section 18(a)(1)(B) as modified by Section 61(a)(2) and the definitional provisions of the Investment Company Act or any successor provisions thereto of the Investment Company Act (after giving effect to any exemptive relief granted to the Company by the Commission) for more than six (6) consecutive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 Except as may be provided in a Future Supplemental Indenture, for the benefit of the Holders of the 2029 Notes but no other series of Securities under the Base Indenture, whether now or hereafter issued and Outstanding, Section 1404 of the Base Indenture shall be amended by adding the following clause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(h) In the case of an election under Section 1402</w:t>
      </w:r>
      <w:r>
        <w:rPr>
          <w:rFonts w:ascii="Times New Roman;Times;Serif" w:hAnsi="Times New Roman;Times;Serif"/>
          <w:b w:val="false"/>
          <w:i w:val="false"/>
          <w:caps w:val="false"/>
          <w:smallCaps w:val="false"/>
          <w:sz w:val="20"/>
        </w:rPr>
        <w:t xml:space="preserve">, in addition to the amounts deposited for the benefit of the Holders pursuant to clause (a) of this Section 1404, the Company </w:t>
      </w:r>
      <w:r>
        <w:rPr>
          <w:rFonts w:ascii="Times New Roman;Times;Serif" w:hAnsi="Times New Roman;Times;Serif"/>
          <w:b w:val="false"/>
          <w:i w:val="false"/>
          <w:caps w:val="false"/>
          <w:smallCaps w:val="false"/>
          <w:sz w:val="20"/>
          <w:shd w:fill="FFFFFF" w:val="clear"/>
        </w:rPr>
        <w:t>shall have irrevocably deposited or caused to be irrevocably deposited with the Trustee</w:t>
      </w:r>
      <w:r>
        <w:rPr>
          <w:rFonts w:ascii="Times New Roman;Times;Serif" w:hAnsi="Times New Roman;Times;Serif"/>
          <w:b w:val="false"/>
          <w:i w:val="false"/>
          <w:caps w:val="false"/>
          <w:smallCaps w:val="false"/>
          <w:sz w:val="20"/>
        </w:rPr>
        <w:t xml:space="preserve"> all amounts then due to the Trustee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OFFER TO REPURCHASE UPON A CHANGE OF CONTROL REPURCHASE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701</w:t>
      </w:r>
      <w:r>
        <w:rPr>
          <w:rFonts w:ascii="Times New Roman;Times;Serif" w:hAnsi="Times New Roman;Times;Serif"/>
          <w:b w:val="false"/>
          <w:i w:val="false"/>
          <w:caps w:val="false"/>
          <w:smallCaps w:val="false"/>
          <w:sz w:val="20"/>
        </w:rPr>
        <w:t>. Except as may be provided in a Future Supplemental Indenture, for the benefit of the Holders of the 2029 Notes but no other series of Securities under the Base Indenture (as supplemented or amended from time to time by one or more indentures supplemental thereto), whether now or hereafter issued and Outstanding, Article Thirteen of the Base Indenture shall be amended by replacing Sections 1301 to 1305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1301.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Repurchase Event occurs, unless the Company shall have exercised its right to redeem the 2029 Notes in full, the Company shall make an offer to each Holder of the 2029 Notes to repurchase all or any part (in minimum denominations of $2,000 and integral multiples of $1,000 principal amount in excess thereof) of that Holder’s 2029 Notes at a repurchase price in cash equal to 100% of the aggregate principal amount of 2029 Notes repurchased plus any accrued and unpaid interest on the 2029 Notes repurchased to, but not including, the date of repurchase. Within 30 days following any Change of Control Repurchase Event or, at the Company’s option, prior to any Change of Control, but after the public announcement of the Change of Control, the Company shall deliver a notice to each Holder (with a copy to the Trustee) describing the transaction or transactions that constitute or may constitute the Change of Control Repurchase Event and offering to repurchase 2029 Notes on the payment date specified in the notice, which date shall be no earlier than 30 days and no later than 60 days from the date such notice is delivered. The notice shall, if delivered prior to the date of consummation of the Change of Control, state that the offer to purchase is conditioned on the Change of Control Repurchase Event occurring on or prior to the payment date specified in the notice. The Company shall comply with the requirements of Rule 14e-1 promulgated under the Exchange Act and any other securities laws and regulations thereunder to the extent those laws and regulations are applicable in connection with the repurchase of the 2029 Notes as a result of a Change of Control Repurchase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provisions of any securities laws or regulations conflict with this Section 1301, the Company shall comply with the applicable securities laws and regulation and shall not be deemed to have breached its obligations under this Section 1301 by virtue of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Change of Control Repurchase Event payment date, subject to extension if necessary to comply with the provisions of the Investment Company Act, the Company shall, to the extent 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accept for payment all 2029 Notes or portions of 2029 Notes properly tendered pursuant to its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deposit with the Paying Agent an amount equal to the aggregate purchase price in respect of all 2029 Notes or portions of 2029 Notes properly tendered;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 or cause to be delivered to the Trustee the 2029 Notes properly accepted, together with an Officers’ Certificate, stating the aggregate principal amount of 2029 Notes being purchased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from the Company, the Paying Agent will promptly remit to each Holder of Notes properly tendered the purchase price for the 2029 Notes, and upon receipt of written direction from the Company, the Trustee shall promptly authenticate and deliver (or cause to be transferred by book-entry) to each Holder a new 2029 Note equal in principal amount to any unpurchased portion of any Notes surrendered; provided that each new 2029 Note shall be in a minimum principal amount of $2,000 or an integral multiple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Repayment Date upon a Change of Control Repurchase Event falls on a day that is not a Business Day, then the required payment shall be made on the next succeeding Business Day, and no additional interest shall accrue as a result of such delayed 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required to make an offer to repurchase the 2029 Notes upon a Change of Control Repurchase Event if a third party makes an offer in respect of the 2029 Notes in a manner, at the time and otherwise in compliance with the requirements for an offer made by the Company, and such third party purchases all 2029 Notes properly tendered and not withdrawn under its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801.</w:t>
      </w:r>
      <w:r>
        <w:rPr>
          <w:rFonts w:ascii="Times New Roman;Times;Serif" w:hAnsi="Times New Roman;Times;Serif"/>
          <w:b w:val="false"/>
          <w:i w:val="false"/>
          <w:caps w:val="false"/>
          <w:smallCaps w:val="false"/>
          <w:sz w:val="20"/>
        </w:rPr>
        <w:t xml:space="preserve"> This Fourth Supplemental Indenture and the 2029 Notes shall be governed by and construed in accordance with the laws of the State of New York, without regard to principles of conflicts of laws that would cause the application of laws of another jurisdiction. This Fourth Supplemental Indenture is subject to the provisions of the Trust Indenture Act that are required to be part of the Indenture and shall, to the extent applicable, be governed by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Except as may be provided in a Future Supplemental Indenture, Article Six of the Base Indenture shall be amended by adding the following Section 613: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Trustee’s Cooperation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outstanding 2029 Notes are registered in the name of Cede &amp; Co. or its registered assigns, the Trustee shall cooperate with Cede &amp; Co., as sole registered owner, and its registered assigns in effecting payment of the principal of, Redemption Price and interest on the 2029 Notes by arranging for payment in such manner that funds for such payments are properly identified and are made immediately available on the date they are due. The Company acknowledges that in order for the Trustee to make funds for such payments immediately available to the Depository on the date they are due, the Company shall ensure the funds for such payments are remitted and made immediately available to the Trustee, no later than 10:00 a.m. Eastern Time on the date they are due to Cede &amp; Co. in order for the Trustee to conform to the payment guidelines of the Depository. Funds for such payments received by the Trustee after 10:00 a.m. Eastern Time on the date they are due to Cede &amp; Co. may not be assured of timely payment and detail payment notification to the Depository for subsequent allocation to the noteholders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803</w:t>
      </w:r>
      <w:r>
        <w:rPr>
          <w:rFonts w:ascii="Times New Roman;Times;Serif" w:hAnsi="Times New Roman;Times;Serif"/>
          <w:b w:val="false"/>
          <w:i w:val="false"/>
          <w:caps w:val="false"/>
          <w:smallCaps w:val="false"/>
          <w:sz w:val="20"/>
        </w:rPr>
        <w:t>. In case any provision in this Fourth Supplemental Indenture or in the 2029 Notes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804</w:t>
      </w:r>
      <w:r>
        <w:rPr>
          <w:rFonts w:ascii="Times New Roman;Times;Serif" w:hAnsi="Times New Roman;Times;Serif"/>
          <w:b w:val="false"/>
          <w:i w:val="false"/>
          <w:caps w:val="false"/>
          <w:smallCaps w:val="false"/>
          <w:sz w:val="20"/>
        </w:rPr>
        <w:t>. This Fourth Supplemental Indenture may be executed in any number of counterparts, each of which shall be deemed to be an original, but all such counterparts shall together constitute but one and the same Fourth Supplemental Indenture. The exchange of copies of this Fourth Supplemental Indenture and of signature pages by facsimile, .pdf transmission, email or other electronic means shall constitute effective execution and delivery of this Fourth Supplemental Indenture for all purposes. Signatures of the parties hereto transmitted by facsimile, .pdf transmission, email or other electronic means shall be deemed to be their original signatures for all purposes.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 writing to the Trustee by the authorized representative), in English.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 The Trustee shall have no liability for relying on such digital signatures or electronic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805</w:t>
      </w:r>
      <w:r>
        <w:rPr>
          <w:rFonts w:ascii="Times New Roman;Times;Serif" w:hAnsi="Times New Roman;Times;Serif"/>
          <w:b w:val="false"/>
          <w:i w:val="false"/>
          <w:caps w:val="false"/>
          <w:smallCaps w:val="false"/>
          <w:sz w:val="20"/>
        </w:rPr>
        <w:t>. The Base Indenture, as supplemented and amended by this Fourth Supplemental Indenture, is in all respects ratified and confirmed, and the Base Indenture and this Fourth Supplemental Indenture shall be read, taken and construed as one and the same instrument with respect to the 2029 Notes. All provisions included in this Fourth Supplemental Indenture supersede any conflicting provisions included in the Base Indenture with respect to the 2029 Notes, unless not permitted by law. The Trustee accepts the trusts created by the Base Indenture, as supplemented by this Fourth Supplemental Indenture, and agrees to perform the same upon the terms and conditions of the Base Indenture, as supplemented by this Fourth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806.</w:t>
      </w:r>
      <w:r>
        <w:rPr>
          <w:rFonts w:ascii="Times New Roman;Times;Serif" w:hAnsi="Times New Roman;Times;Serif"/>
          <w:b w:val="false"/>
          <w:i w:val="false"/>
          <w:caps w:val="false"/>
          <w:smallCaps w:val="false"/>
          <w:sz w:val="20"/>
        </w:rPr>
        <w:t xml:space="preserve"> The provisions of this Fourth Supplemental Indenture shall become effective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807.</w:t>
      </w:r>
      <w:r>
        <w:rPr>
          <w:rFonts w:ascii="Times New Roman;Times;Serif" w:hAnsi="Times New Roman;Times;Serif"/>
          <w:b w:val="false"/>
          <w:i w:val="false"/>
          <w:caps w:val="false"/>
          <w:smallCaps w:val="false"/>
          <w:sz w:val="20"/>
        </w:rPr>
        <w:t xml:space="preserve"> Notwithstanding anything else to the contrary herein, the terms and provisions of this Fourth Supplemental Indenture shall apply only to the 2029 Notes and shall not apply to any other series of Securities under the Base Indenture, and this Fourth Supplemental Indenture shall not and does not otherwise affect, modify, alter, supplement or change the terms and provisions of any other series of Securities under the Base Indenture, whether now or hereafter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808.</w:t>
      </w:r>
      <w:r>
        <w:rPr>
          <w:rFonts w:ascii="Times New Roman;Times;Serif" w:hAnsi="Times New Roman;Times;Serif"/>
          <w:b w:val="false"/>
          <w:i w:val="false"/>
          <w:caps w:val="false"/>
          <w:smallCaps w:val="false"/>
          <w:sz w:val="20"/>
        </w:rPr>
        <w:t xml:space="preserve"> The recitals contained herein and in the 2029 Notes, except the Trustee’s certificate of authentication, shall be taken as the statements of the Company, and the Trustee assumes no responsibility for their correctness. The Trustee makes no representations as to the validity or sufficiency of this Fourth Supplemental Indenture, the 2029 Notes or any Additional Notes, except that the Trustee represents that it is duly authorized to execute and deliver this Fourth Supplemental Indenture, authenticate the 2029 Notes and any Additional Notes and perform its obligations hereunder. The Trustee shall not be accountable for the use or application by the Company of the 2029 Notes or any Additional Notes or the proceeds thereof. All rights, protections, privileges, indemnities, immunities and benefits granted or afforded to the Trustee under the Indenture shall be deemed incorporated herein by this reference and shall be deemed applicable to all actions taken, suffered or omitted by the Trustee in each of its capacities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Fourth Supplemental Indenture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7609" w:type="dxa"/>
        <w:jc w:val="left"/>
        <w:tblInd w:w="0" w:type="dxa"/>
        <w:tblLayout w:type="fixed"/>
        <w:tblCellMar>
          <w:top w:w="0" w:type="dxa"/>
          <w:left w:w="0" w:type="dxa"/>
          <w:bottom w:w="0" w:type="dxa"/>
          <w:right w:w="0" w:type="dxa"/>
        </w:tblCellMar>
      </w:tblPr>
      <w:tblGrid>
        <w:gridCol w:w="75"/>
        <w:gridCol w:w="1217"/>
        <w:gridCol w:w="6317"/>
      </w:tblGrid>
      <w:tr>
        <w:trPr/>
        <w:tc>
          <w:tcPr>
            <w:tcW w:w="75" w:type="dxa"/>
            <w:tcBorders/>
            <w:vAlign w:val="center"/>
          </w:tcPr>
          <w:p>
            <w:pPr>
              <w:pStyle w:val="TableContents"/>
              <w:bidi w:val="0"/>
              <w:spacing w:before="0" w:after="283"/>
              <w:jc w:val="left"/>
              <w:rPr/>
            </w:pPr>
            <w:r>
              <w:rPr/>
              <w:t> </w:t>
            </w:r>
          </w:p>
        </w:tc>
        <w:tc>
          <w:tcPr>
            <w:tcW w:w="75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RUNWAY GROWTH FINANCE CORP. </w:t>
            </w:r>
          </w:p>
        </w:tc>
      </w:tr>
      <w:tr>
        <w:trPr/>
        <w:tc>
          <w:tcPr>
            <w:tcW w:w="75" w:type="dxa"/>
            <w:tcBorders/>
            <w:vAlign w:val="center"/>
          </w:tcPr>
          <w:p>
            <w:pPr>
              <w:pStyle w:val="TableContents"/>
              <w:bidi w:val="0"/>
              <w:spacing w:before="0" w:after="283"/>
              <w:jc w:val="left"/>
              <w:rPr/>
            </w:pPr>
            <w:r>
              <w:rPr/>
              <w:t> </w:t>
            </w:r>
          </w:p>
        </w:tc>
        <w:tc>
          <w:tcPr>
            <w:tcW w:w="75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By:</w:t>
            </w:r>
          </w:p>
        </w:tc>
        <w:tc>
          <w:tcPr>
            <w:tcW w:w="63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 David Spreng</w:t>
            </w:r>
          </w:p>
        </w:tc>
      </w:tr>
      <w:tr>
        <w:trPr/>
        <w:tc>
          <w:tcPr>
            <w:tcW w:w="75"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6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 David Spreng </w:t>
            </w:r>
          </w:p>
        </w:tc>
      </w:tr>
      <w:tr>
        <w:trPr/>
        <w:tc>
          <w:tcPr>
            <w:tcW w:w="75"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w:t>
            </w:r>
          </w:p>
        </w:tc>
        <w:tc>
          <w:tcPr>
            <w:tcW w:w="6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President and Chief Executive Officer </w:t>
            </w:r>
          </w:p>
        </w:tc>
      </w:tr>
      <w:tr>
        <w:trPr/>
        <w:tc>
          <w:tcPr>
            <w:tcW w:w="75" w:type="dxa"/>
            <w:tcBorders/>
            <w:vAlign w:val="center"/>
          </w:tcPr>
          <w:p>
            <w:pPr>
              <w:pStyle w:val="TableContents"/>
              <w:bidi w:val="0"/>
              <w:spacing w:before="0" w:after="283"/>
              <w:jc w:val="left"/>
              <w:rPr/>
            </w:pPr>
            <w:r>
              <w:rPr/>
              <w:t> </w:t>
            </w:r>
          </w:p>
        </w:tc>
        <w:tc>
          <w:tcPr>
            <w:tcW w:w="75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34" w:type="dxa"/>
            <w:gridSpan w:val="2"/>
            <w:tcBorders/>
            <w:vAlign w:val="center"/>
          </w:tcPr>
          <w:p>
            <w:pPr>
              <w:pStyle w:val="TableContents"/>
              <w:bidi w:val="0"/>
              <w:spacing w:before="0" w:after="283"/>
              <w:jc w:val="left"/>
              <w:rPr/>
            </w:pPr>
            <w:r>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75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By:</w:t>
            </w:r>
          </w:p>
        </w:tc>
        <w:tc>
          <w:tcPr>
            <w:tcW w:w="63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Joshua A. Hahn</w:t>
            </w:r>
          </w:p>
        </w:tc>
      </w:tr>
      <w:tr>
        <w:trPr/>
        <w:tc>
          <w:tcPr>
            <w:tcW w:w="75"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6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Joshua A. Hahn</w:t>
            </w:r>
          </w:p>
        </w:tc>
      </w:tr>
      <w:tr>
        <w:trPr/>
        <w:tc>
          <w:tcPr>
            <w:tcW w:w="75"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6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 — Form of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Runway Growth Finance Corp.</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20"/>
        <w:gridCol w:w="60"/>
        <w:gridCol w:w="2150"/>
      </w:tblGrid>
      <w:tr>
        <w:trPr/>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w:t>
            </w:r>
          </w:p>
        </w:tc>
        <w:tc>
          <w:tcPr>
            <w:tcW w:w="60" w:type="dxa"/>
            <w:tcBorders/>
            <w:vAlign w:val="center"/>
          </w:tcPr>
          <w:p>
            <w:pPr>
              <w:pStyle w:val="TableContents"/>
              <w:bidi w:val="0"/>
              <w:spacing w:before="0" w:after="283"/>
              <w:jc w:val="both"/>
              <w:rPr/>
            </w:pPr>
            <w:r>
              <w:rPr/>
              <w:t> </w:t>
            </w:r>
          </w:p>
        </w:tc>
        <w:tc>
          <w:tcPr>
            <w:tcW w:w="2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3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CUSIP No. 78163D AB6</w:t>
            </w:r>
          </w:p>
        </w:tc>
      </w:tr>
      <w:tr>
        <w:trPr/>
        <w:tc>
          <w:tcPr>
            <w:tcW w:w="3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ISIN No. US78163DAB64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Runway Growth Finance Corp., a corporation duly organized and existing under the laws of Maryland (herein called the “Company”, which term includes any successor Person under the Indenture hereinafter referred to), for value received, hereby promises to pay to Cede &amp; Co., or registered assigns, the principal sum of __________________________________ dollars (U.S. $_____________) on December 1, 2029, and to pay interest thereon from May 29, 2026 or from the most recent Interest Payment Date to which interest has been paid or duly provided for, semi-annually on June 1 and December 1 in each year, commencing December 1, 2026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an Interest Payment Date falls on a day that is not a Business Day, then the applicable interest payment shall be made on the next succeeding Business Day and no additional interest shall accrue as a result of such delayed payment), at the rate of 7.00% per annum, until the principal hereof is paid or made available for payment. The interest so payable, and punctually paid or duly provided for, on any Interest Payment Date shall, as provided in such Indenture, be paid to the Person in whose name this Security is registered at the close of business on the Regular Record Date for such interest, which shall be May 15 or November 15 (whether or not a Business Day), as the case may be, next preceding such Interest Payment Date. Any such interest not so punctually paid or duly provided for shall forthwith cease to be payable to the Holder on such Regular Record Date and may either be paid to the Person in whose name this Security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of the principal of (and premium, if any) and any such interest on this Security shall be made at the Corporate Trust Office of the Trustee located at 111 Filmore Avenue, St. Paul, MN 55107, Attention: Runway Growth Finance Corp. (7.00% Notes Due 2029) in such coin or currency of the United States of America as at the time of payment is legal tender for payment of public and private debts;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at the option of the Company payment of interest may be made by check mailed to the address of the Person entitled thereto as such address shall appear in the Security Register; </w:t>
      </w:r>
      <w:r>
        <w:rPr>
          <w:rFonts w:ascii="Times New Roman;Times;Serif" w:hAnsi="Times New Roman;Times;Serif"/>
          <w:b w:val="false"/>
          <w:i/>
          <w:caps w:val="false"/>
          <w:smallCaps w:val="false"/>
          <w:sz w:val="20"/>
        </w:rPr>
        <w:t>provided, further, however</w:t>
      </w:r>
      <w:r>
        <w:rPr>
          <w:rFonts w:ascii="Times New Roman;Times;Serif" w:hAnsi="Times New Roman;Times;Serif"/>
          <w:b w:val="false"/>
          <w:i w:val="false"/>
          <w:caps w:val="false"/>
          <w:smallCaps w:val="false"/>
          <w:sz w:val="20"/>
        </w:rPr>
        <w:t>, that so long as the 2029 Notes are registered to Cede &amp; Co., such payment will be made by wire transfer in accordance with the procedures established by The Depository Trust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on the reverse hereof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Witness Whereof</w:t>
      </w:r>
      <w:r>
        <w:rPr>
          <w:rFonts w:ascii="Times New Roman;Times;Serif" w:hAnsi="Times New Roman;Times;Serif"/>
          <w:b w:val="false"/>
          <w:i w:val="false"/>
          <w:caps w:val="false"/>
          <w:smallCaps w:val="false"/>
          <w:sz w:val="20"/>
        </w:rPr>
        <w:t>,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365"/>
        <w:gridCol w:w="60"/>
        <w:gridCol w:w="3725"/>
      </w:tblGrid>
      <w:tr>
        <w:trPr/>
        <w:tc>
          <w:tcPr>
            <w:tcW w:w="75" w:type="dxa"/>
            <w:tcBorders/>
            <w:vAlign w:val="center"/>
          </w:tcPr>
          <w:p>
            <w:pPr>
              <w:pStyle w:val="TableContents"/>
              <w:bidi w:val="0"/>
              <w:spacing w:before="0" w:after="283"/>
              <w:jc w:val="left"/>
              <w:rPr/>
            </w:pPr>
            <w:r>
              <w:rPr/>
              <w:t> </w:t>
            </w:r>
          </w:p>
        </w:tc>
        <w:tc>
          <w:tcPr>
            <w:tcW w:w="415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RUNWAY GROWTH FINANCE CORP.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72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R. David Spreng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Chief Executive Officer and President </w:t>
            </w:r>
          </w:p>
        </w:tc>
      </w:tr>
    </w:tbl>
    <w:p>
      <w:pPr>
        <w:pStyle w:val="TextBody"/>
        <w:bidi w:val="0"/>
        <w:spacing w:before="0" w:after="0"/>
        <w:ind w:left="0" w:right="0" w:hanging="0"/>
        <w:jc w:val="left"/>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6001"/>
        <w:gridCol w:w="1313"/>
        <w:gridCol w:w="234"/>
      </w:tblGrid>
      <w:tr>
        <w:trPr/>
        <w:tc>
          <w:tcPr>
            <w:tcW w:w="7314" w:type="dxa"/>
            <w:gridSpan w:val="2"/>
            <w:tcBorders/>
            <w:vAlign w:val="center"/>
          </w:tcPr>
          <w:p>
            <w:pPr>
              <w:pStyle w:val="TableContents"/>
              <w:bidi w:val="0"/>
              <w:spacing w:before="0" w:after="283"/>
              <w:jc w:val="left"/>
              <w:rPr/>
            </w:pPr>
            <w:r>
              <w:rPr/>
              <w:t>Attest    </w:t>
            </w:r>
          </w:p>
        </w:tc>
        <w:tc>
          <w:tcPr>
            <w:tcW w:w="234" w:type="dxa"/>
            <w:tcBorders/>
            <w:vAlign w:val="center"/>
          </w:tcPr>
          <w:p>
            <w:pPr>
              <w:pStyle w:val="TableContents"/>
              <w:bidi w:val="0"/>
              <w:spacing w:before="0" w:after="283"/>
              <w:jc w:val="left"/>
              <w:rPr/>
            </w:pPr>
            <w:r>
              <w:rPr/>
              <w:t> </w:t>
            </w:r>
          </w:p>
        </w:tc>
      </w:tr>
      <w:tr>
        <w:trPr/>
        <w:tc>
          <w:tcPr>
            <w:tcW w:w="6001"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60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13" w:type="dxa"/>
            <w:tcBorders>
              <w:bottom w:val="single" w:sz="8" w:space="0" w:color="000000"/>
            </w:tcBorders>
            <w:tcMar>
              <w:bottom w:w="28" w:type="dxa"/>
            </w:tcMar>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73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Thomas B. Raterman </w:t>
            </w:r>
          </w:p>
        </w:tc>
        <w:tc>
          <w:tcPr>
            <w:tcW w:w="234" w:type="dxa"/>
            <w:tcBorders/>
            <w:vAlign w:val="center"/>
          </w:tcPr>
          <w:p>
            <w:pPr>
              <w:pStyle w:val="TableContents"/>
              <w:bidi w:val="0"/>
              <w:spacing w:before="0" w:after="283"/>
              <w:jc w:val="left"/>
              <w:rPr/>
            </w:pPr>
            <w:r>
              <w:rPr/>
              <w:t> </w:t>
            </w:r>
          </w:p>
        </w:tc>
      </w:tr>
      <w:tr>
        <w:trPr/>
        <w:tc>
          <w:tcPr>
            <w:tcW w:w="7548" w:type="dxa"/>
            <w:gridSpan w:val="3"/>
            <w:tcBorders/>
            <w:vAlign w:val="center"/>
          </w:tcPr>
          <w:p>
            <w:pPr>
              <w:pStyle w:val="TableContents"/>
              <w:bidi w:val="0"/>
              <w:spacing w:before="0" w:after="283"/>
              <w:jc w:val="left"/>
              <w:rPr/>
            </w:pPr>
            <w:r>
              <w:rPr/>
              <w:t>Title: Chief Operating Officer, Chief Financial Officer, Treasurer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75"/>
        <w:gridCol w:w="670"/>
        <w:gridCol w:w="4359"/>
      </w:tblGrid>
      <w:tr>
        <w:trPr/>
        <w:tc>
          <w:tcPr>
            <w:tcW w:w="75"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pPr>
            <w:r>
              <w:rPr>
                <w:rFonts w:ascii="Times New Roman;Times;Serif" w:hAnsi="Times New Roman;Times;Serif"/>
                <w:sz w:val="20"/>
              </w:rPr>
              <w:t>U.S. BANK TRUST COMPANY, NATIONAL ASSOCIATION,</w:t>
            </w:r>
            <w:r>
              <w:rPr>
                <w:rFonts w:ascii="Times New Roman;Times;Serif" w:hAnsi="Times New Roman;Times;Serif"/>
              </w:rPr>
              <w:br/>
            </w:r>
            <w:r>
              <w:rPr>
                <w:rFonts w:ascii="Times New Roman;Times;Serif" w:hAnsi="Times New Roman;Times;Serif"/>
                <w:sz w:val="20"/>
              </w:rPr>
              <w:t>as Trustee</w:t>
            </w:r>
          </w:p>
        </w:tc>
      </w:tr>
      <w:tr>
        <w:trPr/>
        <w:tc>
          <w:tcPr>
            <w:tcW w:w="75"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43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By:</w:t>
            </w:r>
          </w:p>
        </w:tc>
        <w:tc>
          <w:tcPr>
            <w:tcW w:w="43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4359"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r>
      <w:tr>
        <w:trPr/>
        <w:tc>
          <w:tcPr>
            <w:tcW w:w="75"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4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Runway Growth Finance Corp. </w:t>
      </w:r>
      <w:r>
        <w:rPr>
          <w:rFonts w:ascii="Times New Roman;Times;Serif" w:hAnsi="Times New Roman;Times;Serif"/>
          <w:b w:val="false"/>
          <w:i w:val="false"/>
          <w:caps w:val="false"/>
          <w:smallCaps w:val="false"/>
          <w:sz w:val="20"/>
        </w:rPr>
        <w:br/>
        <w:t>7.00%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Senior Securities of the Company (herein called the “Securities”), issued and to be issued in one or more series under an Indenture, dated as of July 28, 2022 (herein called the “Base Indenture”), between the Company and U.S. Bank Trust Company,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Fourth Supplemental Indenture, dated as of May 29, 2026, by and between the Company and the Trustee (herein called the “Fourth Supplemental Indenture”, the Fourth Supplemental Indenture and the Base Indenture collectively are herein called the “Indenture”). In the event of any conflict between the Base Indenture and the Fourth Supplemental Indenture, the Fourth Supplemental Indenture shall govern and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the series designated on the face hereof, initially limited in aggregate principal amount to $____________. Under a Board 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and other terms as the Securities.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the Company may redeem the Securities at the Company’s option, in whole or in part, at any time or from time to time, at a Redemption Price (expressed as a percentage of principal amount and rounded to three decimal points) equal to the greater of: (A)(1)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50 basis points less (2) interest accrued to the date of Redemption Date, and (B) 100% of the principal amount of the Securities to be redeemed, plus, in either case,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on or after the Par Call Date, the Company may redeem the Securities, in whole or in part, at any time and from time to time, at a Redemption Price equal to 100% of the principal amount of the Securities to be redeemed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June 1,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of the 2029 Notes,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(on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 For the avoidance of doubt, the Trustee shall have no duty to calculate the redemption price, nor shall it have any duty to review or verify the Company’s calculations of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shall be given in writing and mailed, first-class postage prepaid, by overnight courier guaranteeing next-day delivery or sent electronically in accordance with the applicable procedures of DTC with respect to 2029 Notes in global form, to each Holder of the Securities to be redeemed, not less than thirty (30) nor more than sixty (60) days prior to the Redemption Date, at the Holder’s address, facsimile or email address appearing in the Security Register. All notices of redemption shall contain the information set forth in Section 1104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exercise of the Company’s option to redeem the Securities shall be done in compliance with the Investment Company Act, and the rules, regulations and interpretations promulgated thereunder,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elects to redeem only a portion of the Securities, the particular Securities to be redeemed will be selected by the Trustee in accordance with the applicable procedures of the Depositary and in accordance with Section 1103 of the Base Indenture and the Investment Company Act, and the rules and regulations promulgated thereunder, to the extent applicable. In the event of redemption of this Security in part only, a new Security or Securities of this series and of like tenor for the unredeemed portion hereof shall be issued in the name of the Holder hereof upon the cancellation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defaults in payment of the Redemption Price, on and after the Redemption Date, interest shall cease to accrue on the Securities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will have the right to require the Company to repurchase their Securities upon the occurrence of a Change of Control Repurchase Event as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other than an Event of Default referred to in Section 501(5) or Section 501(6) of the Indenture with respect to the Company,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and/or security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sixty (60) days after receipt of such notice, request and offer of indemnity and/or security. The foregoing shall not apply to any suit instituted by the Holder of this Security for the enforcement of any payment of principal hereof or any premium or interest hereon on or after the respective due dates expressed herein. If an Event of Default referred to in Section 501(5) or Section 501(6) of the Indenture with respect to the Company has occurred, the entire principal amount of all the Securities of this series shall automatically become due and immediately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minimum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or Trustee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this Security shall be governed by and construed in accordance with the laws of the State of New York, without regard to principles of conflicts of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A-7</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37" w:name="tm2616014d1_ex5-1.htm"/>
      <w:bookmarkStart w:id="38" w:name="kstm2616014d1_ex51"/>
      <w:bookmarkEnd w:id="37"/>
      <w:bookmarkEnd w:id="3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5118735" cy="1499235"/>
                <wp:effectExtent l="0" t="0" r="0" b="0"/>
                <wp:wrapSquare wrapText="right"/>
                <wp:docPr id="1" name="Frame1"/>
                <a:graphic xmlns:a="http://schemas.openxmlformats.org/drawingml/2006/main">
                  <a:graphicData uri="http://schemas.microsoft.com/office/word/2010/wordprocessingShape">
                    <wps:wsp>
                      <wps:cNvSpPr txBox="1"/>
                      <wps:spPr>
                        <a:xfrm>
                          <a:off x="0" y="0"/>
                          <a:ext cx="5118735" cy="1499235"/>
                        </a:xfrm>
                        <a:prstGeom prst="rect"/>
                        <a:solidFill>
                          <a:srgbClr val="FFFFFF"/>
                        </a:solidFill>
                      </wps:spPr>
                      <wps:txbx>
                        <w:txbxContent>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drawing>
                                <wp:inline distT="0" distB="0" distL="0" distR="0">
                                  <wp:extent cx="1400175" cy="13239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4"/>
                                          <a:stretch>
                                            <a:fillRect/>
                                          </a:stretch>
                                        </pic:blipFill>
                                        <pic:spPr bwMode="auto">
                                          <a:xfrm>
                                            <a:off x="0" y="0"/>
                                            <a:ext cx="1400175" cy="1323975"/>
                                          </a:xfrm>
                                          <a:prstGeom prst="rect">
                                            <a:avLst/>
                                          </a:prstGeom>
                                        </pic:spPr>
                                      </pic:pic>
                                    </a:graphicData>
                                  </a:graphic>
                                </wp:inline>
                              </w:drawing>
                            </w:r>
                          </w:p>
                        </w:txbxContent>
                      </wps:txbx>
                      <wps:bodyPr anchor="t" lIns="0" tIns="0" rIns="0" bIns="0">
                        <a:noAutofit/>
                      </wps:bodyPr>
                    </wps:wsp>
                  </a:graphicData>
                </a:graphic>
                <wp14:sizeRelH relativeFrom="margin">
                  <wp14:pctWidth>79000</wp14:pctWidth>
                </wp14:sizeRelH>
              </wp:anchor>
            </w:drawing>
          </mc:Choice>
          <mc:Fallback>
            <w:pict>
              <v:rect style="position:absolute;rotation:-0;width:403.05pt;height:11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drawing>
                          <wp:inline distT="0" distB="0" distL="0" distR="0">
                            <wp:extent cx="1400175" cy="13239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5"/>
                                    <a:stretch>
                                      <a:fillRect/>
                                    </a:stretch>
                                  </pic:blipFill>
                                  <pic:spPr bwMode="auto">
                                    <a:xfrm>
                                      <a:off x="0" y="0"/>
                                      <a:ext cx="1400175" cy="1323975"/>
                                    </a:xfrm>
                                    <a:prstGeom prst="rect">
                                      <a:avLst/>
                                    </a:prstGeom>
                                  </pic:spPr>
                                </pic:pic>
                              </a:graphicData>
                            </a:graphic>
                          </wp:inline>
                        </w:drawing>
                      </w:r>
                    </w:p>
                  </w:txbxContent>
                </v:textbox>
                <w10:wrap type="square" side="right"/>
              </v:rect>
            </w:pict>
          </mc:Fallback>
        </mc:AlternateContent>
      </w:r>
    </w:p>
    <w:p>
      <w:pPr>
        <w:pStyle w:val="TextBody"/>
        <w:bidi w:val="0"/>
        <w:spacing w:before="0" w:after="0"/>
        <w:ind w:left="0" w:right="0" w:hanging="0"/>
        <w:jc w:val="left"/>
        <w:rPr/>
      </w:pPr>
      <w:r>
        <w:rPr/>
        <w:t> </w:t>
      </w:r>
      <w:r>
        <mc:AlternateContent>
          <mc:Choice Requires="wps">
            <w:drawing>
              <wp:anchor behindDoc="0" distT="0" distB="0" distL="0" distR="0" simplePos="0" locked="0" layoutInCell="1" allowOverlap="1" relativeHeight="7">
                <wp:simplePos x="0" y="0"/>
                <wp:positionH relativeFrom="column">
                  <wp:align>right</wp:align>
                </wp:positionH>
                <wp:positionV relativeFrom="line">
                  <wp:posOffset>635</wp:posOffset>
                </wp:positionV>
                <wp:extent cx="1230630" cy="1085850"/>
                <wp:effectExtent l="0" t="0" r="0" b="0"/>
                <wp:wrapSquare wrapText="left"/>
                <wp:docPr id="4" name="Frame2"/>
                <a:graphic xmlns:a="http://schemas.openxmlformats.org/drawingml/2006/main">
                  <a:graphicData uri="http://schemas.microsoft.com/office/word/2010/wordprocessingShape">
                    <wps:wsp>
                      <wps:cNvSpPr txBox="1"/>
                      <wps:spPr>
                        <a:xfrm>
                          <a:off x="0" y="0"/>
                          <a:ext cx="1230630" cy="1085850"/>
                        </a:xfrm>
                        <a:prstGeom prst="rect"/>
                        <a:solidFill>
                          <a:srgbClr val="FFFFFF"/>
                        </a:solidFill>
                      </wps:spPr>
                      <wps:txbx>
                        <w:txbxContent>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 K Street, NW</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20006-1110</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+1 202 261 3300 Main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+1 202 261 3333 Fax</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www.dechert.com</w:t>
                            </w:r>
                          </w:p>
                          <w:p>
                            <w:pPr>
                              <w:pStyle w:val="TextBody"/>
                              <w:pBdr>
                                <w:bottom w:val="single" w:sz="8" w:space="1" w:color="000000"/>
                              </w:pBdr>
                              <w:bidi w:val="0"/>
                              <w:spacing w:before="0" w:after="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19000</wp14:pctWidth>
                </wp14:sizeRelH>
              </wp:anchor>
            </w:drawing>
          </mc:Choice>
          <mc:Fallback>
            <w:pict>
              <v:rect style="position:absolute;rotation:-0;width:96.9pt;height:85.5pt;mso-wrap-distance-left:0pt;mso-wrap-distance-right:0pt;mso-wrap-distance-top:0pt;mso-wrap-distance-bottom:0pt;margin-top:0pt;mso-position-vertical:top;mso-position-vertical-relative:text;margin-left:413.35pt;mso-position-horizontal:right;mso-position-horizontal-relative:text">
                <v:textbox>
                  <w:txbxContent>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 K Street, NW</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20006-1110</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+1 202 261 3300 Main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+1 202 261 3333 Fax</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www.dechert.com</w:t>
                      </w:r>
                    </w:p>
                    <w:p>
                      <w:pPr>
                        <w:pStyle w:val="TextBody"/>
                        <w:pBdr>
                          <w:bottom w:val="single" w:sz="8" w:space="1" w:color="000000"/>
                        </w:pBdr>
                        <w:bidi w:val="0"/>
                        <w:spacing w:before="0" w:after="0"/>
                        <w:jc w:val="left"/>
                        <w:rPr>
                          <w:caps w:val="false"/>
                          <w:smallCaps w:val="false"/>
                        </w:rPr>
                      </w:pPr>
                      <w:r>
                        <w:rPr>
                          <w:caps w:val="false"/>
                          <w:smallCaps w:val="false"/>
                        </w:rPr>
                        <w:t> </w:t>
                      </w:r>
                    </w:p>
                  </w:txbxContent>
                </v:textbox>
                <w10:wrap type="square" side="left"/>
              </v:rect>
            </w:pict>
          </mc:Fallback>
        </mc:AlternateConten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29,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Runway Growth Finance Corp.</w:t>
        <w:br/>
        <w:t>205 N. Michigan Ave., Suite 4200</w:t>
        <w:br/>
        <w:t>Chicago, Illinois 60601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tab/>
        <w:t>     </w:t>
      </w:r>
      <w:r>
        <w:rPr>
          <w:rFonts w:ascii="Times New Roman;Times;Serif" w:hAnsi="Times New Roman;Times;Serif"/>
          <w:b w:val="false"/>
          <w:i w:val="false"/>
          <w:caps w:val="false"/>
          <w:smallCaps w:val="false"/>
          <w:sz w:val="20"/>
          <w:u w:val="single"/>
        </w:rPr>
        <w:t>Registration Statement on Form N-2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Runway Growth Finance Corp., a Maryland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public offering of $50,000,000 in aggregate principal amount of the Company’s 7.00% unsecured notes due 2029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pursuant to the Company’s registration statement on Form N-2 (File No. 333-284781) (as amended as of the date hereof,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with the U.S.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and previously declared effective by the Commission on March 19, 2025, relating to the public offering of securities of the Company that may be offered by the Company from time to time as set forth in the prospectus dated March 19, 2025, which was included in the Registration Statement and forms a part of the Registration Statement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and as may be set forth from time to time in amounts, at prices, and on terms to be set forth in one or more supplements to the Prospectus. This opinion letter is rendered in connection with such public offering of the Notes, as described in the prospectus supplement dated May 27, 2026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filed with the Commission pursuant to Rule 424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All of the Notes are to be sold by the Company as described in the Registration Statement and related Prospectus and Prospectus Supplement. This opinion letter is being furnished to the Company in accordance with the requirements of Item 25 of Form N-2 under the Securities Act, and no opinion is expressed herein as to any matter other than as to the legality of the Indenture (as defined below)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have been issued pursuant to the indenture dated as of July 28, 2022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the Company and U.S. Bank,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supplemented by the Fourth Supplemental Indenture, dated as of May 29, 2026 (together with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between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3620" w:type="dxa"/>
        <w:jc w:val="left"/>
        <w:tblInd w:w="0" w:type="dxa"/>
        <w:tblLayout w:type="fixed"/>
        <w:tblCellMar>
          <w:top w:w="0" w:type="dxa"/>
          <w:left w:w="0" w:type="dxa"/>
          <w:bottom w:w="0" w:type="dxa"/>
          <w:right w:w="0" w:type="dxa"/>
        </w:tblCellMar>
      </w:tblPr>
      <w:tblGrid>
        <w:gridCol w:w="2205"/>
        <w:gridCol w:w="1415"/>
      </w:tblGrid>
      <w:tr>
        <w:trPr/>
        <w:tc>
          <w:tcPr>
            <w:tcW w:w="2205" w:type="dxa"/>
            <w:tcBorders/>
            <w:vAlign w:val="center"/>
          </w:tcPr>
          <w:p>
            <w:pPr>
              <w:pStyle w:val="TableContents"/>
              <w:bidi w:val="0"/>
              <w:spacing w:before="0" w:after="283"/>
              <w:jc w:val="left"/>
              <w:rPr/>
            </w:pPr>
            <w:r>
              <w:rPr/>
              <w:drawing>
                <wp:inline distT="0" distB="0" distL="0" distR="0">
                  <wp:extent cx="1400175" cy="13239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6"/>
                          <a:stretch>
                            <a:fillRect/>
                          </a:stretch>
                        </pic:blipFill>
                        <pic:spPr bwMode="auto">
                          <a:xfrm>
                            <a:off x="0" y="0"/>
                            <a:ext cx="1400175" cy="1323975"/>
                          </a:xfrm>
                          <a:prstGeom prst="rect">
                            <a:avLst/>
                          </a:prstGeom>
                        </pic:spPr>
                      </pic:pic>
                    </a:graphicData>
                  </a:graphic>
                </wp:inline>
              </w:drawing>
            </w:r>
          </w:p>
        </w:tc>
        <w:tc>
          <w:tcPr>
            <w:tcW w:w="1415" w:type="dxa"/>
            <w:tcBorders/>
            <w:vAlign w:val="center"/>
          </w:tcPr>
          <w:p>
            <w:pPr>
              <w:pStyle w:val="TableContents"/>
              <w:bidi w:val="0"/>
              <w:spacing w:before="0" w:after="283"/>
              <w:jc w:val="right"/>
              <w:rPr/>
            </w:pPr>
            <w:r>
              <w:rPr/>
              <w:t xml:space="preserve">May 29, 2026 </w:t>
              <w:br/>
              <w:t>Page 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rendering this opinion, including the following documents:</w:t>
      </w:r>
    </w:p>
    <w:p>
      <w:pPr>
        <w:pStyle w:val="TextBody"/>
        <w:bidi w:val="0"/>
        <w:spacing w:before="0" w:after="0"/>
        <w:ind w:left="0" w:right="0" w:hanging="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570" w:type="dxa"/>
            <w:tcBorders/>
            <w:vAlign w:val="center"/>
          </w:tcPr>
          <w:p>
            <w:pPr>
              <w:pStyle w:val="TableContents"/>
              <w:bidi w:val="0"/>
              <w:spacing w:before="0" w:after="283"/>
              <w:jc w:val="both"/>
              <w:rPr/>
            </w:pPr>
            <w: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29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2825" w:type="dxa"/>
            <w:tcBorders/>
            <w:vAlign w:val="center"/>
          </w:tcPr>
          <w:p>
            <w:pPr>
              <w:pStyle w:val="TableContents"/>
              <w:bidi w:val="0"/>
              <w:spacing w:before="0" w:after="283"/>
              <w:jc w:val="both"/>
              <w:rPr/>
            </w:pPr>
            <w:r>
              <w:rPr/>
              <w:t>the Underwriting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2067"/>
        <w:gridCol w:w="7914"/>
      </w:tblGrid>
      <w:tr>
        <w:trPr/>
        <w:tc>
          <w:tcPr>
            <w:tcW w:w="224"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pPr>
            <w:r>
              <w:rPr/>
              <w:t>(iii)</w:t>
            </w:r>
          </w:p>
        </w:tc>
        <w:tc>
          <w:tcPr>
            <w:tcW w:w="7914" w:type="dxa"/>
            <w:tcBorders/>
            <w:vAlign w:val="center"/>
          </w:tcPr>
          <w:p>
            <w:pPr>
              <w:pStyle w:val="TableContents"/>
              <w:bidi w:val="0"/>
              <w:spacing w:before="0" w:after="283"/>
              <w:jc w:val="both"/>
              <w:rPr/>
            </w:pPr>
            <w:r>
              <w:rPr/>
              <w:t>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448"/>
        <w:gridCol w:w="9709"/>
      </w:tblGrid>
      <w:tr>
        <w:trPr/>
        <w:tc>
          <w:tcPr>
            <w:tcW w:w="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(iv)</w:t>
            </w:r>
          </w:p>
        </w:tc>
        <w:tc>
          <w:tcPr>
            <w:tcW w:w="9709" w:type="dxa"/>
            <w:tcBorders/>
            <w:vAlign w:val="center"/>
          </w:tcPr>
          <w:p>
            <w:pPr>
              <w:pStyle w:val="TableContents"/>
              <w:bidi w:val="0"/>
              <w:spacing w:before="0" w:after="283"/>
              <w:jc w:val="both"/>
              <w:rPr/>
            </w:pPr>
            <w:r>
              <w:rPr/>
              <w:t>a specimen copy of the form of the Notes to be issued pursuant to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21"/>
        <w:gridCol w:w="9843"/>
      </w:tblGrid>
      <w:tr>
        <w:trPr/>
        <w:tc>
          <w:tcPr>
            <w:tcW w:w="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(v)</w:t>
            </w:r>
          </w:p>
        </w:tc>
        <w:tc>
          <w:tcPr>
            <w:tcW w:w="9843" w:type="dxa"/>
            <w:tcBorders/>
            <w:vAlign w:val="center"/>
          </w:tcPr>
          <w:p>
            <w:pPr>
              <w:pStyle w:val="TableContents"/>
              <w:bidi w:val="0"/>
              <w:spacing w:before="0" w:after="283"/>
              <w:jc w:val="both"/>
              <w:rPr/>
            </w:pPr>
            <w:r>
              <w:rPr/>
              <w:t>the Articles of Amendment and Restatement and the Articles of Amendment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79"/>
        <w:gridCol w:w="9564"/>
      </w:tblGrid>
      <w:tr>
        <w:trPr/>
        <w:tc>
          <w:tcPr>
            <w:tcW w:w="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pPr>
            <w:r>
              <w:rPr/>
              <w:t>(vi)</w:t>
            </w:r>
          </w:p>
        </w:tc>
        <w:tc>
          <w:tcPr>
            <w:tcW w:w="9564" w:type="dxa"/>
            <w:tcBorders/>
            <w:vAlign w:val="center"/>
          </w:tcPr>
          <w:p>
            <w:pPr>
              <w:pStyle w:val="TableContents"/>
              <w:bidi w:val="0"/>
              <w:spacing w:before="0" w:after="283"/>
              <w:jc w:val="both"/>
              <w:rPr/>
            </w:pPr>
            <w:r>
              <w:rPr/>
              <w:t>the Second Amended and Restated Bylaws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8"/>
        <w:gridCol w:w="9790"/>
      </w:tblGrid>
      <w:tr>
        <w:trPr/>
        <w:tc>
          <w:tcPr>
            <w:tcW w:w="3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(vii)</w:t>
            </w:r>
          </w:p>
        </w:tc>
        <w:tc>
          <w:tcPr>
            <w:tcW w:w="9790" w:type="dxa"/>
            <w:tcBorders/>
            <w:vAlign w:val="center"/>
          </w:tcPr>
          <w:p>
            <w:pPr>
              <w:pStyle w:val="TableContents"/>
              <w:bidi w:val="0"/>
              <w:spacing w:before="0" w:after="283"/>
              <w:jc w:val="both"/>
              <w:rPr/>
            </w:pPr>
            <w:r>
              <w:rPr/>
              <w:t>a certificate of good standing with respect to the Company issued by the State Department of Assessments and Taxation of the State of Maryland as of a recent date;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53"/>
        <w:gridCol w:w="9715"/>
      </w:tblGrid>
      <w:tr>
        <w:trPr/>
        <w:tc>
          <w:tcPr>
            <w:tcW w:w="3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(viii)</w:t>
            </w:r>
          </w:p>
        </w:tc>
        <w:tc>
          <w:tcPr>
            <w:tcW w:w="9715" w:type="dxa"/>
            <w:tcBorders/>
            <w:vAlign w:val="center"/>
          </w:tcPr>
          <w:p>
            <w:pPr>
              <w:pStyle w:val="TableContents"/>
              <w:bidi w:val="0"/>
              <w:spacing w:before="0" w:after="283"/>
              <w:jc w:val="both"/>
              <w:rPr/>
            </w:pPr>
            <w:r>
              <w:rPr/>
              <w:t>resolutions of the board of directors of the Company relating to, among other things, the authorization and issuance of the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the facts upon which this opinion letter is based, we have relied, to the extent we deem proper, upon certificates of public officials and certificates, written statements and oral representations of officers, directors, employees and representatives of the Company without having independently verified such factual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the authenticity of all documents submitted to us as original documents and the conformity to original documents of all documents submitted to us as copies. In addition, we have assumed (i) the legal capacity of natural persons and (ii) the legal power and authority of all persons signing on behalf of the parties to all documents (other than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such examination of law as we have deemed necessary, and subject to the assumptions and qualifications set forth in this letter,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Indenture has been duly authorized, executed and delivered by the Company and constitutes the valid and legally binding obligation of the Company, enforceable against the Company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3620" w:type="dxa"/>
        <w:jc w:val="left"/>
        <w:tblInd w:w="0" w:type="dxa"/>
        <w:tblLayout w:type="fixed"/>
        <w:tblCellMar>
          <w:top w:w="0" w:type="dxa"/>
          <w:left w:w="0" w:type="dxa"/>
          <w:bottom w:w="0" w:type="dxa"/>
          <w:right w:w="0" w:type="dxa"/>
        </w:tblCellMar>
      </w:tblPr>
      <w:tblGrid>
        <w:gridCol w:w="2205"/>
        <w:gridCol w:w="1415"/>
      </w:tblGrid>
      <w:tr>
        <w:trPr/>
        <w:tc>
          <w:tcPr>
            <w:tcW w:w="2205" w:type="dxa"/>
            <w:tcBorders/>
            <w:vAlign w:val="center"/>
          </w:tcPr>
          <w:p>
            <w:pPr>
              <w:pStyle w:val="TableContents"/>
              <w:bidi w:val="0"/>
              <w:spacing w:before="0" w:after="283"/>
              <w:jc w:val="left"/>
              <w:rPr/>
            </w:pPr>
            <w:r>
              <w:rPr/>
              <w:drawing>
                <wp:inline distT="0" distB="0" distL="0" distR="0">
                  <wp:extent cx="1400175" cy="13239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7"/>
                          <a:stretch>
                            <a:fillRect/>
                          </a:stretch>
                        </pic:blipFill>
                        <pic:spPr bwMode="auto">
                          <a:xfrm>
                            <a:off x="0" y="0"/>
                            <a:ext cx="1400175" cy="1323975"/>
                          </a:xfrm>
                          <a:prstGeom prst="rect">
                            <a:avLst/>
                          </a:prstGeom>
                        </pic:spPr>
                      </pic:pic>
                    </a:graphicData>
                  </a:graphic>
                </wp:inline>
              </w:drawing>
            </w:r>
          </w:p>
        </w:tc>
        <w:tc>
          <w:tcPr>
            <w:tcW w:w="1415" w:type="dxa"/>
            <w:tcBorders/>
            <w:vAlign w:val="center"/>
          </w:tcPr>
          <w:p>
            <w:pPr>
              <w:pStyle w:val="TableContents"/>
              <w:bidi w:val="0"/>
              <w:spacing w:before="0" w:after="283"/>
              <w:jc w:val="right"/>
              <w:rPr/>
            </w:pPr>
            <w:r>
              <w:rPr/>
              <w:t xml:space="preserve">May 29, 2026 </w:t>
              <w:br/>
              <w:t>Page 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Assuming the Notes have been duly authenticated by the Trustee in accordance with the terms of the Indenture, the Notes constitute valid and legally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herein are subject to the following assumptions and qualifications being true and correct at or before the issuance of the Notes: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(i)</w:t>
            </w:r>
          </w:p>
        </w:tc>
        <w:tc>
          <w:tcPr>
            <w:tcW w:w="9955" w:type="dxa"/>
            <w:tcBorders/>
            <w:vAlign w:val="center"/>
          </w:tcPr>
          <w:p>
            <w:pPr>
              <w:pStyle w:val="TableContents"/>
              <w:bidi w:val="0"/>
              <w:spacing w:before="0" w:after="283"/>
              <w:jc w:val="both"/>
              <w:rPr/>
            </w:pPr>
            <w:r>
              <w:rPr/>
              <w:t>the Indenture and the Notes have been duly authorized, executed and delivered by each party thereto (other than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(ii)</w:t>
            </w:r>
          </w:p>
        </w:tc>
        <w:tc>
          <w:tcPr>
            <w:tcW w:w="9896" w:type="dxa"/>
            <w:tcBorders/>
            <w:vAlign w:val="center"/>
          </w:tcPr>
          <w:p>
            <w:pPr>
              <w:pStyle w:val="TableContents"/>
              <w:bidi w:val="0"/>
              <w:spacing w:before="0" w:after="283"/>
              <w:jc w:val="both"/>
              <w:rPr/>
            </w:pPr>
            <w:r>
              <w:rPr/>
              <w:t>the terms of the Notes as established comply with the applicable requirements of the Investment Company Act of 1940, as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 (iii) an implied covenant of good faith and fair dealing; (iv) provisions of law which may require that a judgment for money damages rendered by a court in the United States be expressed only in U.S. dollars; (v)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(iv) governmental authority to limit, delay or prohibit the making of payments outside the United States or in foreign currency or composite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federal laws of the United States of America, the laws of the State of New York and the Maryland General Corporation Law. We are members of the bar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3620" w:type="dxa"/>
        <w:jc w:val="left"/>
        <w:tblInd w:w="0" w:type="dxa"/>
        <w:tblLayout w:type="fixed"/>
        <w:tblCellMar>
          <w:top w:w="0" w:type="dxa"/>
          <w:left w:w="0" w:type="dxa"/>
          <w:bottom w:w="0" w:type="dxa"/>
          <w:right w:w="0" w:type="dxa"/>
        </w:tblCellMar>
      </w:tblPr>
      <w:tblGrid>
        <w:gridCol w:w="2205"/>
        <w:gridCol w:w="1415"/>
      </w:tblGrid>
      <w:tr>
        <w:trPr/>
        <w:tc>
          <w:tcPr>
            <w:tcW w:w="2205" w:type="dxa"/>
            <w:tcBorders/>
            <w:vAlign w:val="center"/>
          </w:tcPr>
          <w:p>
            <w:pPr>
              <w:pStyle w:val="TableContents"/>
              <w:bidi w:val="0"/>
              <w:spacing w:before="0" w:after="283"/>
              <w:jc w:val="left"/>
              <w:rPr/>
            </w:pPr>
            <w:r>
              <w:rPr/>
              <w:drawing>
                <wp:inline distT="0" distB="0" distL="0" distR="0">
                  <wp:extent cx="1400175" cy="132397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8"/>
                          <a:stretch>
                            <a:fillRect/>
                          </a:stretch>
                        </pic:blipFill>
                        <pic:spPr bwMode="auto">
                          <a:xfrm>
                            <a:off x="0" y="0"/>
                            <a:ext cx="1400175" cy="1323975"/>
                          </a:xfrm>
                          <a:prstGeom prst="rect">
                            <a:avLst/>
                          </a:prstGeom>
                        </pic:spPr>
                      </pic:pic>
                    </a:graphicData>
                  </a:graphic>
                </wp:inline>
              </w:drawing>
            </w:r>
          </w:p>
        </w:tc>
        <w:tc>
          <w:tcPr>
            <w:tcW w:w="1415" w:type="dxa"/>
            <w:tcBorders/>
            <w:vAlign w:val="center"/>
          </w:tcPr>
          <w:p>
            <w:pPr>
              <w:pStyle w:val="TableContents"/>
              <w:bidi w:val="0"/>
              <w:spacing w:before="0" w:after="283"/>
              <w:jc w:val="right"/>
              <w:rPr/>
            </w:pPr>
            <w:r>
              <w:rPr/>
              <w:t xml:space="preserve">May 29, 2026 </w:t>
              <w:br/>
              <w:t>Page 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 no obligation to advise you of any changes in the foregoing subsequent to the date of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Company’s Current Report on Form 8-K, dated May 29, 2026 and to the reference to this firm under the caption “Legal Matters” in the Prospectus Supplement which forms a part of the Registration Statement. In giving such consent, we do not thereby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Dechert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3384/000110465922083650/tm2222036d1_ex4-1.htm" TargetMode="External"/><Relationship Id="rId3" Type="http://schemas.openxmlformats.org/officeDocument/2006/relationships/hyperlink" Target="https://www.sec.gov/Archives/edgar/data/1653384/000110465922083650/tm2222036d1_ex4-1.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29064</Words>
  <Characters>151987</Characters>
  <CharactersWithSpaces>181944</CharactersWithSpaces>
  <Paragraphs>1391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