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31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814-01180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Runway Growth Finance Corp.</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3180" w:type="dxa"/>
            <w:vAlign w:val="bottom"/>
          </w:tcPr>
          <w:p>
            <w:pPr>
              <w:jc w:val="center"/>
              <w:ind w:left="1049"/>
              <w:spacing w:after="0"/>
              <w:rPr>
                <w:sz w:val="20"/>
                <w:szCs w:val="20"/>
                <w:color w:val="auto"/>
              </w:rPr>
            </w:pPr>
            <w:r>
              <w:rPr>
                <w:rFonts w:ascii="Arial" w:cs="Arial" w:eastAsia="Arial" w:hAnsi="Arial"/>
                <w:sz w:val="14"/>
                <w:szCs w:val="14"/>
                <w:b w:val="1"/>
                <w:bCs w:val="1"/>
                <w:color w:val="auto"/>
              </w:rPr>
              <w:t>Maryland</w:t>
            </w:r>
          </w:p>
        </w:tc>
        <w:tc>
          <w:tcPr>
            <w:tcW w:w="2780" w:type="dxa"/>
            <w:vAlign w:val="bottom"/>
          </w:tcPr>
          <w:p>
            <w:pPr>
              <w:spacing w:after="0"/>
              <w:rPr>
                <w:sz w:val="14"/>
                <w:szCs w:val="14"/>
                <w:color w:val="auto"/>
              </w:rPr>
            </w:pPr>
          </w:p>
        </w:tc>
        <w:tc>
          <w:tcPr>
            <w:tcW w:w="3040" w:type="dxa"/>
            <w:vAlign w:val="bottom"/>
          </w:tcPr>
          <w:p>
            <w:pPr>
              <w:jc w:val="right"/>
              <w:ind w:right="1490"/>
              <w:spacing w:after="0"/>
              <w:rPr>
                <w:sz w:val="20"/>
                <w:szCs w:val="20"/>
                <w:color w:val="auto"/>
              </w:rPr>
            </w:pPr>
            <w:r>
              <w:rPr>
                <w:rFonts w:ascii="Arial" w:cs="Arial" w:eastAsia="Arial" w:hAnsi="Arial"/>
                <w:sz w:val="14"/>
                <w:szCs w:val="14"/>
                <w:b w:val="1"/>
                <w:bCs w:val="1"/>
                <w:color w:val="auto"/>
              </w:rPr>
              <w:t>47-5049745</w:t>
            </w:r>
          </w:p>
        </w:tc>
        <w:tc>
          <w:tcPr>
            <w:tcW w:w="0" w:type="dxa"/>
            <w:vAlign w:val="bottom"/>
          </w:tcPr>
          <w:p>
            <w:pPr>
              <w:spacing w:after="0"/>
              <w:rPr>
                <w:sz w:val="1"/>
                <w:szCs w:val="1"/>
                <w:color w:val="auto"/>
              </w:rPr>
            </w:pPr>
          </w:p>
        </w:tc>
      </w:tr>
      <w:tr>
        <w:trPr>
          <w:trHeight w:val="182"/>
        </w:trPr>
        <w:tc>
          <w:tcPr>
            <w:tcW w:w="3180" w:type="dxa"/>
            <w:vAlign w:val="bottom"/>
          </w:tcPr>
          <w:p>
            <w:pPr>
              <w:jc w:val="center"/>
              <w:ind w:left="1069"/>
              <w:spacing w:after="0"/>
              <w:rPr>
                <w:sz w:val="20"/>
                <w:szCs w:val="20"/>
                <w:color w:val="auto"/>
              </w:rPr>
            </w:pPr>
            <w:r>
              <w:rPr>
                <w:rFonts w:ascii="Arial" w:cs="Arial" w:eastAsia="Arial" w:hAnsi="Arial"/>
                <w:sz w:val="14"/>
                <w:szCs w:val="14"/>
                <w:color w:val="auto"/>
                <w:w w:val="95"/>
              </w:rPr>
              <w:t>(State of incorporation)</w:t>
            </w:r>
          </w:p>
        </w:tc>
        <w:tc>
          <w:tcPr>
            <w:tcW w:w="2780" w:type="dxa"/>
            <w:vAlign w:val="bottom"/>
          </w:tcPr>
          <w:p>
            <w:pPr>
              <w:spacing w:after="0"/>
              <w:rPr>
                <w:sz w:val="15"/>
                <w:szCs w:val="15"/>
                <w:color w:val="auto"/>
              </w:rPr>
            </w:pPr>
          </w:p>
        </w:tc>
        <w:tc>
          <w:tcPr>
            <w:tcW w:w="3040" w:type="dxa"/>
            <w:vAlign w:val="bottom"/>
          </w:tcPr>
          <w:p>
            <w:pPr>
              <w:jc w:val="center"/>
              <w:ind w:right="650"/>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2"/>
        </w:trPr>
        <w:tc>
          <w:tcPr>
            <w:tcW w:w="3180" w:type="dxa"/>
            <w:vAlign w:val="bottom"/>
          </w:tcPr>
          <w:p>
            <w:pPr>
              <w:jc w:val="center"/>
              <w:ind w:left="1089"/>
              <w:spacing w:after="0"/>
              <w:rPr>
                <w:sz w:val="20"/>
                <w:szCs w:val="20"/>
                <w:color w:val="auto"/>
              </w:rPr>
            </w:pPr>
            <w:r>
              <w:rPr>
                <w:rFonts w:ascii="Arial" w:cs="Arial" w:eastAsia="Arial" w:hAnsi="Arial"/>
                <w:sz w:val="14"/>
                <w:szCs w:val="14"/>
                <w:b w:val="1"/>
                <w:bCs w:val="1"/>
                <w:color w:val="auto"/>
                <w:w w:val="93"/>
              </w:rPr>
              <w:t>205 N. Michigan Ave., Suite 4200</w:t>
            </w:r>
          </w:p>
        </w:tc>
        <w:tc>
          <w:tcPr>
            <w:tcW w:w="2780" w:type="dxa"/>
            <w:vAlign w:val="bottom"/>
          </w:tcPr>
          <w:p>
            <w:pPr>
              <w:spacing w:after="0"/>
              <w:rPr>
                <w:sz w:val="16"/>
                <w:szCs w:val="16"/>
                <w:color w:val="auto"/>
              </w:rPr>
            </w:pPr>
          </w:p>
        </w:tc>
        <w:tc>
          <w:tcPr>
            <w:tcW w:w="3040" w:type="dxa"/>
            <w:vAlign w:val="bottom"/>
            <w:vMerge w:val="restart"/>
          </w:tcPr>
          <w:p>
            <w:pPr>
              <w:jc w:val="right"/>
              <w:ind w:right="1650"/>
              <w:spacing w:after="0"/>
              <w:rPr>
                <w:sz w:val="20"/>
                <w:szCs w:val="20"/>
                <w:color w:val="auto"/>
              </w:rPr>
            </w:pPr>
            <w:r>
              <w:rPr>
                <w:rFonts w:ascii="Arial" w:cs="Arial" w:eastAsia="Arial" w:hAnsi="Arial"/>
                <w:sz w:val="14"/>
                <w:szCs w:val="14"/>
                <w:b w:val="1"/>
                <w:bCs w:val="1"/>
                <w:color w:val="auto"/>
              </w:rPr>
              <w:t>60601</w:t>
            </w:r>
          </w:p>
        </w:tc>
        <w:tc>
          <w:tcPr>
            <w:tcW w:w="0" w:type="dxa"/>
            <w:vAlign w:val="bottom"/>
          </w:tcPr>
          <w:p>
            <w:pPr>
              <w:spacing w:after="0"/>
              <w:rPr>
                <w:sz w:val="1"/>
                <w:szCs w:val="1"/>
                <w:color w:val="auto"/>
              </w:rPr>
            </w:pPr>
          </w:p>
        </w:tc>
      </w:tr>
      <w:tr>
        <w:trPr>
          <w:trHeight w:val="153"/>
        </w:trPr>
        <w:tc>
          <w:tcPr>
            <w:tcW w:w="3180" w:type="dxa"/>
            <w:vAlign w:val="bottom"/>
          </w:tcPr>
          <w:p>
            <w:pPr>
              <w:jc w:val="center"/>
              <w:ind w:left="1069"/>
              <w:spacing w:after="0" w:line="153" w:lineRule="exact"/>
              <w:rPr>
                <w:sz w:val="20"/>
                <w:szCs w:val="20"/>
                <w:color w:val="auto"/>
              </w:rPr>
            </w:pPr>
            <w:r>
              <w:rPr>
                <w:rFonts w:ascii="Arial" w:cs="Arial" w:eastAsia="Arial" w:hAnsi="Arial"/>
                <w:sz w:val="14"/>
                <w:szCs w:val="14"/>
                <w:b w:val="1"/>
                <w:bCs w:val="1"/>
                <w:color w:val="auto"/>
                <w:w w:val="95"/>
              </w:rPr>
              <w:t>Chicago, IL</w:t>
            </w:r>
          </w:p>
        </w:tc>
        <w:tc>
          <w:tcPr>
            <w:tcW w:w="278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jc w:val="center"/>
              <w:ind w:right="1573"/>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jc w:val="center"/>
              <w:ind w:right="650"/>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278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(312) 698-6902</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2780" w:type="dxa"/>
            <w:vAlign w:val="bottom"/>
          </w:tcPr>
          <w:p>
            <w:pPr>
              <w:jc w:val="center"/>
              <w:ind w:right="13"/>
              <w:spacing w:after="0"/>
              <w:rPr>
                <w:sz w:val="20"/>
                <w:szCs w:val="20"/>
                <w:color w:val="auto"/>
              </w:rPr>
            </w:pPr>
            <w:r>
              <w:rPr>
                <w:rFonts w:ascii="Arial" w:cs="Arial" w:eastAsia="Arial" w:hAnsi="Arial"/>
                <w:sz w:val="13"/>
                <w:szCs w:val="13"/>
                <w:color w:val="auto"/>
                <w:w w:val="87"/>
              </w:rPr>
              <w:t>(Registrant’s telephone number, including area code)</w:t>
            </w: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6"/>
        </w:trPr>
        <w:tc>
          <w:tcPr>
            <w:tcW w:w="3180" w:type="dxa"/>
            <w:vAlign w:val="bottom"/>
          </w:tcPr>
          <w:p>
            <w:pPr>
              <w:jc w:val="center"/>
              <w:ind w:right="689"/>
              <w:spacing w:after="0"/>
              <w:rPr>
                <w:sz w:val="20"/>
                <w:szCs w:val="20"/>
                <w:color w:val="auto"/>
              </w:rPr>
            </w:pPr>
            <w:r>
              <w:rPr>
                <w:rFonts w:ascii="Arial" w:cs="Arial" w:eastAsia="Arial" w:hAnsi="Arial"/>
                <w:sz w:val="13"/>
                <w:szCs w:val="13"/>
                <w:b w:val="1"/>
                <w:bCs w:val="1"/>
                <w:color w:val="auto"/>
                <w:w w:val="83"/>
              </w:rPr>
              <w:t>Title of each class</w:t>
            </w:r>
          </w:p>
        </w:tc>
        <w:tc>
          <w:tcPr>
            <w:tcW w:w="2780" w:type="dxa"/>
            <w:vAlign w:val="bottom"/>
          </w:tcPr>
          <w:p>
            <w:pPr>
              <w:jc w:val="center"/>
              <w:ind w:right="73"/>
              <w:spacing w:after="0"/>
              <w:rPr>
                <w:sz w:val="20"/>
                <w:szCs w:val="20"/>
                <w:color w:val="auto"/>
              </w:rPr>
            </w:pPr>
            <w:r>
              <w:rPr>
                <w:rFonts w:ascii="Arial" w:cs="Arial" w:eastAsia="Arial" w:hAnsi="Arial"/>
                <w:sz w:val="13"/>
                <w:szCs w:val="13"/>
                <w:b w:val="1"/>
                <w:bCs w:val="1"/>
                <w:color w:val="auto"/>
                <w:w w:val="87"/>
              </w:rPr>
              <w:t>Trading Symbol(s)</w:t>
            </w:r>
          </w:p>
        </w:tc>
        <w:tc>
          <w:tcPr>
            <w:tcW w:w="3040" w:type="dxa"/>
            <w:vAlign w:val="bottom"/>
          </w:tcPr>
          <w:p>
            <w:pPr>
              <w:jc w:val="center"/>
              <w:ind w:left="630"/>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82"/>
        </w:trPr>
        <w:tc>
          <w:tcPr>
            <w:tcW w:w="3180" w:type="dxa"/>
            <w:vAlign w:val="bottom"/>
          </w:tcPr>
          <w:p>
            <w:pPr>
              <w:jc w:val="center"/>
              <w:ind w:right="689"/>
              <w:spacing w:after="0"/>
              <w:rPr>
                <w:sz w:val="20"/>
                <w:szCs w:val="20"/>
                <w:color w:val="auto"/>
              </w:rPr>
            </w:pPr>
            <w:r>
              <w:rPr>
                <w:rFonts w:ascii="Arial" w:cs="Arial" w:eastAsia="Arial" w:hAnsi="Arial"/>
                <w:sz w:val="14"/>
                <w:szCs w:val="14"/>
                <w:color w:val="auto"/>
                <w:w w:val="91"/>
              </w:rPr>
              <w:t>Common Stock, par value $0.01 per share</w:t>
            </w:r>
          </w:p>
        </w:tc>
        <w:tc>
          <w:tcPr>
            <w:tcW w:w="2780" w:type="dxa"/>
            <w:vAlign w:val="bottom"/>
          </w:tcPr>
          <w:p>
            <w:pPr>
              <w:jc w:val="center"/>
              <w:ind w:right="33"/>
              <w:spacing w:after="0"/>
              <w:rPr>
                <w:sz w:val="20"/>
                <w:szCs w:val="20"/>
                <w:color w:val="auto"/>
              </w:rPr>
            </w:pPr>
            <w:r>
              <w:rPr>
                <w:rFonts w:ascii="Arial" w:cs="Arial" w:eastAsia="Arial" w:hAnsi="Arial"/>
                <w:sz w:val="14"/>
                <w:szCs w:val="14"/>
                <w:color w:val="auto"/>
                <w:w w:val="95"/>
              </w:rPr>
              <w:t>RWAY</w:t>
            </w:r>
          </w:p>
        </w:tc>
        <w:tc>
          <w:tcPr>
            <w:tcW w:w="3040" w:type="dxa"/>
            <w:vAlign w:val="bottom"/>
          </w:tcPr>
          <w:p>
            <w:pPr>
              <w:jc w:val="center"/>
              <w:ind w:left="630"/>
              <w:spacing w:after="0"/>
              <w:rPr>
                <w:sz w:val="20"/>
                <w:szCs w:val="20"/>
                <w:color w:val="auto"/>
              </w:rPr>
            </w:pPr>
            <w:r>
              <w:rPr>
                <w:rFonts w:ascii="Arial" w:cs="Arial" w:eastAsia="Arial" w:hAnsi="Arial"/>
                <w:sz w:val="14"/>
                <w:szCs w:val="14"/>
                <w:color w:val="auto"/>
                <w:w w:val="97"/>
              </w:rPr>
              <w:t>NASDAQ Global Select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187325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31" w:lineRule="exact"/>
        <w:rPr>
          <w:sz w:val="24"/>
          <w:szCs w:val="24"/>
          <w:color w:val="auto"/>
        </w:rPr>
      </w:pPr>
    </w:p>
    <w:p>
      <w:pPr>
        <w:ind w:left="360" w:right="176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600" w:val="left"/>
        </w:tabs>
        <w:rPr>
          <w:sz w:val="20"/>
          <w:szCs w:val="20"/>
          <w:color w:val="auto"/>
        </w:rPr>
      </w:pPr>
      <w:r>
        <w:rPr>
          <w:rFonts w:ascii="Arial" w:cs="Arial" w:eastAsia="Arial" w:hAnsi="Arial"/>
          <w:sz w:val="14"/>
          <w:szCs w:val="14"/>
          <w:color w:val="auto"/>
        </w:rPr>
        <w:t>90 days.</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jc w:val="both"/>
        <w:ind w:firstLine="3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3"/>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22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jc w:val="both"/>
        <w:ind w:firstLine="3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60"/>
        <w:spacing w:after="0" w:line="17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380"/>
        <w:spacing w:after="0" w:line="161" w:lineRule="exact"/>
        <w:tabs>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3" w:lineRule="exact"/>
        <w:rPr>
          <w:sz w:val="24"/>
          <w:szCs w:val="24"/>
          <w:color w:val="auto"/>
        </w:rPr>
      </w:pPr>
    </w:p>
    <w:p>
      <w:pPr>
        <w:jc w:val="both"/>
        <w:ind w:right="20" w:firstLine="363"/>
        <w:spacing w:after="0" w:line="253" w:lineRule="auto"/>
        <w:rPr>
          <w:sz w:val="20"/>
          <w:szCs w:val="20"/>
          <w:color w:val="auto"/>
        </w:rPr>
      </w:pPr>
      <w:r>
        <w:rPr>
          <w:rFonts w:ascii="Arial" w:cs="Arial" w:eastAsia="Arial" w:hAnsi="Arial"/>
          <w:sz w:val="14"/>
          <w:szCs w:val="14"/>
          <w:color w:val="auto"/>
        </w:rPr>
        <w:t>The aggregate market value of the common stock held by non-affiliates of the Registrant as of June 30, 2021 has not been provided because trading of the Registrant’s common stock on the Nasdaq Global Select Market did not commence until October 21, 2021.</w:t>
      </w:r>
    </w:p>
    <w:p>
      <w:pPr>
        <w:spacing w:after="0" w:line="25" w:lineRule="exact"/>
        <w:rPr>
          <w:sz w:val="24"/>
          <w:szCs w:val="24"/>
          <w:color w:val="auto"/>
        </w:rPr>
      </w:pPr>
    </w:p>
    <w:p>
      <w:pPr>
        <w:ind w:left="380"/>
        <w:spacing w:after="0"/>
        <w:rPr>
          <w:sz w:val="20"/>
          <w:szCs w:val="20"/>
          <w:color w:val="auto"/>
        </w:rPr>
      </w:pPr>
      <w:r>
        <w:rPr>
          <w:rFonts w:ascii="Arial" w:cs="Arial" w:eastAsia="Arial" w:hAnsi="Arial"/>
          <w:sz w:val="14"/>
          <w:szCs w:val="14"/>
          <w:color w:val="auto"/>
        </w:rPr>
        <w:t>There were 41,380,614 shares of the Registrant’s common stock outstanding as of March 3, 2022.</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5" w:lineRule="exact"/>
        <w:rPr>
          <w:sz w:val="24"/>
          <w:szCs w:val="24"/>
          <w:color w:val="auto"/>
        </w:rPr>
      </w:pPr>
    </w:p>
    <w:p>
      <w:pPr>
        <w:jc w:val="both"/>
        <w:ind w:firstLine="360"/>
        <w:spacing w:after="0" w:line="238" w:lineRule="auto"/>
        <w:rPr>
          <w:sz w:val="20"/>
          <w:szCs w:val="20"/>
          <w:color w:val="auto"/>
        </w:rPr>
      </w:pPr>
      <w:r>
        <w:rPr>
          <w:rFonts w:ascii="Arial" w:cs="Arial" w:eastAsia="Arial" w:hAnsi="Arial"/>
          <w:sz w:val="14"/>
          <w:szCs w:val="14"/>
          <w:color w:val="auto"/>
        </w:rPr>
        <w:t>Portions of the registrant’s definitive proxy statement relating to the registrant’s 2022 annual meeting of stockholders (the “2022 Proxy Statement”), to be filed with the Securities and Exchange Commission within 120 days after the end of the fiscal year covered by this Annual Report on Form 10-K are incorporated by reference into Part III of this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filing this Annual Report on Form 10-K/A (this “Amendment”) to correct the Form 10-K for the year ended December 31, 2021 filed on March 3, 2022 (the “Original Filing”). The Amendment is being filed to correct the weighted average shares outstanding for the year ended December 31, 2021 and the related dollar per share metrics calculated using the weighted average shares outstanding for the year ended December 31, 2021. Specifically, this Amendment revises the weighted average shares outstanding for the year ended December 31, 2021 and the related dollar per share metrics that appears in the Statement of Operations and Notes to Financial statements (specifically, “Note 5 – Net Increase/(Decrease) in Net Assets Resulting from Operations per Common Share” and “Note 11 – Financial Highlights”), as well as Item 7 - Management’s Discussion and Analysis of Financial Condition and results of Operations. The corrected weighted average shares outstanding for the year ended December 31, 2021 is 34,183,358 as opposed to the 39,593,658 reported in the Original Filing. As a result of this correction, the net increase in net assets resulting from operations per common share is $1.33, an increase of $0.18 from the Original Filing, and the net investment income per common share is $1.30, an increase of $0.18 from the Original Filing.</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pursuant to Rule 12b-15 under the Securities Exchange Act of 1934, as amended, this Amendment includes new certifications of our principal executive officer and principal financial officer on Exhibits 31.1, 31.2 and 32.1 and 32.2, each as of the date of filing this Amendment.</w:t>
      </w:r>
    </w:p>
    <w:p>
      <w:pPr>
        <w:spacing w:after="0" w:line="18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Except as described above, this Amendment does not affect any other section of the Original Report and continues to speak as of the date of the Original Report. This Amendment also does not reflect events that may have occurred subsequent to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979170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20" w:type="dxa"/>
            <w:vAlign w:val="bottom"/>
            <w:gridSpan w:val="12"/>
          </w:tcPr>
          <w:p>
            <w:pPr>
              <w:jc w:val="center"/>
              <w:ind w:right="1980"/>
              <w:spacing w:after="0"/>
              <w:rPr>
                <w:sz w:val="20"/>
                <w:szCs w:val="20"/>
                <w:color w:val="auto"/>
              </w:rPr>
            </w:pPr>
            <w:r>
              <w:rPr>
                <w:rFonts w:ascii="Arial" w:cs="Arial" w:eastAsia="Arial" w:hAnsi="Arial"/>
                <w:sz w:val="18"/>
                <w:szCs w:val="18"/>
                <w:b w:val="1"/>
                <w:bCs w:val="1"/>
                <w:color w:val="auto"/>
                <w:w w:val="99"/>
              </w:rPr>
              <w:t>RUNWAY GROWTH FINANCE CORP.</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gridSpan w:val="11"/>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200" w:type="dxa"/>
            <w:vAlign w:val="bottom"/>
            <w:gridSpan w:val="2"/>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4"/>
          </w:tcPr>
          <w:p>
            <w:pPr>
              <w:spacing w:after="0" w:line="17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1B.</w:t>
              </w:r>
            </w:hyperlink>
          </w:p>
        </w:tc>
        <w:tc>
          <w:tcPr>
            <w:tcW w:w="200" w:type="dxa"/>
            <w:vAlign w:val="bottom"/>
            <w:gridSpan w:val="2"/>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Unresolved Staff Comments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2.</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Properties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3.</w:t>
              </w:r>
            </w:hyperlink>
          </w:p>
        </w:tc>
        <w:tc>
          <w:tcPr>
            <w:tcW w:w="340" w:type="dxa"/>
            <w:vAlign w:val="bottom"/>
            <w:gridSpan w:val="5"/>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4.</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3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Market for Registrant’s Common Equity, Related Stockholder Matters and Issuer Purchases of Equity</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Item 5.</w:t>
              </w:r>
            </w:hyperlink>
          </w:p>
        </w:tc>
        <w:tc>
          <w:tcPr>
            <w:tcW w:w="340" w:type="dxa"/>
            <w:vAlign w:val="bottom"/>
            <w:gridSpan w:val="5"/>
            <w:shd w:val="clear" w:color="auto" w:fill="CCEEFF"/>
          </w:tcPr>
          <w:p>
            <w:pPr>
              <w:spacing w:after="0"/>
              <w:rPr>
                <w:sz w:val="18"/>
                <w:szCs w:val="18"/>
                <w:color w:val="auto"/>
              </w:rPr>
            </w:pPr>
          </w:p>
        </w:tc>
        <w:tc>
          <w:tcPr>
            <w:tcW w:w="8160" w:type="dxa"/>
            <w:vAlign w:val="bottom"/>
            <w:gridSpan w:val="22"/>
            <w:shd w:val="clear" w:color="auto" w:fill="CCEEFF"/>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Securities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6.</w:t>
              </w:r>
            </w:hyperlink>
          </w:p>
        </w:tc>
        <w:tc>
          <w:tcPr>
            <w:tcW w:w="340" w:type="dxa"/>
            <w:vAlign w:val="bottom"/>
            <w:tcBorders>
              <w:top w:val="single" w:sz="8" w:color="CCEEFF"/>
            </w:tcBorders>
            <w:gridSpan w:val="5"/>
          </w:tcPr>
          <w:p>
            <w:pPr>
              <w:spacing w:after="0"/>
              <w:rPr>
                <w:sz w:val="15"/>
                <w:szCs w:val="15"/>
                <w:color w:val="auto"/>
              </w:rPr>
            </w:pPr>
          </w:p>
        </w:tc>
        <w:tc>
          <w:tcPr>
            <w:tcW w:w="700" w:type="dxa"/>
            <w:vAlign w:val="bottom"/>
            <w:tcBorders>
              <w:top w:val="single" w:sz="8" w:color="0000EE"/>
            </w:tcBorders>
            <w:gridSpan w:val="3"/>
          </w:tcPr>
          <w:p>
            <w:pPr>
              <w:spacing w:after="0" w:line="17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Reserved</w:t>
              </w:r>
            </w:hyperlink>
          </w:p>
        </w:tc>
        <w:tc>
          <w:tcPr>
            <w:tcW w:w="7460" w:type="dxa"/>
            <w:vAlign w:val="bottom"/>
            <w:tcBorders>
              <w:top w:val="single" w:sz="8" w:color="CCEEFF"/>
            </w:tcBorders>
            <w:gridSpan w:val="19"/>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7.</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7A.</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Item 8.</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Statements and Supplementary Data</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Item 9.</w:t>
              </w:r>
            </w:hyperlink>
          </w:p>
        </w:tc>
        <w:tc>
          <w:tcPr>
            <w:tcW w:w="340" w:type="dxa"/>
            <w:vAlign w:val="bottom"/>
            <w:gridSpan w:val="5"/>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Item 9A.</w:t>
              </w:r>
            </w:hyperlink>
          </w:p>
        </w:tc>
        <w:tc>
          <w:tcPr>
            <w:tcW w:w="200" w:type="dxa"/>
            <w:vAlign w:val="bottom"/>
            <w:gridSpan w:val="2"/>
            <w:shd w:val="clear" w:color="auto" w:fill="CCEEFF"/>
          </w:tcPr>
          <w:p>
            <w:pPr>
              <w:spacing w:after="0"/>
              <w:rPr>
                <w:sz w:val="17"/>
                <w:szCs w:val="17"/>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2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Item 9B.</w:t>
              </w:r>
            </w:hyperlink>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5"/>
                <w:szCs w:val="15"/>
                <w:color w:val="auto"/>
              </w:rPr>
            </w:pPr>
          </w:p>
        </w:tc>
        <w:tc>
          <w:tcPr>
            <w:tcW w:w="640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9C</w:t>
              </w:r>
            </w:hyperlink>
          </w:p>
        </w:tc>
        <w:tc>
          <w:tcPr>
            <w:tcW w:w="8160" w:type="dxa"/>
            <w:vAlign w:val="bottom"/>
            <w:gridSpan w:val="22"/>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Disclosure Regarding Foreign Jurisdictions that Prevent Inspection</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10.</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Directors, Executive Officers and Corporate Governance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11.</w:t>
              </w:r>
            </w:hyperlink>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Executive Compensation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12.</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13.</w:t>
              </w:r>
            </w:hyperlink>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Certain Relationships and Related Transactions, and Director Independence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14.</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Principal Accounting Fees and Services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Item 15.</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Exhibits and Financial Statement Schedules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Signatures</w:t>
              </w:r>
            </w:hyperlink>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3"/>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Runway Growth Finance Corp., a Maryland corporation formed on August 31, 2015 (“we,” “us,” “our,” or the “Company”),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Del Mar, California; and New York, New York.</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currently qualify, and intend to continue to qualify for treatment as a RIC. While we intend to qualify to be treated as a RIC annually, no assurance can be provided that we will be able to maintain our tax treatment as a RIC. If we fail to qualify for tax treatment as a RIC for any taxable year, we will be subject to U.S. federal income tax at corporate rates on any net taxable income for such year. See “— Certain U.S. Federal Income Tax Considerations” and “Note 2 — Summary of Significant Accounting Policies” to our financial statements in Part II, Item 8 of this Form 10 K for more information.</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On December 1, 2017, we completed our initial private offering (“Initial Private Offering”), in which we issued 18,241,157 shares of our common stock to stockholders for a total purchase price of $275,000,000 in reliance on exemptions from the registration requirements of the Securities Act of 1933, as amended (together with the rules and regulations promulgated thereunder, the “Securities Act”), and other applicable securities laws.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we have completed multiple closings under our second private offering (the “Second Private Offering”) and had accepted aggregate capital commitments of $181,673,500. As of December 31, 2021, in connection with the Second Private Offering we have issued an aggregate of 9,617,379 shares for a total purchase price of $144,260,683. Concurrent with the IPO (as defined below), all undrawn commitments under the Second Private Offering were cancelled.</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25, 2021, we closed our initial public offering (“IPO”), issuing 6,850,000 shares of our common stock at a public offering price of $14.60 per share. Net of underwriting fees and offering costs, we received net cash proceeds of approximately $93 million. Our common stock began trading on the Nasdaq Global Select Market under the symbol “RWAY” on October 21, 2021.</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2021, we had issued 22,564 shares as an additional direct investment by Runway Growth Holdings LLC, an affiliate of Runway Growth Capital LLC, our investment adviser (“RGC”), for a total purchase price of $338,453 in a private offering pursuant to an exemption from registration under Regulation D of the Securities Act and Runway Growth Holdings LLC purchased an additional 23,346 shares in the public markets for a total purchase price of $315,251. As of December 31, 2021, we have issued 6,647,847 shares for a total purchase price of $97,752,352 in connection with our dividend reinvestment plan.</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the commencement of investment operations on December 16, 2016, through December 31, 2021, we funded 49 portfolio companies and invested $1.2 billion in debt investments. As of December 31, 2021, our debt investment portfolio consisted of 39 debt investments in 25 portfolio companies with an aggregate fair value of $635.9 million while our equity portfolio consisted of 40 warrant positions, four preferred stock positions and four common stock positions in 36 portfolio companies with an aggregate fair value of $48.6 million. As of December 31, 2021, 98.0%, or $623.1 million, of our debt investment portfolio at fair value consisted of senior term loans. As of December 31, 2021, our net assets were $606.2 million, and all of our debt investments were secured by all or a portion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71" w:lineRule="exact"/>
        <w:rPr>
          <w:sz w:val="20"/>
          <w:szCs w:val="20"/>
          <w:color w:val="auto"/>
        </w:rPr>
      </w:pPr>
    </w:p>
    <w:p>
      <w:pPr>
        <w:jc w:val="both"/>
        <w:ind w:right="40" w:firstLine="648"/>
        <w:spacing w:after="0" w:line="313" w:lineRule="auto"/>
        <w:rPr>
          <w:sz w:val="20"/>
          <w:szCs w:val="20"/>
          <w:color w:val="auto"/>
        </w:rPr>
      </w:pPr>
      <w:r>
        <w:rPr>
          <w:rFonts w:ascii="Arial" w:cs="Arial" w:eastAsia="Arial" w:hAnsi="Arial"/>
          <w:sz w:val="15"/>
          <w:szCs w:val="15"/>
          <w:color w:val="231F20"/>
        </w:rPr>
        <w:t>For the year ended December 31, 2021, our debt investment portfolio had a dollar-weighted annualized yield of 13.77%. For the year ended December 31, 2020, our debt investment portfolio had a dollar-weighted annualized yield of 14.91%. We calculate the yield on dollar-weighted debt investments for any period measured as (1) total related investment income during the period divided by (2) the daily average of the fair value of debt investments outstanding during the period. As of December 31, 2021, our debt investments had a dollar-weighted average outstanding term of 48 months at origination and a dollar-weighted average remaining term of 37 months, or approximately 3.1 years. As of December 31, 2021, substantially all of our debt investments had an original committed principal amount of between $6 million and $75 million, repayment terms of between 34 months and 60 months and pay cash interest at annual interest rates of between 5.50% and 12.00%.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The following table shows our dollar-weighted annualized yield by investment type for the years ended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0"/>
                <w:szCs w:val="10"/>
                <w:b w:val="1"/>
                <w:bCs w:val="1"/>
                <w:color w:val="auto"/>
                <w:w w:val="98"/>
              </w:rPr>
              <w:t>(1)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860" w:type="dxa"/>
            <w:vAlign w:val="bottom"/>
            <w:tcBorders>
              <w:bottom w:val="single" w:sz="8" w:color="auto"/>
            </w:tcBorders>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2720" w:type="dxa"/>
            <w:vAlign w:val="bottom"/>
            <w:tcBorders>
              <w:bottom w:val="single" w:sz="8" w:color="auto"/>
            </w:tcBorders>
            <w:gridSpan w:val="5"/>
          </w:tcPr>
          <w:p>
            <w:pPr>
              <w:jc w:val="center"/>
              <w:ind w:left="717"/>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104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 type: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Debt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13.77 %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14.60 %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20.24 %</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All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12.74 %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13.57 %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hanging="4"/>
        <w:spacing w:after="0" w:line="237" w:lineRule="auto"/>
        <w:tabs>
          <w:tab w:leader="none" w:pos="87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75"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right="20" w:hanging="4"/>
        <w:spacing w:after="0" w:line="237" w:lineRule="auto"/>
        <w:tabs>
          <w:tab w:leader="none" w:pos="866"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2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We could remain an emerging growth company until the last day of our fiscal year following the fifth anniversary of the closing of our IPO, which occurred on October 25, 2021,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RGC</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RGC manages our day-to-day operations and provides us with investment advisory services pursuant to an investment advisory agreement, as amended and restated (the “Advisory Agreement”). Under the terms of the Advisory Agreement, RGC:</w:t>
      </w:r>
    </w:p>
    <w:p>
      <w:pPr>
        <w:spacing w:after="0" w:line="19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executes, closes and monitors the investments we make;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us with other such investment advisory, research and related services as we may, from time to time, reasonably require for the investment of our funds.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7 — Related Party Agreements and Transactions” to our financial statements in Part II, Item 8 of this Form 10-K for more information on the Advisory Agreement and the fee structure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1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 initial public offering in connection with a spin-off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the Company’s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with the Administrator (the “Administration Agreement”);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Committee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RGC’s investment committee (the “Investment Committee”) consists of R. David Spreng, who is its chairman and Chief Investment Officer, as well as our President, Chief Executive Officer and Chairman of our Board of Directors, Thomas B. Raterman, RGC’s Chief Financial Officer, and our Chief Operating Officer, Chief Financial Officer, Treasurer and Secretary, Greg Greifeld, Managing Director, Deputy Chief Investment Officer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Board of Directors, including a majority of the directors who were not “interested persons,” as defined in Section 2(a)(19) of the 1940 Act, of us or RGC, approved the Advisory Agreement at a virtual meeting on April 7, 2021 and recommended that our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In its consideration of the approval of the Advisory Agreement, our Board of Directors focused on information it had received relating to, among other things:</w:t>
      </w:r>
    </w:p>
    <w:p>
      <w:pPr>
        <w:spacing w:after="0" w:line="165"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provided to us by RGC under the terms of the Advisory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performance and the investment performance of RGC;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comparative data with respect to advisory fees or similar expenses paid by other BDCs with similar investment objectives;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about the services being performed and the personnel performing such services under the Advisory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RGC from its relationship with us and RGC’s profitability; and</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fee levels reflect these economies of scale for the benefit of our stockholders.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 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Administrator</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Strategic Relationship</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mid-1980s in high yield bonds, convertible securities, distressed debt, real estate, control investments and listed equities. Oaktree is a leader among global investment managers specializing in alternative investments, with $166 billion in assets under management as of December 31, 2021. The firm emphasizes an opportunistic, value-oriented and risk-controlled approach to investments in credit, private equity, real assets and listed equities. The firm has over 1,000 employees and offices in 19 cities worldwide.</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strategic relationship, OCM Growth Holdings, LLC, a Delaware limited liability company (“OCM”) managed by Oaktree, purchased an aggregate of 14,571,334 shares of our common stock for an aggregate purchase price of $219.3 million in our Initial Private Offering and our Second Private Offering (the “OCM Commitment”). As of December 31, 2021, OCM owns 19,979,688 shares of our common stock or 48% of our total issued and outstanding shares. OCM has granted a proxy to us pursuant to which the shares held by OCM will be voted in the same proportion as our other stockholders vote their shares.</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OCM Commitment, we entered into a stockholder agreement, dated December 15, 2016, with OCM, pursuant to which OCM has a right to nominate a member of our Board of Directors for election for so long as OCM holds shares of our common stock in an amount equal to, in the aggregate, at least one-third (33%) of OCM’s initial $125 million capital commitment. Brian Laibow, Co-Head of North America &amp; Managing Director Opportunities Funds, serves on our Board of Directors as OCM’s director nominee and is considered an interested director. OCM also holds a minority interest in RGC and has the right to appoint a member of RGC’s board of managers and a member of the Investment Committee. Brian Laibow is OCM’s appointee to RGC’s board of managers and Investment Committee. In connection with the Subsequent OCM Commitment, OCM also purchased additional equity in RGC.</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strategic relationship with Oaktree provides us with access to additional resources and investment opportunities by expanding our network of relationships with venture backed companies. RGC expects to continue to draw upon Oaktree’s over 20-year history in the investment management business and to continue to benefit from Oaktree’s investment professionals’ significant credit expertise developed through investments in different industries and over numerous companies in the United States. In addition, we expect to utilize Oaktree’s relationships to gain better access to leverage facilities with better terms and provisions than we would otherwise be able to obtain.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 and Approach</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focus on lending to late and growth stage companies in technology, life sciences, healthcare information and services, business services, select consumer services and products and other high-growth industries.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typically the sole lender to our portfolio companies and do not actively syndicate the loans we originate to other lenders nor do we participate in syndications built by other lenders.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strategy</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COVID-19 pandemic, we shifted our origination efforts to focus primarily on lending transactions with private companies with substantial equity backing from recognized venture sponsors.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Our Sponsored Growth Lending generally includes loans to late and growth stage companies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already backed by established venture capital and private equity firms. Our Sponsored Growth Lending strategy typically includes the receipt of warrants and/or other equity from the venture-backed companies. We typically target such companies with annual revenues of at least $15 million.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us access to many high-quality companies backed by top-tier venture capital and private equity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delivers consistent returns through double-digit loan yields;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often offers us the ability to participate in equity upside of portfolio companies through the acquisition of warrants.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Non-Sponsored Growth Lending</w:t>
      </w:r>
      <w:r>
        <w:rPr>
          <w:rFonts w:ascii="Arial" w:cs="Arial" w:eastAsia="Arial" w:hAnsi="Arial"/>
          <w:sz w:val="17"/>
          <w:szCs w:val="17"/>
          <w:color w:val="auto"/>
        </w:rPr>
        <w:t>. Our Non-Sponsored Growth Lending strategy generally includes loans to late and growth stage,</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companies that are funded directly by entrepreneurs and founders, or companies that no longer require institutional equity investment (which may selectively include publicly traded companies). We refer to these target borrowers as “non-sponsored growth companies” and we generally target such companies with annual revenue of at least $20 million per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Exemptive Relief</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market environment is favorable for us to continue to pursue an investment strategy primarily focused on late stage and high-growth companies in technology, life sciences, healthcare information and services, business services, select consumer services and products and other high-growth industries.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Innovative Companies Across a Variety of High-Growth Industries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Diversified high growth-potential industries: </w:t>
      </w:r>
      <w:r>
        <w:rPr>
          <w:rFonts w:ascii="Arial" w:cs="Arial" w:eastAsia="Arial" w:hAnsi="Arial"/>
          <w:sz w:val="16"/>
          <w:szCs w:val="16"/>
          <w:color w:val="auto"/>
        </w:rPr>
        <w:t>We target companies active in industries that support high growth-potential. Our</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Growth Lending strategy is focused on the largest industry sectors where venture capital investors are active, primarily technology, life sciences, healthcare information and services, business services, select consumer services and products and other high-growth industries. These industries’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and Non-Sponsored Growth Lending Represents an Attractive Source of Funding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An attractive market opportunity exists for a lender that invests in secured loans to late and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stage companies that have not yet achieved profitability. Sponsored growth lending provides an attractive source of funds for venture-backed companies, their management teams, and their equity capital investors, as it:</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typically less dilutive and complements equity financing from venture capital and private equity funds;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often extends the time period during which a company can operate before seeking additional equity capital or pursuing a sale transaction or other liquidity event;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generally allows companies to better match cash sources with uses.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Non-Sponsored Growth Lending: </w:t>
      </w:r>
      <w:r>
        <w:rPr>
          <w:rFonts w:ascii="Arial" w:cs="Arial" w:eastAsia="Arial" w:hAnsi="Arial"/>
          <w:sz w:val="16"/>
          <w:szCs w:val="16"/>
          <w:color w:val="auto"/>
        </w:rPr>
        <w:t>An attractive market opportunity exists for a lender that invests in secured loans to late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stage companies that have reached profitability and need long-term growth capital but do not want the challenges that come with</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equity to venture capital or private equity firms. Non-Sponsored Growth Lending often provides all or some of the following benefits to our borrowers:</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growth capital without the requirement to take on institutional-size investments that may exceed the company’s capital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deductible interest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significant operational involvement;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personal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very modest dilution,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loss of managerial control or forced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and Growing Market for Debt Financing to Venture Capital-Backed Companies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Healthy, stable venture environment: </w:t>
      </w:r>
      <w:r>
        <w:rPr>
          <w:rFonts w:ascii="Arial" w:cs="Arial" w:eastAsia="Arial" w:hAnsi="Arial"/>
          <w:sz w:val="17"/>
          <w:szCs w:val="17"/>
          <w:color w:val="auto"/>
        </w:rPr>
        <w:t>Approximately 17,000 companies received venture capital financing in 2021, according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Pitchbook-NVCA Venture Monitor, a quarterly report published jointly by NVCA and Pitchbook on venture capital activity (“Pitchbook-NVCA”), and approximately 34% of these transactions were first-round financings. The number of venture capital financings has averaged over 10,000 for the past ten years and, during this period, approximately one-third of these transactions were first time financings. Since 2006, the annual level of venture deal volume has increased to a record of about $330 billion of total volume in 2021. The significant increase in investment amounts beginning in 2014 through 2021 is largely the result of growth investments in later-stage companies that are staying private longer. The venture debt lending market, as defined in the Q4 2021 Pitchbook-NVCA Venture Monitor, is estimated at $29.9 billion or roughly 9.1% of total U.S. venture capital deal value.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Growing pool of target companies: </w:t>
      </w:r>
      <w:r>
        <w:rPr>
          <w:rFonts w:ascii="Arial" w:cs="Arial" w:eastAsia="Arial" w:hAnsi="Arial"/>
          <w:sz w:val="17"/>
          <w:szCs w:val="17"/>
          <w:color w:val="auto"/>
        </w:rPr>
        <w:t>The average time from initial venture capital investment to transaction exit of such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either by an initial public offering or merger and acquisition transaction, has lengthened considerably. According to the Pitchbook-NVCA 2016 Yearbook, in 1998 the average number of years from initial venture investment to initial public offering of a U.S. venture capital-backed company was 3.1 years and the average number of years from initial venture investment to merger and acquisition transaction was 4.5 years. These numbers have steadily increased and have ranged between 6.0 years and 6.3 years from 2017 through 2020. According to the Q4 2021 Pitchbook-NVCA Venture Monitor, the current average time from initial venture investment to exit transaction is now 6.1 years. Exit transactions are a small proportion of companies financed by venture capital each year. As a result, the pool of target companies has grown larger with increased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Fragmented, Underserved Market with High Barriers to Entry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Competitive Advantages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we are well positioned to address the market for growth lending in a manner that will result in a competitive advantage over other established sponsored growth lenders. We believe our competitive strengths and key differentiators include:</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Experienced, Proven Management Team Supported by a Deep Bench of Dedicated Investment Professionals. </w:t>
      </w:r>
      <w:r>
        <w:rPr>
          <w:rFonts w:ascii="Arial" w:cs="Arial" w:eastAsia="Arial" w:hAnsi="Arial"/>
          <w:sz w:val="18"/>
          <w:szCs w:val="18"/>
          <w:color w:val="auto"/>
        </w:rPr>
        <w:t>The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of RGC have on average over 23 years of experience as venture capitalists and lenders who have developed a disciplined, repeatable approach to investing and managing investments in high potential growth businesses. We believe that the experience, relationships and disciplined investment and risk management processes of RGC’s investment professionals are a competitive advantage for us.</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President and Chief Executive Officer, David Spreng, who is also the founder, Chief Executive Officer and Chief Investment Officer of RGC, has a unique combination of experience as a senior executive of a $20 billion asset management firm and over 25 years as a venture capital equity and debt investor. For the past 20 years, Mr. Spreng has been a leader in applying risk management processes to investing in equity and debt of small, fast-growing, private companies. Our Chief Financial Officer and Chief Operating Officers, Treasurer and Secretary, Thomas Raterman, who is also Chief Financial Officer of RGC, has more than 30 years of corporate finance, investment banking, private equity and financial executive management experience with rapidly growing entrepreneurial companies. Greg Greifeld, Managing Director, Deputy Chief Investment Officer and Head of Credit at RGC, has over 12 years of lending, venture capital, and investment management experience. Our Managing Director and Head of Origination, Mark Donnelly, also has over 15 years of experience in venture capital and private equity and experience in origination of new investment opportunities. Finally, Rob Lake, Managing Directors and Head of Life Sciences, has over 28 years of life science and venture capital debt experience and in the past decade has deployed over $1.5 billion of debt to life science and health care companies.</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Provide Capital to Robust, High-Growth Venture-backed Companies. </w:t>
      </w:r>
      <w:r>
        <w:rPr>
          <w:rFonts w:ascii="Arial" w:cs="Arial" w:eastAsia="Arial" w:hAnsi="Arial"/>
          <w:sz w:val="17"/>
          <w:szCs w:val="17"/>
          <w:color w:val="auto"/>
        </w:rPr>
        <w:t>We believe we are favorably positioned within the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2021 Pitchbook-NVCA Venture Monitor and Pitchbook-NVCA industry classifications, venture capital deal volume for technology totaled approximately $285.2.0 billion in 2021, representing an 25.3% CAGR from 2010 to 2021. Venture capital deal volume for life sciences totaled approximately $47.0 billion in 2021, representing a 17.5% CAGR from 2010 to 2021. We believe companies within these industries can often be characterized as having asset-light business models, attractive recurring revenue streams and strong growth trajectories.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across industries to diversify risk and deliver more stable returns. The investment professionals at RGC have extensive experience investing in the industries on which we focus, including technology, life sciences, healthcare information and services, business services, select consumer services and products and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Robust Disciplined Investment Process and Credit Analysis. </w:t>
      </w:r>
      <w:r>
        <w:rPr>
          <w:rFonts w:ascii="Arial" w:cs="Arial" w:eastAsia="Arial" w:hAnsi="Arial"/>
          <w:sz w:val="16"/>
          <w:szCs w:val="16"/>
          <w:color w:val="auto"/>
        </w:rPr>
        <w:t>RGC’s senior investment professionals draw upon their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operating, lending, venture capital and growth investing, to manage the underwriting investment process. Credit analysis, which is a fundamental part of our investment process, is driven by our credit-first philosophy and utilizes the core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the focused and disciplined approach that RGC applies to our lending strategy enables us to deliver strong, consistent returns to our investors. Our debt portfolio is 98.0% first lien senior secured. Of our $1.5 billion total commitments since inception, our cumulative gross loss rate, as a percentage of total commitments since inception, has been 0.98% and our net losses, as a percentage of total commitments since inception, has been 0.04%. At the point of origination, our portfolio companies have raised on average $90 million of equity proceeds relative to our average loan size of $25 million. To achieve this, we do not follow an “index” strategy or a narrowly focused approach, and we do not lend only to those companies that are backed by a specific set of sponsors. We believe that careful selection among many opportunities, within both sponsored and non-sponsored lending opportunities, will yield the optimal portfolio results.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Proprietary Risk Analytics and Return Optimization. </w:t>
      </w:r>
      <w:r>
        <w:rPr>
          <w:rFonts w:ascii="Arial" w:cs="Arial" w:eastAsia="Arial" w:hAnsi="Arial"/>
          <w:sz w:val="18"/>
          <w:szCs w:val="18"/>
          <w:color w:val="auto"/>
        </w:rPr>
        <w:t>Over the past 20 years, RGC’s senior investment professionals have iterated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30 quantitative and qualitative variables in four main risk areas (market, technology, management and financing) to generate a composite risk ranking for each portfolio company.</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Flexible, Opportunity-Specific Pricing and Structure. </w:t>
      </w:r>
      <w:r>
        <w:rPr>
          <w:rFonts w:ascii="Arial" w:cs="Arial" w:eastAsia="Arial" w:hAnsi="Arial"/>
          <w:sz w:val="17"/>
          <w:szCs w:val="17"/>
          <w:color w:val="auto"/>
        </w:rPr>
        <w:t>RGC’s comprehensive analysis assesses all factors and does not rely on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most companies will have positive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Strong Reputation and Deep Relationships. </w:t>
      </w:r>
      <w:r>
        <w:rPr>
          <w:rFonts w:ascii="Arial" w:cs="Arial" w:eastAsia="Arial" w:hAnsi="Arial"/>
          <w:sz w:val="18"/>
          <w:szCs w:val="18"/>
          <w:color w:val="auto"/>
        </w:rPr>
        <w:t>RGC’s senior investment professionals enjoy reputations as innovative thought leaders,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spacing w:after="0" w:line="188"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In addition, our strategic relationship with Oaktree provides us with access to additional resources and relationships that are incremental to our already broad network of venture backed companies and venture capital sponsors.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currently have any employees. R. David Spreng, our President, Chief Executive Officer and Chairman of our Board of Directors, is also the founder, President, Chief Executive Officer and Chief Investment Officer of RGC. Thomas B. Raterman is our Chief Operating Officer, Chief Financial Officer, Treasurer, and Secretary, and serves as the Chief Financial Officer and Chief Operating Officer of RGC. Our Chief Financial Officer performs his functions for us under the terms of our Administration Agreement. We have also retained Joseph McDermott of Alaric Compliance Services LLC to serve as our Chief Compliance Officer pursuant to an agreement with Alaric Compliance Services LLC. Mr. McDermott also serves as the Chief Compliance Officer for RGC.</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currently are, and expect to remain, an “emerging growth company,” as that term is used in the JOBS Act until the earliest of:</w:t>
      </w:r>
    </w:p>
    <w:p>
      <w:pPr>
        <w:spacing w:after="0" w:line="2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last day of our fiscal year following the fifth anniversary of the closing of our IPO, which occurred on October 25,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are equal to or greater than $1,070,000,000;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we have, during the preceding three-year period, issued more than $1.0 billion in non-convertible debt; and</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any June 30.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10-K.</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 stockholder” is a beneficial owner of shares of our common stock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jurisdiction over the administration of the trust and one or more U.S. persons have authority to control all substantial decisions of the trust.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“non-U.S. stockholder” means a beneficial owner of shares of our common stock that is for U.S. federal income tax purposes neither a U.S. stockholder nor partnership.</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elected to be treated as a RIC under Subchapter M of the Code, currently qualify and intend to continue to qualify for treatment as a RIC. As a RIC, we generally will not be subject to U.S. federal income taxes on any ordinary income or capital gains that we timely distribute to our stockholders as dividends.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qualify as a RIC, we must,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 the Annual Distribution Requirement (defined below);</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1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RIC, we (but not our stockholders) are generally not subject to U.S. federal income tax on investment company taxable income and net capital gains that we timely distribute to our stockholders in any taxable year with respect to which we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a nondeductible 4% U.S. federal excise tax on certain of our undistributed income, unless we timely distribute (or are deemed to have timely distributed) an amount equal to the sum of:</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least 98.2% of our capital gain net income for a one-year period generally ending on October 31 of the calendar year (unless an election is made by us to use our taxable year);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net ordinary income and capital gain net income that we recognized for preceding years, but were not distributed during such years, and on which we paid no U.S. federal income tax.</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Requirement or to avoid the 4% U.S. federal excise tax, we may make such dispositions at times that, from an investment standpoint, are not advantageous.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corporate rates or to dispose of certain assets). 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w:t>
      </w:r>
    </w:p>
    <w:p>
      <w:pPr>
        <w:spacing w:after="0" w:line="18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remainder of this discussion assumes that we qualify as a RIC for each taxable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Investments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w:t>
      </w:r>
    </w:p>
    <w:p>
      <w:pPr>
        <w:jc w:val="both"/>
        <w:ind w:firstLine="8"/>
        <w:spacing w:after="0" w:line="269" w:lineRule="auto"/>
        <w:tabs>
          <w:tab w:leader="none" w:pos="2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8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In certain circumstances, we may be required to recognize taxable income prior to the time at which we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cash. For example, if we hold debt instruments that are treated under applicable tax rules as having original issue discount (such as debt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instruments with an end-of-term payment and/or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Gain or loss realized by us from the sale or exchange of warrants acquired by us as well as any loss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lapse of such warrants generally are treated as capital gain or loss. The treatment of such gain or loss as long-term or short-term generally depends on how long we held a particular warrant and on the nature of the disposition transaction.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Investments. </w:t>
      </w:r>
      <w:r>
        <w:rPr>
          <w:rFonts w:ascii="Arial" w:cs="Arial" w:eastAsia="Arial" w:hAnsi="Arial"/>
          <w:sz w:val="18"/>
          <w:szCs w:val="18"/>
          <w:color w:val="auto"/>
        </w:rPr>
        <w:t>In the event we invest in foreign securities, we may be subject to withholding and other foreign taxes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those securities. We do not expect to satisfy the requirement to pass through to our stockholders their share of the foreign taxes paid by us.</w:t>
      </w:r>
    </w:p>
    <w:p>
      <w:pPr>
        <w:spacing w:after="0" w:line="18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Passive Foreign Investment Companies. </w:t>
      </w:r>
      <w:r>
        <w:rPr>
          <w:rFonts w:ascii="Arial" w:cs="Arial" w:eastAsia="Arial" w:hAnsi="Arial"/>
          <w:sz w:val="16"/>
          <w:szCs w:val="16"/>
          <w:color w:val="auto"/>
        </w:rPr>
        <w:t>We may invest in the stock of a foreign corporation which is classified as a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investment company” (within the 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Under the Code, gains or losses attributable to fluctuations in exchange rates which occur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50% of the outstanding voting securities of such company are present or represented by proxy, or (b) more than 50% of the outstanding voting securities of such company. We do not anticipate any substantial change in the nature of our business.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 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and the rules and regulations thereunder. Prior to January 19, 2021, except for registered money market funds, we generally were prohibited from acquiring more than 3% of the voting stock of any registered investment company, investing more than 5% of the value of our total assets in the securities of one investment company, or investing more than 10% of the value of our total assets in the securities of more than one investment company without obtaining exemptive relief from the SEC. However, the SEC adopted new rules, which became effective on January 19, 2021, that allow us to acquire the securities of other investment companies in excess of the 3%, 5%, and 10% limitations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 Risks Related to Our Business and Structure” in Part I, Item 1A of this Form 10 K for more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Related to Our Business and Structure” in Part I,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spacing w:after="0" w:line="165" w:lineRule="exact"/>
        <w:rPr>
          <w:sz w:val="20"/>
          <w:szCs w:val="20"/>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71" w:lineRule="exact"/>
        <w:rPr>
          <w:rFonts w:ascii="Arial" w:cs="Arial" w:eastAsia="Arial" w:hAnsi="Arial"/>
          <w:sz w:val="17"/>
          <w:szCs w:val="17"/>
          <w:color w:val="auto"/>
        </w:rPr>
      </w:pPr>
    </w:p>
    <w:p>
      <w:pPr>
        <w:ind w:left="1000" w:hanging="344"/>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25" w:lineRule="exact"/>
        <w:rPr>
          <w:rFonts w:ascii="Arial" w:cs="Arial" w:eastAsia="Arial" w:hAnsi="Arial"/>
          <w:sz w:val="18"/>
          <w:szCs w:val="18"/>
          <w:color w:val="auto"/>
        </w:rPr>
      </w:pPr>
    </w:p>
    <w:p>
      <w:pPr>
        <w:ind w:left="660" w:hanging="4"/>
        <w:spacing w:after="0" w:line="277" w:lineRule="auto"/>
        <w:tabs>
          <w:tab w:leader="none" w:pos="1021"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225" w:lineRule="exact"/>
        <w:rPr>
          <w:rFonts w:ascii="Arial" w:cs="Arial" w:eastAsia="Arial" w:hAnsi="Arial"/>
          <w:sz w:val="18"/>
          <w:szCs w:val="18"/>
          <w:color w:val="auto"/>
        </w:rPr>
      </w:pPr>
    </w:p>
    <w:p>
      <w:pPr>
        <w:ind w:left="780" w:firstLine="135"/>
        <w:spacing w:after="0" w:line="277" w:lineRule="auto"/>
        <w:tabs>
          <w:tab w:leader="none" w:pos="1334"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170" w:lineRule="exact"/>
        <w:rPr>
          <w:rFonts w:ascii="Arial" w:cs="Arial" w:eastAsia="Arial" w:hAnsi="Arial"/>
          <w:sz w:val="18"/>
          <w:szCs w:val="18"/>
          <w:color w:val="auto"/>
        </w:rPr>
      </w:pPr>
    </w:p>
    <w:p>
      <w:pPr>
        <w:ind w:left="780" w:right="20" w:firstLine="135"/>
        <w:spacing w:after="0" w:line="277" w:lineRule="auto"/>
        <w:tabs>
          <w:tab w:leader="none" w:pos="13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 or</w:t>
      </w:r>
    </w:p>
    <w:p>
      <w:pPr>
        <w:spacing w:after="0" w:line="170" w:lineRule="exact"/>
        <w:rPr>
          <w:rFonts w:ascii="Arial" w:cs="Arial" w:eastAsia="Arial" w:hAnsi="Arial"/>
          <w:sz w:val="18"/>
          <w:szCs w:val="18"/>
          <w:color w:val="auto"/>
        </w:rPr>
      </w:pPr>
    </w:p>
    <w:p>
      <w:pPr>
        <w:ind w:left="780" w:firstLine="135"/>
        <w:spacing w:after="0" w:line="277" w:lineRule="auto"/>
        <w:tabs>
          <w:tab w:leader="none" w:pos="1346" w:val="left"/>
        </w:tabs>
        <w:numPr>
          <w:ilvl w:val="2"/>
          <w:numId w:val="18"/>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$4.0 million and capital and surplus of not less than $2.0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Securities of an eligible portfolio company purchased from any person in a private transaction if there is no ready market for such securities and the Company already owns 60% of the outstanding equity of the eligible portfolio company.</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1940 Act, a BDC is subject to restrictions on the issuance, terms and number of warrants, options or rights to purchase shares of capital stock that it may have outstanding at any time. Under the 1940 Act, we may generally only offer warrants provided that</w:t>
      </w:r>
    </w:p>
    <w:p>
      <w:pPr>
        <w:jc w:val="both"/>
        <w:ind w:firstLine="8"/>
        <w:spacing w:after="0" w:line="290" w:lineRule="auto"/>
        <w:tabs>
          <w:tab w:leader="none" w:pos="2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particular, the amount of capital stock that would result from the conversion or exercise of all outstanding warrants, options, or rights to purchase capital stock cannot exceed 25% of the BDC’s total outstanding shares of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Securities; Coverage Ratio</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 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Joseph McDermott currently serves as our Chief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170"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delegated our proxy voting responsibility to RGC. The Proxy Voting Policies and Procedures of RGC are set forth below. The guidelines will be reviewed periodically by RGC and our non-interested directors, and, accordingly, are subject to change. For purposes of the Proxy Voting Policies and Procedures described below, “we,” “our” and “us” refers to RGC.</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Policies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proxy-voting decisions will be made by the senior officers who are responsible for monitoring each of our clients’ investments. To ensure that our vote is not the product of a conflict of interest, we will require that: (1) anyone involved in the decision-making process disclose to our management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Runway Growth Capital LLC, 205 N. Michigan Ave., Suite 4200, Chicago, IL 60601.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as well as reports on Forms 3, 4 and 5 regarding directors, officers or 10% beneficial owners of us, filed or furnished pursuant to section 13(a), 15(d) or 16(a) of the Exchange Act, are available on our website free of charge (https://runwaygrowth.com/document-center/).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Stockholders and the public may also view any materials we file with the SEC on the SEC’s website (http://www.sec.gov).</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Economy</w:t>
      </w:r>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uncertainty, including uncertainty related to the COVID-19 pandemic, creates and exacerbates risks.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has caused severe disruptions in the U.S. economy and has disrupted financial activity in the areas in which we or our portfolio companies operate.</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recessions or downturns, including as a result of the COVID-19 pandemic, could impair our portfolio companies and harm our operating results.</w:t>
      </w:r>
    </w:p>
    <w:p>
      <w:pPr>
        <w:ind w:left="660" w:right="2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level of inflation and rising interest rate could impact our portfolio company’s operations and cash flows and harm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Structure</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operate in a highly competitive market for investment opportunities and we may not be able to compete effectively.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depends on the ability of RGC to attract and retain qualified personnel in a competitive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management fee may induce RGC to purchase assets with borrowed funds and to use leverage despite any enhanced risk.</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on our part to maintain our status as a BDC or fail to qualify as a RIC would reduce our operating flexibility.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borrow money, which would magnify the potential for gain or loss on amounts invested and may increase the risk of investing in us.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defaults under the Credit Agreement could adversely affect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interest rates may affect our cost of capital, the ability of our portfolio companies to service their debt obligations and our net investment income.</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rates of our loans to our portfolio companies that extend beyond 2021 might be subject to change based on recent regulatory changes.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Investments</w:t>
      </w:r>
    </w:p>
    <w:p>
      <w:pPr>
        <w:spacing w:after="0" w:line="225" w:lineRule="exact"/>
        <w:rPr>
          <w:sz w:val="20"/>
          <w:szCs w:val="20"/>
          <w:color w:val="auto"/>
        </w:rPr>
      </w:pPr>
    </w:p>
    <w:p>
      <w:pPr>
        <w:ind w:left="660" w:right="20" w:hanging="328"/>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investment strategy focused primarily on privately held companies presents certain challenges, including the lack of available information about these companies and a greater vulnerability to economic downturns.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companies may incur debt that ranks equally with, or senior to, our investments in such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risks associated with our investments in covenant-lite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may lack diversification among portfolio companies, which subjects us to a risk of significant loss if one or more of these companies default on their obligations under any of their debt instruments.</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may be concentrated in a limited number of industries, which will subject us to a risk of significant loss if there is a downturn in a particular industry in which a number of our investments are concentrated.</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invest in sectors including technology, life sciences, healthcare information and services and other high-growth industries, which are subject to specific risks related to each.</w:t>
      </w: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portfolio companies are unable to commercialize their technologies, products, business concepts or services, the returns on our investments could be adversely affected.</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unrealized losses we experience on our loan portfolio may be an indication of future realized losses, which could reduce our income available for distribution.</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Prepayments of our debt investments by our portfolio companies could adversely impact our results of operations and reduce our return on equity.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investments in leveraged portfolio companies may be risky, and you could lose all or part of your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realize gains from our equity investments.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Conflicts of Interest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significant potential conflicts of interest which could impact our investment returns.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strategic relationship with Oaktree may create conflicts of interest.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process for certain of our investments may create a conflict of interest.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Common Stock</w:t>
      </w:r>
    </w:p>
    <w:p>
      <w:pPr>
        <w:spacing w:after="0" w:line="225" w:lineRule="exact"/>
        <w:rPr>
          <w:sz w:val="20"/>
          <w:szCs w:val="20"/>
          <w:color w:val="auto"/>
        </w:rPr>
      </w:pPr>
    </w:p>
    <w:p>
      <w:pPr>
        <w:ind w:left="660" w:right="2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cannot assure you that a market for our common stock will develop or, if one develops, that the market will continue, which would adversely affect the liquidity and price of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substantial amounts of our common stock in the public market may have an adverse effect on the market price of our common stock.</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value of our common stock may fluctuate significantly.</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may experience dilution in the net asset value of their shares if they do not participate in our dividend reinvestment plan and if our shares are trading at a discount to net asset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RIC Tax Treatment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 subject to U.S. federal income tax at corporate rates if we are unable to qualify as a RIC.</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the COVID-19 pandemic or other disruptions in the economy, we may not be able to increase our distributions and may reduce or defer our distributions and choose to incur U.S. federal excise tax in order preserve cash and maintain flexibility, and a portion of our distributions may be a return of capital.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fluctuations in our quarterly and annual results.</w:t>
      </w:r>
    </w:p>
    <w:p>
      <w:pPr>
        <w:spacing w:after="0" w:line="23"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risks related to corporate social responsibility.</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Economy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Political, social and economic uncertainty, including uncertainty related to the COVID-19 pandemic, creates and exacerbates risks.</w:t>
      </w:r>
    </w:p>
    <w:p>
      <w:pPr>
        <w:spacing w:after="0" w:line="2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example, in December 2019, COVID-19 emerged in China and proceeded to spread rapidly to other countries, including the United States. See </w:t>
      </w:r>
      <w:r>
        <w:rPr>
          <w:rFonts w:ascii="Arial" w:cs="Arial" w:eastAsia="Arial" w:hAnsi="Arial"/>
          <w:sz w:val="18"/>
          <w:szCs w:val="18"/>
          <w:i w:val="1"/>
          <w:iCs w:val="1"/>
          <w:color w:val="auto"/>
        </w:rPr>
        <w:t>“—The COVID-19 pandemic has caused severe disruptions in the U.S. economy and has disrupted financial activity</w:t>
      </w:r>
      <w:r>
        <w:rPr>
          <w:rFonts w:ascii="Arial" w:cs="Arial" w:eastAsia="Arial" w:hAnsi="Arial"/>
          <w:sz w:val="18"/>
          <w:szCs w:val="18"/>
          <w:color w:val="auto"/>
        </w:rPr>
        <w:t xml:space="preserve"> </w:t>
      </w:r>
      <w:r>
        <w:rPr>
          <w:rFonts w:ascii="Arial" w:cs="Arial" w:eastAsia="Arial" w:hAnsi="Arial"/>
          <w:sz w:val="18"/>
          <w:szCs w:val="18"/>
          <w:i w:val="1"/>
          <w:iCs w:val="1"/>
          <w:color w:val="auto"/>
        </w:rPr>
        <w:t>in the areas in which we or our portfolio companies operate.”</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General uncertainty surrounding the dangers and impact of COVID-19 (including the preventative measures taken in response thereto) and additional uncertainty regarding new variants of COVID-19, most notably the Delta and Omicron variants, has to date created significant disruption in supply chains and economic activity, contributed to labor difficulties and is having a particularly adverse impact on transportation, hospitality, tourism, entertainment and other industries, including industries in which certain of our portfolio companies operate which has in turn created significant business disruption issues for certain of our portfolio companies, and materially and adversely impacted the value and performance of certain of our portfolio companies.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could limit our investment originations, limit our ability to grow and have a material negative impact on our and our prospective portfolio companies’ operating results and the fair values of our debt and equity investments.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caused severe disruptions in the U.S. economy and has disrupted financial activity in the areas in which we or our portfolio companies operate.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filing date of this Annual Report, the COVID-19 pandemic is continuing. This outbreak has led and for an unknown period of time will continue to lead to disruptions in local, regional, national and global markets and economies affected thereby. The COVID-19 pandemic and restrictive measures taken to contain or mitigate its spread have caused, and are continuing to cause, business shutdowns, or the re-introduction of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several countries, as well as certain states, counties and cities in the United States, have relaxed public health restrictions with a view to reopening their economies, many cities world-wide have since experienced a surge in the reported number of cases, hospitalizations and deaths related to the COVID-19 pandemic. This recent increase in cases has led, and any future increase in cases could lead, to the re-introduction of restrictions and business shutdowns in certain states, counties and cities in the United States and globally and could continue to lead to the re-introduction of such restrictions and business shutdowns elsewhere. Even after the COVID-19 pandemic subsides, the U.S. economy and most other major global economies may continue to experience a recession, and our business and operations, as well as the business and operations of our portfolio companies, could be materially adversely affected by a prolonged recession in the U.S. and other major markets.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impact of COVID-19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 the impacts of which could last for some period after the pandemic is controlled and/or abated.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uncertainty surrounding the dangers and impact of COVID-19 (including the preventative measures taken in response thereto and additional uncertainty regarding new variants of COVID-19 that have emerged) has to date created significant disruption in supply chains and economic activity and are having a particularly adverse impact on transportation, hospitality, tourism, entertainment and other industries, including industries in which certain of our portfolio companies operate which has in turn created significant business disruption issues for certain of our portfolio companies, and materially and adversely impacted the value and performance of certain of our portfolio companies.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pandemic is continuing as of the filing date of this Annual Report, and its extended duration may have further adverse impacts on our portfolio companies after December 31, 2021, including for the reasons described herein.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due to the outbreak in the United States, certain RGC personnel are currently working remotely, which may introduce additional operational risk to us. Staff members of certain of our other service providers may also be working remotely during the COVID-19 pandemic. An extended period of remote working could lead to service limitations or failures that could impact us or our performance.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U.S. capital markets have experienced extreme volatility and disruption since the emergence of the COVID-19 pandemic, as evidenced by the volatility in global stock markets as a result of, among other things, uncertainty surrounding the pandemic and the fluctuating price of commodities such as oil. Despite actions of the U.S. federal government and foreign governments, these events have contributed to unpredictable general economic conditions that are materially and adversely impacting the broader financial and credit markets and reducing the availability of debt and equity capital for the market as a whole. These conditions could continue for a prolonged period of time or worsen in the future.</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Given the ongoing and dynamic nature of the circumstances, it is difficult to predict the full impact of the COVID-19 pandemic on our business. The extent of such impact will depend on future developments, which are highly uncertain, including the duration or reoccurrence of any potential business or supply chain disruption, the duration and severity of the COVID-19 pandemic and the actions taken by governments and their citizens to contain the COVID-19 pandemic or treat its impact. As the result of the COVID-19 pandemic and the related adverse local and national economic consequences, we could be subject to any of the following risks, any of which could have a material, adverse effect on our business, financial condition, liquidity, and results of operations:</w:t>
      </w:r>
    </w:p>
    <w:p>
      <w:pPr>
        <w:spacing w:after="0" w:line="178" w:lineRule="exact"/>
        <w:rPr>
          <w:sz w:val="20"/>
          <w:szCs w:val="20"/>
          <w:color w:val="auto"/>
        </w:rPr>
      </w:pPr>
    </w:p>
    <w:p>
      <w:pPr>
        <w:jc w:val="both"/>
        <w:ind w:left="660" w:hanging="328"/>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Current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w:t>
      </w:r>
    </w:p>
    <w:p>
      <w:pPr>
        <w:spacing w:after="0" w:line="157" w:lineRule="exact"/>
        <w:rPr>
          <w:rFonts w:ascii="Arial" w:cs="Arial" w:eastAsia="Arial" w:hAnsi="Arial"/>
          <w:sz w:val="16"/>
          <w:szCs w:val="16"/>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changes or volatility in the capital markets may also have a negative effect on the valuations of our investments. While most of our investments are not publicly traded, applicable accounting standards require us to assume as part of our</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valuation process that our investments are sold in a principal market to market participants (even if we plan on holding an investment through its maturity).</w:t>
      </w:r>
    </w:p>
    <w:p>
      <w:pPr>
        <w:spacing w:after="0" w:line="170"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the capital markets may adversely affect the pace of our investment activity and economic activity generally.</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recessions or downturns, including as a result of the COVID-19 pandemic, as well as inflation and rising interest rates could impair our portfolio companies and harm our operating results.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of the portfolio companies in which we make investments may be susceptible to economic slowdowns or recessions and may be unable to repay the loans we made to them during these periods, including as a result of the COVID-19 pandemic.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financial condition and results of operations, including our revenue growth and profitability.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(the “U.K.”) leaving the European Union (the “EU”), instability in the Chinese capital markets and the COVID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our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Federal Reserve may raise, or may announce its intention to raise, the Federal Funds Rate in 2022. These developments, along with the United States government’s credit and deficit concerns, global economic uncertainties and market volatility and the impacts of COVID-19, could cause interest rates to be volatile, which may negatively impact our ability to access the debt markets and capital markets on favorable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 The fair value of such securities may meaningfully change between the date of the fair value determination by our Board, as assisted by third-party independent valuation firms and the Audit Committee, and the release of the financial results for the corresponding period or the next date at which fair value is determined.</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the COVID-19 pandemic, or any other outbreak of epidemic disease, could have a significant adverse impact on the fair value of our investments, which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effectively manage and deploy capital.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market for investment opportunities and we may not be able to compete effectively.</w:t>
      </w:r>
    </w:p>
    <w:p>
      <w:pPr>
        <w:spacing w:after="0" w:line="23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do not compete primarily on the financing terms we offer and believe that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for any of those relationships to generate investment opportunities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RGC’s key personnel for our future success.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depend on the diligence, skill and investment acumen of R. David Spreng, our President, Chief Executive Officer and the Chairman of our Board of Directors, along with the other investment professionals at RGC, including Thomas Raterman, our Chief Operating Officer, Chief Financial Officer, Treasurer and Secretary. Mr. Spreng also serves as the President, Chief Executive Officer and Chief Investment Officer of RGC, and the Chairman of its Investment Committee.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ability of RGC to attract and retain qualified personnel in a competitive environment.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compensation we pay to RGC and our Administrator was not determined on an arm’s-length basis with an unaffiliated third party. As a result, the form and amount of such compensation may be less favorable to us than they might have been had the respective agreements been entered into through arm’s-length transactions with an unaffiliated third party. In addition, we may choose not to</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fee may induce RGC to purchase assets with borrowed funds and to use leverage despite any enhanced risk.</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capital gains portion of our incentive fee may induce RGC to make speculative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RGC receives the incentive fee based, in part, upon net capital gains realized on our investments. Under the incentive fee structure, RGC may benefit when we recognize capital gains and, because RGC, in certain circumstances, will determine when to sell a holding,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grow because we must distribute most of our income.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may need additional capital to fund growth in our investments. A reduction in the availability of new capital could limit our ability to grow. We must distribute at least 90% of our investment company taxable income to our stockholders to maintain our tax</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treatment as a RIC. As a result, any such cash earnings may not be available to fund investment originations. We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200% of our total borrowings and preferred stock (or 150% if we satisfy certain conditions, see “— 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on our part to maintain our status as a BDC or fail to qualify as a RIC would reduce our operating flexibility.</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 million at the time of such investment. In addition, as a RIC, the treatment for which we intend to qualify annually, we are required to satisfy certain source-of-income,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200% of gross assets less all liabilities and indebtedness not represented by senior securities, after each issuance of senior securities, or 150% if certain requirements are met, as described below.</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permitted to increase our asset coverage ratio to at least 150%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borrow money, which would magnify the potential for gain or loss on amounts invested and may increase the risk of investing in us.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w:t>
      </w:r>
    </w:p>
    <w:p>
      <w:pPr>
        <w:spacing w:after="0" w:line="1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are permitted, however, to increase our asset coverage ratio to at least 150% if we satisfy certain conditions, including stockholder and/or board approval. The Board approved a proposal to increase the maximum amount of leverage we may incur to an asset coverage ratio of 150% effective October 28, 2022 and we intend to seek corresponding approval from our stockholders, which would be effective immediately. We cannot assure you that our stockholders will approve the increase of our leverage. If this ratio declines below 200%,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covenants that restrict our business activities, including limitations that could hinder our ability to finance additional loans and investments or to make the distributions required to qualify as a RIC.</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92"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Assumed Return on Our Portfolio</w:t>
      </w:r>
    </w:p>
    <w:p>
      <w:pPr>
        <w:jc w:val="center"/>
        <w:ind w:left="4140"/>
        <w:spacing w:after="0" w:line="236" w:lineRule="auto"/>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1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-10%</w:t>
            </w:r>
          </w:p>
        </w:tc>
        <w:tc>
          <w:tcPr>
            <w:tcW w:w="11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-5%</w:t>
            </w:r>
          </w:p>
        </w:tc>
        <w:tc>
          <w:tcPr>
            <w:tcW w:w="120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0%</w:t>
            </w:r>
          </w:p>
        </w:tc>
        <w:tc>
          <w:tcPr>
            <w:tcW w:w="11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5%</w:t>
            </w:r>
          </w:p>
        </w:tc>
        <w:tc>
          <w:tcPr>
            <w:tcW w:w="11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10%</w:t>
            </w:r>
          </w:p>
        </w:tc>
      </w:tr>
      <w:tr>
        <w:trPr>
          <w:trHeight w:val="148"/>
        </w:trPr>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Corresponding return to common stockholder</w:t>
            </w:r>
            <w:r>
              <w:rPr>
                <w:rFonts w:ascii="Arial" w:cs="Arial" w:eastAsia="Arial" w:hAnsi="Arial"/>
                <w:sz w:val="10"/>
                <w:szCs w:val="10"/>
                <w:color w:val="auto"/>
              </w:rPr>
              <w:t>(1)</w:t>
            </w:r>
          </w:p>
        </w:tc>
        <w:tc>
          <w:tcPr>
            <w:tcW w:w="11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-11.0%</w:t>
            </w: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-5.8%</w:t>
            </w:r>
          </w:p>
        </w:tc>
        <w:tc>
          <w:tcPr>
            <w:tcW w:w="120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-0.5%</w:t>
            </w: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4.8%</w:t>
            </w:r>
          </w:p>
        </w:tc>
        <w:tc>
          <w:tcPr>
            <w:tcW w:w="11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10.1%</w:t>
            </w:r>
          </w:p>
        </w:tc>
      </w:tr>
    </w:tbl>
    <w:p>
      <w:pPr>
        <w:spacing w:after="0" w:line="197" w:lineRule="exact"/>
        <w:rPr>
          <w:sz w:val="20"/>
          <w:szCs w:val="20"/>
          <w:color w:val="auto"/>
        </w:rPr>
      </w:pPr>
    </w:p>
    <w:p>
      <w:pPr>
        <w:ind w:left="260" w:right="20" w:firstLine="7"/>
        <w:spacing w:after="0" w:line="253" w:lineRule="auto"/>
        <w:tabs>
          <w:tab w:leader="none" w:pos="431" w:val="left"/>
        </w:tabs>
        <w:numPr>
          <w:ilvl w:val="0"/>
          <w:numId w:val="32"/>
        </w:numPr>
        <w:rPr>
          <w:rFonts w:ascii="Arial" w:cs="Arial" w:eastAsia="Arial" w:hAnsi="Arial"/>
          <w:sz w:val="11"/>
          <w:szCs w:val="11"/>
          <w:color w:val="auto"/>
        </w:rPr>
      </w:pPr>
      <w:r>
        <w:rPr>
          <w:rFonts w:ascii="Arial" w:cs="Arial" w:eastAsia="Arial" w:hAnsi="Arial"/>
          <w:sz w:val="14"/>
          <w:szCs w:val="14"/>
          <w:color w:val="auto"/>
        </w:rPr>
        <w:t>Assumes (i) $639.9 million in total assets, (ii) $81.5 million in outstanding indebtedness, (iii) $606.2 million in net assets and (iv) weighted average interest rate, excluding fees (such as fees on undrawn amounts and amortization of financing costs) of 3.51%.</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defaults under the Credit Agreement or other borrowings, including the 2026 Senior Notes, could adversely affect our business.</w:t>
      </w:r>
    </w:p>
    <w:p>
      <w:pPr>
        <w:spacing w:after="0" w:line="26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31, 2019 (as subsequently amended), we entered into the Credit Agreement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 In the event we default under our Credit Agreement, or other borrowings, including the 2026 Senior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want to obtain additional debt financing or need to do so upon maturity of the Credit Agreement, in order to obtain funds which may be made available for investments. The availability period under the Credit Agreement expires on May 31, 2022 and is followed by a two-year amortization period. The stated maturity date under the Credit Agreement is May 31, 2024. If we are unable to increase, renew or replace the Credit Agreement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interest rates may affect our cost of capital, the ability of our portfolio companies to service their debt obligations and our net investment income.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LIBOR, SOFR and the prime rate. 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projections of our portfolio companies could prove inaccurate.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spacing w:after="0" w:line="16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of our investments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65"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Increased credit risk associated with these instruments, and original issue discount and PIK instruments generally, represent a significantly higher credit risk than coupon loans.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8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157"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certain cases, we may recognize taxable income before or without receiving corresponding cash payments and, as a result, we may have difficulty meeting the Annual Distribution Requirement necessary to maintain our tax treatment as a RIC.</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interest rates of our loans to our portfolio companies might be subject to change based on recent regulatory changes.</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LIBOR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of Directors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On July 29, 2021, the ARCC formally recommended SOFR as its preferred alternative replacement rate for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when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when LIBOR ceases to exist, we may need to renegotiate certain terms of the Credit Agreement. If we are unable to do so, amounts drawn under the Credit Agreement may bear interest at a higher rate, which would increase the cost of our borrowings and, in turn, affect our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and will continue to expend significant financial and other resources to comply with the requirements of being a public reporting entity.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reporting entity,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1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systems and resources necessary to comply with public company reporting requirements will increase further once we cease to be an “emerging growth company” under the Jumpstart Our Business Startups Act of 2012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404 of the Sarbanes-Oxley Act. We will remain an emerging growth company for up to five years following our IPO, which we completed on October 21,2021, although if the market value of our common stock that is held by non-affiliates exceeds $700 million as of any June 30 before that time or we issue an aggregate of $1.0 billion in non-convertible debt securities in any three year period, we would cease to be an emerging growth company as of the following December 31. See “Business — Implications of Being an Emerging Growth Company” in Part I, Item 1 of this Form 10 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 or until we become an “accelerated filer” under Rule 12b-2 of the Exchange Act. Accordingly, our internal controls over financial reporting does not currently meet all of the standards contemplated by Section 404 that we will eventually be required to meet. We are required to conduct annual management assessments of the effectiveness of our internal controls over financial reporting.</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u w:val="single" w:color="auto"/>
          <w:color w:val="auto"/>
        </w:rPr>
        <w:t>Senior Secured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a risk that the collateral securing our loans may decrease in value over time, may be difficult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u w:val="single" w:color="auto"/>
          <w:color w:val="auto"/>
        </w:rPr>
        <w:t>Second Lien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In structuring our loans, we may subordinate our security interest in certain assets of a borrower 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u w:val="single" w:color="auto"/>
          <w:color w:val="auto"/>
        </w:rPr>
        <w:t>Equity Investments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When we invest in secured loans, we may acquire equity securities as well, including warrants. In addition, we</w:t>
      </w:r>
      <w:r>
        <w:rPr>
          <w:rFonts w:ascii="Arial" w:cs="Arial" w:eastAsia="Arial" w:hAnsi="Arial"/>
          <w:sz w:val="16"/>
          <w:szCs w:val="16"/>
          <w:i w:val="1"/>
          <w:iCs w:val="1"/>
          <w:color w:val="auto"/>
        </w:rPr>
        <w:t xml:space="preserve"> </w:t>
      </w:r>
      <w:r>
        <w:rPr>
          <w:rFonts w:ascii="Arial" w:cs="Arial" w:eastAsia="Arial" w:hAnsi="Arial"/>
          <w:sz w:val="16"/>
          <w:szCs w:val="16"/>
          <w:color w:val="auto"/>
        </w:rPr>
        <w:t>may also, on a limited basis, invest directly in the equity securities of portfolio companies. The equity interests we receive may not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investing in small, fast-growing, private companies involves a number of significant risks, including the following:</w:t>
      </w:r>
    </w:p>
    <w:p>
      <w:pPr>
        <w:spacing w:after="0" w:line="237" w:lineRule="exact"/>
        <w:rPr>
          <w:sz w:val="20"/>
          <w:szCs w:val="20"/>
          <w:color w:val="auto"/>
        </w:rPr>
      </w:pPr>
    </w:p>
    <w:p>
      <w:pPr>
        <w:jc w:val="both"/>
        <w:ind w:left="98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165"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123" w:lineRule="exact"/>
        <w:rPr>
          <w:rFonts w:ascii="Arial" w:cs="Arial" w:eastAsia="Arial" w:hAnsi="Arial"/>
          <w:sz w:val="16"/>
          <w:szCs w:val="16"/>
          <w:color w:val="auto"/>
        </w:rPr>
      </w:pPr>
    </w:p>
    <w:p>
      <w:pPr>
        <w:jc w:val="both"/>
        <w:ind w:left="980" w:right="2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debt upon maturity.</w:t>
      </w:r>
    </w:p>
    <w:p>
      <w:pPr>
        <w:spacing w:after="0" w:line="170"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use the term “covenant-lite” loans to refer generally to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businesses. Deterioration in a borrower’s financial condition and prospects may be accompanied by deterioration in the value of the loan’s collateral.</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invest primarily in high growth-potential, privately held companies and these companies may not have third-party credit ratings or audited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may adversely affect our and our portfolio companies’ business, results of operations and financial condition.</w:t>
      </w:r>
    </w:p>
    <w:p>
      <w:pPr>
        <w:spacing w:after="0" w:line="237"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Certain of our portfolio companies may be impacted by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have limited operating histories and financial resources.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 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w:t>
      </w:r>
    </w:p>
    <w:p>
      <w:pPr>
        <w:spacing w:after="0" w:line="186" w:lineRule="exact"/>
        <w:rPr>
          <w:sz w:val="20"/>
          <w:szCs w:val="20"/>
          <w:color w:val="auto"/>
        </w:rPr>
      </w:pPr>
    </w:p>
    <w:p>
      <w:pPr>
        <w:jc w:val="both"/>
        <w:ind w:firstLine="259"/>
        <w:spacing w:after="0" w:line="296" w:lineRule="auto"/>
        <w:rPr>
          <w:sz w:val="20"/>
          <w:szCs w:val="20"/>
          <w:color w:val="auto"/>
        </w:rPr>
      </w:pPr>
      <w:r>
        <w:rPr>
          <w:rFonts w:ascii="Arial" w:cs="Arial" w:eastAsia="Arial" w:hAnsi="Arial"/>
          <w:sz w:val="16"/>
          <w:szCs w:val="16"/>
          <w:color w:val="auto"/>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covenant-lite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typically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or at all, and we may suffer losses as a result.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portfolio companies, which subjects us to a risk of significant loss if one or more of these companies default on their repayment obligations under any of their debt instruments.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portfolio is concentrated in a limited number of industries. We invest primarily in companies focused in technology, life sciences, healthcare information and services, business services, select consumer services and products and other high 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our Sponsored Growth Lending and Non-Sponsored Growth Lending strategies and among sponsors within the Sponsored Growth Lending strategy.</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invest in sectors including technology, life sciences, healthcare information and services, business services, select consumer services and products and other high-growth industries, which are subject to specific risks related to each.</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continue to invest the largest portions of our portfolio in technology, life sciences, healthcare information and services, business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life sciences-related companies.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life sciences portfolio consists primarily of companies that commercialize and integrate products in life sciences-related industries, including biotechnology, drug discovery, drug delivery, bioinformatics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life sciences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technology-related industries are subject to extensive government regulation, which exposes us to the risk of significant loss if any of these industry sectors experiences a downturn.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our investments in healthcare technology represented 24.2%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internet retail industry is subject to many risks and is highly competitive.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software industry.</w:t>
      </w:r>
    </w:p>
    <w:p>
      <w:pPr>
        <w:spacing w:after="0" w:line="225"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6"/>
          <w:szCs w:val="16"/>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spacing w:after="0" w:line="184"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spacing w:after="0" w:line="1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some instances, we may control our portfolio companies or provide our portfolio companies with significant managerial assistance. However, although we may do so in the future,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life science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any of our portfolio companies elect to prepay amounts owed to us. Additionally, prepayments of loans made to portfolio companies could negatively impact our return on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leveraged portfolio companies may be risky, and you could lose all or part of your investment.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portfolio companies may expose us to environmental risks.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may invest in portfolio companies that are subject to changing and increasingly stringent environmental and health and safety laws, regulations and permit requirements and environmental costs that could place increasing financial burdens on such portfolio</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relationship with Oaktree may create conflicts of interest.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of December 31, 2021, OCM owned approximately 48% of our outstanding common stock. Pursuant to an irrevocable proxy, the shares of our common stock held by OCM must be voted in the same manner that our other stockholders vote their shares. OCM has a right to nominate a member of our Board of Directors for election for so long as OCM holds shares of our common stock in an amount equal to, in the aggregate, at least one-third (33.33%) of OCM’s initial $125 million capital commitment to us, which percentage shall be determined based on the dollar value of the shares of common stock owned by OCM. OCM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OCM’s share ownership falls below one-third of its initial $125 million capital commitment under any circumstances, OCM will no longer have the right to appoint a director nominee and will use reasonable efforts to cause such nominee to resign immediately (subject to his or her existing fiduciary duties). Brian Laibow serves on our Board of Directors as OCM’s director nominee and is considered an interested director.</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OCM owns a minority interest in RGC and has the right to appoint a member of RGC’s board of managers as well as a member of RGC’s Investment Committee. Mr. Laibow serves on RGC’s board of managers and investment committee on behalf of OCM.</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Laibow is Co-Head of North America &amp; Managing Director Opportunities Funds at Oaktree and we expect that he will continue to engage in investment advisory activities for Oaktree, which could result in a conflict of interest and may distract him from his responsibilities to us and RGC. As a result of the relationship with Oaktree and OCM, we are presumed to be an affiliate of Oaktree and OCM under the 1940 Act. As a result, we are not able to invest in the same portfolio companies in which any funds managed by Oaktree or OCM invest without seeking exemptive relief from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Mr. Spreng currently serves as Managing Partner of Crescendo Ventures IV, LLC, which he co-founded in 1998 as a venture capital firm focused on early-stage investments in the technology, digital media and technology-enabled service markets. In addition, 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course of our investing activities, we pay management and incentive fees to RGC and reimburse our Administrator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1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entered into a license agreement with RGC (the “License Agreement”) pursuant to which RGC has granted us a personal, non-exclusive, royalty-free right and license to use the name “Runway Growth Finance”. Under the License Agreement, we have the right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use the “Runway Growth Finance” name for so long as RGC or one of its affiliates remains our investment adviser. Other than with respect to this limited license, we have no legal right to the “Runway Growth Finance” name.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1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valuation process for certain of our investments may create a conflict of interest.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majority of our investments, no market-based price quotation is available. As a result, our Board of Directors determines the fair value of these securities in good faith as described in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financial statements and projected financial results of each portfolio company.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members of our Board of Directors, could result in a conflict of interest as RGC’s base management fee is based, in part, on the value of our average adjusted gross assets, and RGC’s incentive fee is based, in part, on realized gains and realized and unrealized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our Adviser an incentive fee on certain investments that include a deferred interest feature.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Investments,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assure you that a market for our common stock will develop or, if one develops, that the market will continue, which would adversely affect the liquidity and price of our common stock.</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common stock began trading on the Nasdaq Global Select Market under the symbol “RWAY” on October 21, 2021. We cannot assure you that an active trading market will develop for our common stock or, if one develops, that the trading market can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stockholder’s interest in us will be diluted if we issue additional shares, which could reduce the overall value of an investment in us.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stockholders do not have preemptive rights to purchase any shares we issue in the future. Our charter authorizes us to issue up to 100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w:t>
      </w:r>
    </w:p>
    <w:p>
      <w:pPr>
        <w:spacing w:after="0" w:line="1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including a majority of those stockholders that are not affiliated with us,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Any shares owned by our affiliates prior to our IPO, as defined in the Securities Act, are subject to the public information, manner of sale and volume limitations of Rule 144 under the Securities Act. The remaining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of our directors, executive officers and certain of our stockholders have agreed that they will not transfer their shares in accordance with the transfer restrictions provided for in the lock-up agreement with the underwriters for a period of 180 days after the date of the prospectus related to the offering (the “Prospectus”), which was October 20, 2021, subject to certain exceptions.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each of the directors, executive officers and certain stockholders are subject to additional transfer restrictions following the 180 day lock-up period (as described in more detail below). First, each of our directors and officers and certain stockholders have agreed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subject to certain exceptions.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OCM and certain of its affiliates have also agreed, without the consent of the Company, that they will not transfer their shares in accordance with the transfer restrictions provided for in the lock-up agreement with the underwriters for an additional 270 days beginning immediately after the expiration of the 180 day lock-up period (450 days in total from the date of the Prospectus), provided, however that (i) 4,800,124 or 25% of the shares of our common stock held by OCM and certain of its affiliates prior to our IPO will not be subject to any transfer restrictions on the first day following the expiration of the initial 180 day lock-up period, (ii) an additional 4,800,124 or 25% of the shares of the Company’s common stock held by OCM and certain of its affiliates prior to our IPO will not be subject to any transfer restrictions on the 90th day following the expiration of the initial 180 day lock-up period, (iii) an additional 4,800,124 or 25% of the shares of the Company’s common stock held by OCM and certain of its affiliates prior to our IPO will not be subject to any transfer restrictions on the 180th day following the expiration of the initial 180 day lock-up period, and (iv) the remaining 4,800,124 or 25% of the shares of the Company’s common stock held by OCM and certain of its affiliates prior to our IPO will not be subject to any transfer restrictions on the 270th day following the expiration of the initial 180 day lock-up period.</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other institutional stockholders holding in the aggregate approximately 22.7% of the outstanding shares of our common stock have agreed, without the consent of the Company,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provided, however that (i) 33% of the shares of the Company’s common stock held by certain institutional stockholders prior to our IPO will not be subject to any transfer restrictions on the first day following the expiration of the initial 180 day lock-up period, (ii) an additional 33% of the shares of the Company’s common stock held by certain institutional stockholders prior to our IPO will not be subject to any transfer restrictions on the 90th day following the expiration of the initial 180 day lock-up period, and (iii) the remaining 33% of the shares of the Company’s common stock held by certain institutional stockholders prior to our IPO will not be subject to any transfer restrictions on the 185th day following the expiration of the initial 180 day lock-up period.</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 its sole discretion, may release the securities subject to any of the transfer restrictions described above, in whole or in part at any time during the subsequent restricted periods.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expiration of applicable lock-up periods with the underwriters and subsequent transfer restriction periods with the Company for our directors, officers and certain of our stockholders of the outstanding shares of our common stock, and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involves a high degree of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value of our common stock may fluctuate significantly.</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value and liquidity, if any, of the market for shares of our common stock may be significantly affected by numerous factors, some of which are beyond our control and may not be directly related to our operating performance. These factors include:</w:t>
      </w:r>
    </w:p>
    <w:p>
      <w:pPr>
        <w:spacing w:after="0" w:line="146" w:lineRule="exact"/>
        <w:rPr>
          <w:sz w:val="20"/>
          <w:szCs w:val="20"/>
          <w:color w:val="auto"/>
        </w:rPr>
      </w:pPr>
    </w:p>
    <w:p>
      <w:pPr>
        <w:jc w:val="both"/>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 and derivative instruments as a result of changes in market factors, such as interest rate shifts, and also portfolio specific performance, such as portfolio company defaults, among other reasons;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that exceed our net investment income and net income as reported according to U.S. GAAP;</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departure of our Adviser or certain of its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distributions. Distributions from offering proceeds also could reduce the amount of capital we ultimately invest in debt or equity securities of portfolio companies. We cannot assure you that we will pay distributions to our stockholders in the future. See “Business — Regulation as a Business Development Company” in Part I, Item 1 of this Form 10 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Distributions on our common stock may exceed our taxable earnings and profits. Therefore, portions of the distributions that we pay may represent a return of capital to you.</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Stockholders may experience dilution in the net asset value of their shares if they do not participate in our dividend reinvestment plan and if our shares are trading at a discount to net asset value.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distributions declared in cash payable to stockholders that are participants in our dividend reinvestment plan will generally be automatically reinvested in shares of our common stock, unless the investor opts out of the plan. In addition, stockholders who do not elect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preferred stock or convertible debt securities, the net asset value of our common stock may become more volatile.</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the MGCL and of our charter and bylaws could deter takeover attempts and have an adverse impact on the price of our common stock.</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Maryland General Corporation Law (the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2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share repurchase program could affect the price of our common stock and increase volatility and may be suspended or terminated at any time, which may result in a decrease in the trading price of our common stock.</w:t>
      </w:r>
    </w:p>
    <w:p>
      <w:pPr>
        <w:spacing w:after="0" w:line="170"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7"/>
          <w:szCs w:val="17"/>
          <w:color w:val="auto"/>
        </w:rPr>
        <w:t>On February 24, 2022, our Board of Directors approved a share repurchase program (the “Repurchase Program") under which we may repurchase up to $25 million of our outstanding common stock. The Repurchase Program is discretionary and whether purchases will be made under the Repurchase Program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Repurchases pursuant to the Repurchase Program could affect the price of our common stock and increase its volatility. The existence of the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the Repurchase Program is intended to enhance long-term stockholder value, short-term stock price fluctuations could reduce the Repurchase Program's effectiveness.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RIC Tax Treatment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U.S. federal income tax at corporate rates if we are unable to qualify as a RIC.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fail to qualify as a RIC for any reason and therefore become subject to U.S. federal income tax at corporate rates, the resulting corporate taxes could substantially reduce our net assets, the amount of income available for distribution and the amount of our distributions.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corporate rates. For additional discussion regarding the tax implications of our election to be taxed as a RIC, please see “Business — Certain U.S. Federal Income Tax Considerations — Taxation of the Company” in Part I, Item 1 of this Form 10 K.</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6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 payable to stockholders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U.S. federal income tax. Under these spillover dividend procedures, we may defer distribution of income earned during the current year until December of the following year. For example, we may defer distributions of income earned during 2021 until as late as December 31, 2022. If we choose to pay a spillover dividend, we will incur the nondeductible 4% U.S. federal excise tax on some or all of the distribution.</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ongoing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pay distributions in our own stock, including in connection with our Dividend Reinvestment Plan, in which case you may be required to pay U.S. federal income tax in excess of the cash you receive.</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distribute taxable distributions that are payable in cash or shares of our common stock, including in connection with our Dividend Reinvestment Plan, at the election of each stockholder.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which has been temporarily reduced to 10% for distributions on or after November 1, 2021, and on or before June 30, 2022. Under this revenue procedure, if too many stockholders elect to receive their distributions in cash, the cash available for distribution must be allocated among the stockholders electing to receive cash (with the balance of the distribution paid in shares of our common stock). If we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 (and beginning in 2026, will be deductible only to non-corporate U.S. stockholders to the extent they exceed 2% of such non-corporate U.S. stockholders’ adjusted gross income, and will not be deductible for alternative minimum tax purposes).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intervention in the credit markets could adversely affect our business.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central banks and, in particular, the U.S. Federal Reserve, have taken unprecedented steps since the financial crises of 2008-2009 and again related to the COVID-19 global pandemic. It is impossible to predict if, how, and to what extent the United States and other governments would further intervene in the credit markets. Such intervention is often prompted by politically sensitive issues involving family homes, student loans, real estate speculation, credit card receivables, pandemics, etc., and could, as a result, be contrary to what we would predict from an “economically rational” perspective.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the other hand, recent governmental intervention could mean that the willingness of governmental bodies to take additional extraordinary action is diminished. As a result, in the event of near-term major market disruptions, like those caused by the COVID-19 pandemic, there might be only limited additional government intervention, resulting in correspondingly greater market dislocation and materially greater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uncertainty could adversely affect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U.S. and non-U.S. markets could experience political uncertainty and/or change that subjects investments to heightened risks, including, for instance, the risks related to the elections in the U.S. or the effect on world leaders and governments of the COVID-19 pandemic.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 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Brexit on our investments is uncertain and could adversely affect our business.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January 31, 2020, the United Kingdom, or the UK, ended its membership in the European Union, or the EU, referred to as Brexit. Following the termination of a transition period, the UK and the EU entered into a trade and cooperation agreement to govern the future relationship between the parties, which was provisionally applied as of January 1, 2021 and entered into force on May 1, 2021 following ratification by the EU. With respect to financial services, the agreement leaves decisions on equivalence and adequacy to be determined by each of the U.K. and E.U. unilaterally in due course. As a result, certain UK licensed entities are unable to provide regulated services in a number of EU jurisdictions from the end of December 2020, absent regulatory relief or other measures implemented by individual countries. Such agreement is untested and may lead to ongoing political and economic uncertainty and periods of exacerbated volatility in both the United Kingdom and in wider European and global markets for some time. The longer term economic, legal, political and social implications of Brexit are unclear at this stage. Brexit has led to ongoing political and economic uncertainty and periods of increased volatility in both the UK and in wider European markets for some time. Brexit could lead to calls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similar referendums in other European jurisdictions, which could cause increased economic volatility in the European and global markets. This mid- to long-term uncertainty could have adverse effects on the economy generally and on our ability to earn attractive returns. In particular, currency volatility could mean that our returns are adversely affected by market movements and could make it more difficult, or more expensive, for us to execute prudent currency hedging policies. Potential decline in the value of the British Pound and/or the Euro against other currencies, along with the potential further downgrading of the UK’s sovereign credit rating, could also have an impact on the performance of certain investments made in the UK or Europe.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 using custodians, administrators and other agents.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and external cyber threats, as well as other disasters, could impair our ability to conduct business effectively.</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and our service providers continue to be impacted by government actions in response to the COVID-19 pandemic, which are obstructing the regular functioning of business workforces (including requiring employees to work from external locations and their homes). In addition,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the current conditions.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located at 205 N. Michigan Ave., Suite 4200, Chicago, IL 60601 and are provided by the Administrator in accordance with the terms of the Administration Agreement. We and RGC also have offices located in Woodside, California; Del Mar, California; and New York, New York. We do not own any real estate. We believe that our office facilities are suitable and adequate for our business as it is contemplated to be conducted.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common stock began trading on the Nasdaq Global Select Market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 2022, there were 189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2021, the Company declared and paid dividends in the amount of $44,942,937 of which $17,948,131 was distributed in cash and the remainder distributed in shares to stockholders pursuant to the Company’s dividend reinvestment plan. For the year ended December 31, 2020, the Company declared and paid dividends in the amount of $39,709,233 of which $7,265,785 was distributed in cash and the remainder distributed in shares to stockholders pursuant to the Company’s dividend reinvestment plan. Total distributions for the years ended December 31, 2021 and December 31, 2020 represented distributions from income and not return of capital.</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distributions declared on shares of our common stock during the years ended December 31, 2021 and December 31,2020 and through March 2,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Distributions</w:t>
            </w:r>
          </w:p>
        </w:tc>
      </w:t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Record Date</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Payment Date</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First Quarter (through March 2, 2022)</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March 8, 2022</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March 22, 2022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March 5, 2021</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March 19,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30, 2021</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13, 2021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July 20, 2021</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August 12,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November 8, 2021</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November 22, 2021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6, 2020</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20, 2020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May 8, 2020</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May 21,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6, 2020</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20, 2020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October 1, 2020</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November 12,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elected to be treated, currently qualify, and intend to continue to qualify, as a RIC under Subchapter M of the Code. While we intend to qualify to be treated as a RIC annually, we anticipate that we may have difficulty satisfying the asset diversification requirements as we deploy capital and build our investment portfolio. If we fail to qualify as a RIC for any taxable year, we will be subject to U.S. federal income tax at corporate rates on any net taxable income for such year. See “Business — Certain U.S. Federal</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Considerations” in Part I, Item 1 of this Form 10 K and “Note 2 — Summary of Significant Accounting Policies” to our financial statements in Part II, Item 8 of this Form 10 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 year an amount at least equal to the sum of: (a) 98% of our ordinary income (not taking into account any capital gains or losses) for such calendar year; (b) 98.2% of the amount by which our capital gains exceed our capital losses (adjusted for certain ordinary losses) for a one-year period ending on October 31 of the calendar year; and (c) any net ordinary income and capital gain net income that we recognized in previous years but was not distributed during such years and on which we paid no U.S. federal income tax.</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adjusted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w:t>
      </w:r>
    </w:p>
    <w:p>
      <w:pPr>
        <w:spacing w:after="0" w:line="2" w:lineRule="exact"/>
        <w:rPr>
          <w:sz w:val="20"/>
          <w:szCs w:val="20"/>
          <w:color w:val="auto"/>
        </w:rPr>
      </w:pPr>
    </w:p>
    <w:p>
      <w:pPr>
        <w:ind w:firstLine="8"/>
        <w:spacing w:after="0" w:line="260" w:lineRule="auto"/>
        <w:tabs>
          <w:tab w:leader="none" w:pos="2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most recently computed net asset value per share and (ii) 95% of the current market price per share (or such lesser discount to the current market price per share that still exceeded the most recently computed net asset value per share).</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five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plan is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common stock began trading on the Nasdaq Global Select Market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 On March 2, 2022, the last reported closing sales price of our common stock on the Nasdaq Global Select Market was $13.34 per share, which represented a discount of approximately 8.9% to our NAV per share of $14.65 as of December 31, 2021.</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the shares of our common stock were offered and sold in transactions exempt from registration under the Securities Act. As such, there was no public market for shares of our common stock during the year ended December 31, 2020 and through the period ended October 20, 2021.</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sets forth the most recent fiscal quarter's NAV per share of our common stock, the high and low closing sales prices of our common stock, such sales prices as a percentage of NAV per share and quarterly distribution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Premium/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Price Range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High Sales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Low Sales</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82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vertAlign w:val="subscript"/>
              </w:rPr>
              <w:t>NAV</w:t>
            </w:r>
            <w:r>
              <w:rPr>
                <w:rFonts w:ascii="Arial" w:cs="Arial" w:eastAsia="Arial" w:hAnsi="Arial"/>
                <w:sz w:val="8"/>
                <w:szCs w:val="8"/>
                <w:b w:val="1"/>
                <w:bCs w:val="1"/>
                <w:color w:val="auto"/>
              </w:rPr>
              <w:t>(1)</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2"/>
                <w:szCs w:val="12"/>
                <w:color w:val="auto"/>
              </w:rPr>
            </w:pP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0"/>
                <w:szCs w:val="10"/>
                <w:b w:val="1"/>
                <w:bCs w:val="1"/>
                <w:color w:val="auto"/>
                <w:w w:val="94"/>
              </w:rPr>
              <w:t>(2)</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0"/>
                <w:szCs w:val="10"/>
                <w:b w:val="1"/>
                <w:bCs w:val="1"/>
                <w:color w:val="auto"/>
                <w:w w:val="94"/>
              </w:rPr>
              <w:t>(2)</w:t>
            </w:r>
          </w:p>
        </w:tc>
        <w:tc>
          <w:tcPr>
            <w:tcW w:w="140" w:type="dxa"/>
            <w:vAlign w:val="bottom"/>
          </w:tcPr>
          <w:p>
            <w:pPr>
              <w:spacing w:after="0"/>
              <w:rPr>
                <w:sz w:val="12"/>
                <w:szCs w:val="12"/>
                <w:color w:val="auto"/>
              </w:rPr>
            </w:pPr>
          </w:p>
        </w:tc>
        <w:tc>
          <w:tcPr>
            <w:tcW w:w="9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680" w:type="dxa"/>
            <w:vAlign w:val="bottom"/>
          </w:tcPr>
          <w:p>
            <w:pPr>
              <w:ind w:left="120"/>
              <w:spacing w:after="0"/>
              <w:rPr>
                <w:sz w:val="20"/>
                <w:szCs w:val="20"/>
                <w:color w:val="auto"/>
              </w:rPr>
            </w:pPr>
            <w:r>
              <w:rPr>
                <w:rFonts w:ascii="Arial" w:cs="Arial" w:eastAsia="Arial" w:hAnsi="Arial"/>
                <w:sz w:val="18"/>
                <w:szCs w:val="18"/>
                <w:color w:val="auto"/>
              </w:rPr>
              <w:t>Fourth Quarter</w:t>
            </w:r>
            <w:r>
              <w:rPr>
                <w:rFonts w:ascii="Arial" w:cs="Arial" w:eastAsia="Arial" w:hAnsi="Arial"/>
                <w:sz w:val="26"/>
                <w:szCs w:val="26"/>
                <w:color w:val="auto"/>
                <w:vertAlign w:val="superscript"/>
              </w:rPr>
              <w:t>(4)</w:t>
            </w: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   14.65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7" w:lineRule="exact"/>
        <w:rPr>
          <w:sz w:val="20"/>
          <w:szCs w:val="20"/>
          <w:color w:val="auto"/>
        </w:rPr>
      </w:pPr>
    </w:p>
    <w:p>
      <w:pPr>
        <w:ind w:left="660" w:right="20" w:hanging="328"/>
        <w:spacing w:after="0" w:line="253" w:lineRule="auto"/>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NAV per share is generally determined as of the last day in the relevant quarter and therefore may not reflect the NAV per share on the date of the high and low sales prices. The NAVs shown are based on outstanding shares at the end of each period.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Calculated as the respective high or low closing price less net asset value, divided by net asset value (in each case, as of the applicable quarter.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Represents the dividend or distribution declared in the relevant quarter.</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Shares of our common stock began trading on the Nasdaq Global Select Market on October 21, 2021 under the trading symbol “RWAY.”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stock performance graph compares the cumulative stockholder return on our common stock from October 21, 2021 (the date our common stock commenced trading on the Nasdaq Global Select Market) to December 31, 2021, with that of the Standard &amp; Poor’s 500 Stock Index, the NASDAQ Financial 100 Index, and the Wells Fargo BDC Index. This graph assumes that on October 21, 2021, $100 was invested in our common stock, the Standard &amp; Poor’s BDC Index, the NASDAQ Financial 100 Index, and the Wells Fargo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74" w:lineRule="exact"/>
        <w:rPr>
          <w:sz w:val="20"/>
          <w:szCs w:val="20"/>
          <w:color w:val="auto"/>
        </w:rPr>
      </w:pPr>
    </w:p>
    <w:p>
      <w:pPr>
        <w:jc w:val="center"/>
        <w:ind w:left="1320" w:right="1940"/>
        <w:spacing w:after="0" w:line="266" w:lineRule="auto"/>
        <w:rPr>
          <w:sz w:val="20"/>
          <w:szCs w:val="20"/>
          <w:color w:val="auto"/>
        </w:rPr>
      </w:pPr>
      <w:r>
        <w:rPr>
          <w:rFonts w:ascii="Arial" w:cs="Arial" w:eastAsia="Arial" w:hAnsi="Arial"/>
          <w:sz w:val="18"/>
          <w:szCs w:val="18"/>
          <w:b w:val="1"/>
          <w:bCs w:val="1"/>
          <w:color w:val="auto"/>
        </w:rPr>
        <w:t>COMPARISON OF CUMULATIVE TOTAL RETURN Among Runway Growth Finance Corp., the Standard &amp; Poor’s 500 Index, The NASDAQ Financial 100 Index, and the Wells Fargo BDC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5349240" cy="2074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40" w:hanging="337"/>
        <w:spacing w:after="0"/>
        <w:tabs>
          <w:tab w:leader="none" w:pos="2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Cumulative stockholder return is calculated on the closing stock prices for each respective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previously reported by us on our current reports on Form 8-K or quarterly reports on Form 10-Q, we did not sell any securities during the period covered by this Form 10-K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including as a result of the COVID-19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to the extent that we use leverage as part of our investment strategy;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interest and inflation rates on our business prospects and the prospects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external investment adviser, RGC, to locate suitable investments for us and to monitor and administer our investments, and the impacts of the COVID-19 pandemic thereon;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this Form 10-K and in our other filings with the SEC.</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in Part I, Item 1A of this Form 10-K.</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based the forward-looking statements included in this Form 10-K on information available to us on the date of this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continue to qualify, as a RIC under Subchapter M of the Code. If we fail to qualify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last day of our fiscal year following the fifth anniversary of the closing of our IPO, which occurred on October 25, 2021, or until the earliest of</w:t>
      </w:r>
    </w:p>
    <w:p>
      <w:pPr>
        <w:jc w:val="both"/>
        <w:ind w:firstLine="8"/>
        <w:spacing w:after="0" w:line="270" w:lineRule="auto"/>
        <w:tabs>
          <w:tab w:leader="none" w:pos="2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last day of the first fiscal year in which we have total annual gross revenue of $1,070,000,000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On December 1, 2017, we completed our Initial Private Offering, in which we issued 18,241,157 shares of our common stock to stockholders for a total purchase price of $275,000,000 in reliance on exemptions from the registration requirements of the Securities Act, and other applicable securities laws.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we had completed multiple closings under our Second Private Offering and had accepted aggregate capital commitments of $181,673,500. As of December 31, 2021, in connection with the Second Private Offering we have issued an aggregate of 9,617,379 shares for a total purchase price of $144,260,683. Concurrent with the IPO, all undrawn commitments under the Second Private Offering were cancelled.</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25, 2021, the Company closed its IPO, issuing 6,850,000 shares of our common stock at a public offering price of $14.60 per share. Net of underwriting fees and offering costs, we received net cash proceeds of approximately $93 million. Our common stock began trading on the Nasdaq Global Select Market under the symbol “RWAY” on October 21, 2021.</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we had issued 22,564 shares as an additional direct investment by Runway Growth Holdings LLC, an affiliate of RGC, for a total purchase price of $338,453 in a private offering pursuant to an exemption from registration under Regulation D of the Securities Act and purchased an additional 23,346 shares in the public markets for a total purchase price of $315,251. As of December 31, 2021, we have issued 6,647,847 shares for a total purchase price of $97,752,352 in connection with our dividend reinvestment plan.</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10, 2020, we, RGC, and certain other funds and accounts sponsored or managed by RGC and/or its affiliates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2021, we had investments in 39 portfolio companies, representing 20 companies where we held loan and warrant investments, 12 companies where we held warrant interests only, and we held one U.S. Treasury Bill. The following table shows the fair value of our investments, by asset class, as of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4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4,709,744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11,463,865</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629,009,432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623,053,646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12,872,588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12,872,588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17,337,836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2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18,393,141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682,322,741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684,514,774</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2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45,001,250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727,323,991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729,516,274</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100" w:type="dxa"/>
            <w:vAlign w:val="bottom"/>
            <w:vMerge w:val="restart"/>
          </w:tcPr>
          <w:p>
            <w:pPr>
              <w:jc w:val="right"/>
              <w:ind w:right="45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we had investments in 31 portfolio companies, representing 22 companies where we held loan and warrant investments, eight companies where we held warrant interests only, and we held one U.S. Treasury Bill. The following table shows the fair value of our investments, by asset class,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1,237,196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521,940</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506,555,279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501,964,657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19,737,450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18,804,531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546,587,551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551,824,590</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70,001,472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616,589,023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621,826,650</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40" w:firstLine="324"/>
        <w:spacing w:after="0" w:line="238" w:lineRule="auto"/>
        <w:rPr>
          <w:sz w:val="20"/>
          <w:szCs w:val="20"/>
          <w:color w:val="auto"/>
        </w:rPr>
      </w:pPr>
      <w:r>
        <w:rPr>
          <w:rFonts w:ascii="Arial" w:cs="Arial" w:eastAsia="Arial" w:hAnsi="Arial"/>
          <w:sz w:val="18"/>
          <w:szCs w:val="18"/>
          <w:color w:val="231F20"/>
        </w:rPr>
        <w:t>For the years ended December 31, 2021, December 31, 2020, and December 31, 2019, our debt investment portfolio had a dollar-weighted annualized yield of 13.77%, 14.91%, and 20.47%, respectively. We calculate the yield on dollar-weighted debt investments for any period measured as (1) total related investment income during the period divided by (2) the daily average of the fair value of debt investments outstanding during the period. As of December 31, 2021, our debt investments had a dollar-weighted average outstanding term of 48 months at origination and a dollar-weighted average remaining term of 37 months, or approximately 3.1 years. As of December 31, 2021, substantially all of our debt investments had an original committed principal amount of between $6 million and $75 million, repayment terms of between 34 months and 60 months and pay cash interest at annual interest rates of between 5.50% and 12.00%.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following table shows our dollar-weighted annualized yield by investment type for the years ended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0"/>
                <w:szCs w:val="10"/>
                <w:b w:val="1"/>
                <w:bCs w:val="1"/>
                <w:color w:val="auto"/>
                <w:w w:val="98"/>
              </w:rPr>
              <w:t>(1)</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0"/>
                <w:szCs w:val="10"/>
                <w:b w:val="1"/>
                <w:bCs w:val="1"/>
                <w:color w:val="auto"/>
                <w:w w:val="92"/>
              </w:rPr>
              <w:t>(2)</w:t>
            </w:r>
          </w:p>
        </w:tc>
        <w:tc>
          <w:tcPr>
            <w:tcW w:w="880" w:type="dxa"/>
            <w:vAlign w:val="bottom"/>
            <w:tcBorders>
              <w:bottom w:val="single" w:sz="8" w:color="auto"/>
            </w:tcBorders>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2720" w:type="dxa"/>
            <w:vAlign w:val="bottom"/>
            <w:tcBorders>
              <w:bottom w:val="single" w:sz="8" w:color="auto"/>
            </w:tcBorders>
            <w:gridSpan w:val="5"/>
          </w:tcPr>
          <w:p>
            <w:pPr>
              <w:jc w:val="center"/>
              <w:ind w:left="717"/>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104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36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 type: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Debt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13.77 %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14.60 %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20.24 %</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All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12.74 %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12.76 %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13.57 %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hanging="4"/>
        <w:spacing w:after="0" w:line="237" w:lineRule="auto"/>
        <w:tabs>
          <w:tab w:leader="none" w:pos="87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75"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right="20" w:hanging="4"/>
        <w:spacing w:after="0" w:line="237" w:lineRule="auto"/>
        <w:tabs>
          <w:tab w:leader="none" w:pos="866"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2021, the Company funded $267.7 million in 12 new portfolio companies and $116.7 million in 10 existing portfolio companies. The Company also received $293.3 million in loan repayments from 17 portfolio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621,826,650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427,437,188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276,222,542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242,999,215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210,001,787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276,000,012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315,836,640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7,742,317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9,255,732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13,021,775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(297,825,111)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(107,610,861)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(5,776,437)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(2,948,902)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(23,875,997)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Sales and Maturities of U.S. Treasury Bills</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(234,998,939)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(305,983,755)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4,154,163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(5,347,409)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(3,045,344)</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14,257,592</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10"/>
        </w:trPr>
        <w:tc>
          <w:tcPr>
            <w:tcW w:w="5700" w:type="dxa"/>
            <w:vAlign w:val="bottom"/>
            <w:gridSpan w:val="3"/>
          </w:tcPr>
          <w:p>
            <w:pPr>
              <w:spacing w:after="0"/>
              <w:rPr>
                <w:sz w:val="20"/>
                <w:szCs w:val="20"/>
                <w:color w:val="auto"/>
              </w:rPr>
            </w:pPr>
            <w:r>
              <w:rPr>
                <w:rFonts w:ascii="Arial" w:cs="Arial" w:eastAsia="Arial" w:hAnsi="Arial"/>
                <w:sz w:val="18"/>
                <w:szCs w:val="18"/>
                <w:color w:val="auto"/>
              </w:rPr>
              <w:t>Ending Investment Portfolio</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729,516,274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621,826,650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467,981,699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10"/>
        <w:spacing w:after="0"/>
        <w:tabs>
          <w:tab w:leader="none" w:pos="4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Includes PIK interest.</w:t>
      </w:r>
    </w:p>
    <w:p>
      <w:pPr>
        <w:spacing w:after="0" w:line="95" w:lineRule="exact"/>
        <w:rPr>
          <w:rFonts w:ascii="Arial" w:cs="Arial" w:eastAsia="Arial" w:hAnsi="Arial"/>
          <w:sz w:val="11"/>
          <w:szCs w:val="11"/>
          <w:color w:val="auto"/>
        </w:rPr>
      </w:pPr>
    </w:p>
    <w:p>
      <w:pPr>
        <w:ind w:left="480" w:hanging="310"/>
        <w:spacing w:after="0"/>
        <w:tabs>
          <w:tab w:leader="none" w:pos="4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Excludes $25,999,624 in U.S. Treasury Bills sold short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4"/>
                <w:szCs w:val="14"/>
                <w:color w:val="auto"/>
              </w:rPr>
            </w:pPr>
          </w:p>
        </w:tc>
        <w:tc>
          <w:tcPr>
            <w:tcW w:w="884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Rating Definition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40" w:type="dxa"/>
            <w:vAlign w:val="bottom"/>
          </w:tcPr>
          <w:p>
            <w:pPr>
              <w:spacing w:after="0"/>
              <w:rPr>
                <w:sz w:val="14"/>
                <w:szCs w:val="14"/>
                <w:color w:val="auto"/>
              </w:rPr>
            </w:pPr>
          </w:p>
        </w:tc>
        <w:tc>
          <w:tcPr>
            <w:tcW w:w="8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2"/>
              </w:rPr>
              <w:t>Performing above plan and/or strong enterprise profile, value, financial performance/coverage. Maintaining full covenant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282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ind w:left="1080" w:hanging="697"/>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payment compliance as agreed.</w:t>
      </w:r>
    </w:p>
    <w:p>
      <w:pPr>
        <w:spacing w:after="0" w:line="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Performing at or reasonably close to plan. Acceptable business prospects, enterprise value, financial coverage.</w:t>
      </w:r>
    </w:p>
    <w:p>
      <w:pPr>
        <w:spacing w:after="0" w:line="21" w:lineRule="exact"/>
        <w:rPr>
          <w:sz w:val="20"/>
          <w:szCs w:val="20"/>
          <w:color w:val="auto"/>
        </w:rPr>
      </w:pPr>
    </w:p>
    <w:p>
      <w:pPr>
        <w:ind w:left="1080" w:hanging="697"/>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color w:val="auto"/>
        </w:rPr>
        <w:t>Performing below plan of record. Potential elements of concern over performance, trends and business outlook. Loan-to-</w:t>
      </w:r>
    </w:p>
    <w:p>
      <w:pPr>
        <w:spacing w:after="0" w:line="32" w:lineRule="exact"/>
        <w:rPr>
          <w:sz w:val="20"/>
          <w:szCs w:val="20"/>
          <w:color w:val="auto"/>
        </w:rPr>
      </w:pPr>
    </w:p>
    <w:p>
      <w:pPr>
        <w:ind w:left="1080" w:hanging="697"/>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sz w:val="20"/>
          <w:szCs w:val="20"/>
          <w:color w:val="auto"/>
        </w:rPr>
      </w:pPr>
    </w:p>
    <w:p>
      <w:pPr>
        <w:ind w:left="1080" w:right="20"/>
        <w:spacing w:after="0" w:line="281" w:lineRule="auto"/>
        <w:rPr>
          <w:sz w:val="20"/>
          <w:szCs w:val="20"/>
          <w:color w:val="auto"/>
        </w:rPr>
      </w:pPr>
      <w:r>
        <w:rPr>
          <w:rFonts w:ascii="Arial" w:cs="Arial" w:eastAsia="Arial" w:hAnsi="Arial"/>
          <w:sz w:val="16"/>
          <w:szCs w:val="16"/>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w:t>
      </w:r>
    </w:p>
    <w:p>
      <w:pPr>
        <w:spacing w:after="0" w:line="2" w:lineRule="exact"/>
        <w:rPr>
          <w:sz w:val="20"/>
          <w:szCs w:val="20"/>
          <w:color w:val="auto"/>
        </w:rPr>
      </w:pPr>
    </w:p>
    <w:p>
      <w:pPr>
        <w:ind w:left="1080" w:hanging="697"/>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Going concern nature in question. Substantial decline in enterprise value and all coverages. Covenant and payment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12" w:lineRule="exact"/>
        <w:rPr>
          <w:sz w:val="20"/>
          <w:szCs w:val="20"/>
          <w:color w:val="auto"/>
        </w:rPr>
      </w:pPr>
    </w:p>
    <w:p>
      <w:pPr>
        <w:ind w:left="1080" w:hanging="697"/>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imminent if not currently present. Investments are nearly always in workout. May experience partial and/or full loss.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4880"/>
        <w:spacing w:after="0"/>
        <w:rPr>
          <w:rFonts w:ascii="Arial" w:cs="Arial" w:eastAsia="Arial" w:hAnsi="Arial"/>
          <w:sz w:val="17"/>
          <w:szCs w:val="17"/>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investment ratings of our debt investments at fair value as of December 31,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December 31, 2021</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December 31, 2020</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Companies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91,424,112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479,114,147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3,247,863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14,649,788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635,926,234</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During 2020 and 2021, the global COVID-19 pandemic, has had limited impact on the investment ratings of our debt investments, taken as a whole. However, the ongoing impact of the COVID-19 pandemic, along with increasing levels of inflation impacting the U.S. economy, U.S. Federal Reserve Bank monetary policy actions, and global political events and their impact on the U.S. capital markets and economy is uncertain and we can make no assurances that the pandemic and other current events will not have a negative impact on our investment portfolio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2021, we had six loans to Mojix, Inc. and one loan to Pivot3 Holdings, Inc., representing an aggregate principal funded of $30,278,707 at a fair market value of $28,259,976, on non-accrual status, which represents 4.66% of our net assets. As of December 31, 2020, we had six loans to Mojix, Inc. representing an aggregate principal funded of $11,000,000 at a fair market value of $8,961,080, on non-accrual status, which represents 1.92% of our net assets. As of December 31, 2019, the Company had two loans to Aginity, Inc. representing an aggregate principal funded of $9,000,000 at a fair market value of $4,311,589, on non-accrual status, which represented 1.15% of the Company’s net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46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500" w:type="dxa"/>
            <w:vAlign w:val="bottom"/>
          </w:tcPr>
          <w:p>
            <w:pPr>
              <w:jc w:val="right"/>
              <w:ind w:right="151"/>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Interest and dividend income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70,681,827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56,653,406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54,450,955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676,628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972,897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688,181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71,358,455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57,626,303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55,139,136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Management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8,988,920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6,831,566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5,105,009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Incentive fees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2,553,901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1,186,466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Overhead allocation expense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826,605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677,958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855,889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Administration fees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Debt financing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1,593,085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735,674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Directors’ fees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Tax expense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1,516,947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1,064,322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26,866,767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19,556,586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18,685,305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44,491,688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38,069,717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36,453,831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(loss) on investments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(depreciation) on investments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(3,045,344)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14,257,592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(9,416,462)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increase in net assets resulting from</w:t>
            </w: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gridSpan w:val="2"/>
            <w:vMerge w:val="continue"/>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45,618,710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46,979,900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27,646,400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53"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The basic per share figures noted above are based on weighted averages of 34,183,358, 27,617,425, and 18,701,021 shares outstanding for the years ended December 31, 2021,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$10.0 million to $75.0 million, and the upper end of this range may increase as we raise additional capital.</w:t>
      </w:r>
    </w:p>
    <w:p>
      <w:pPr>
        <w:spacing w:after="0" w:line="1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Included in investment income are non-recurring fees primarily comprised of early prepayment fees and unamortized original issue discounts recorded as interest income. Other non-recurring income consisting of amendment fees, legal fees, reimbursable income, and any other fee income for services rendered, if any, are recorded as other income when earned.</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Investment income for the years ended December 31, 2021, 2020, and 2019 was $71,358,455, $57,626,303, and $55,139,136, respectively, and includes non-recurring income of $9,515,798, $4,489,029, and $12,239,458, respectively, due primarily to interest income earned on our portfolio investments. The increase in interest income for the year ended December 31, 2021 from the year ended December 31, 2020, and for the year ended December 31, 2020 from the year ended December 31, 2019 was driven by our deployment of capital, increased invested balance, prepayments, and end of term payments, partially offset by falling market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 initial public offering in connection with a Spin-Off transaction (as defined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Operating expenses for the years ended December 31, 2021, 2020 and 2019 were $26,866,767, $19,556,586, and $18,685,305, respectively. Operating expenses increased for the year ended December 31, 2021 from the year ended December 31, 2020 primarily due to increased management and incentive fees paid to RGC, interest expense, and debt financing fees. Operating expenses increased for the year ended December 31, 2020 from the year ended December 31, 2019 primarily due to increased management fees paid to RGC, professional fees, debt financing fees, and other expenses. For the years ended December 31, 2019 and December 31, 2018, operating expenses increased primarily due to the increase in incentive fees paid to RGC. The increases in management fees were driven by our deployment of capital and increasing invested balance. The increase in interest expense was a result of an increase in borrowings under our Credit Agreement to fund investments. The increase in overhead allocation expense was driven by allocation of RGC personnel, time, and resources utilized on fund activity. Operating expenses per share for the years ended December 31, 2021, 2020 and 2019 were $0.79 per share, $0.71 per share and $1.00 per share,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Incentive fees for the years ended December 31, 2021, 2020, and 2019 were $9,231,830, $7,260,656, and $8,349,449, respectively. $2,244,383 of the incentive fees for the year ended December 31, 2021 were earned, payable in cash, and included in accrued incentive fees in the statement of assets and liabilities as of December 31, 2021. $1,847,332 of the incentive fees for the year ended December 31, 2021 were deferred and accrued, and included in accrued incentive fees in the statement of assets and liabilities as of December 31, 2021. $1,748,171 of the incentive fees for the year ended December 31, 2020 were earned, payable in cash, and included in accrued incentive fees in the statement of assets and liabilities as of December 31, 2020. $1,853,351 of the incentive fees for the year ended December 31, 2020 were deferred and accrued, and included in accrued incentive fees in the statement of assets and liabilities as of December 31, 2020. $1,586,533 of the incentive fees for the year ended December 31, 2019 were earned, payable in cash, and included in accrued incentive fees in the statement of assets and liabilities as of December 31, 2019. $1,845,873 of the incentive fees for the year ended December 31, 2019 were deferred and accrued, and included in accrued incentive fees in the statement of assets and liabilities as of December 31, 2019. Incentive fees related to paid-in-kind or deferred interest are accrued and payment is deferred until such interest is collected in cash. Incentive fees per share for the years ended December 31, 2021, 2020, and 2019 were $0.27 per share, $0.26 per share, and $0.45 per share,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investment income for the years ended December 31, 2021, 2020 and 2019 was $44,491,688, $38,069,717, and $36,453,831, respectively. Net investment income increased for the year ended December 31, 2021 from the year ended December 31, 2020 primarily due to increased interest income earned on our portfolio investments, partially offset by increased management fees and incentive fees and the other operating expenses discussed above. The decrease in early terminations, and accompanying decrease in prepayment fees and associated income, may have been negatively impacted by the COVID-19 pandemic and the associated disruption in the capital markets and merger and acquisition markets. Net investment income increased for the year ended December 31, 2020 from the year ended December 31, 2019 primarily due to increased interest income earned on our portfolio investments, partially offset by increased management fees and incentive fees and the other operating expenses discussed above. Net investment income per share for the years ended December 31, 2021, 2020 and 2019 were $1.30 per share, $1.38 per share and $1.95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net realized gain on investments of $4,172,366 for the year ended December 31, 2021 was primarily due to the gains on the sale of common stock in Porch Group, Inc. and Ouster, Inc., partially offset due to the realized loss on our preferred stock in CareCloud,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 The net realized loss on investments of $5,347,409 for the year ended December 31, 2020 was primarily due to the loss on our senior secured loan to Aginity, Inc. The net realized gain on investments of $609,031 for the year ended December 31, 2019 was primarily due to the gain on the sale of preferred stock warrant in Drawbridge, Inc. and redemption of warrant for membership interest in Mobius Imagine, LLC, partially offset by a loss our warrants for preferred stock on RedSeal,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Net change in unrealized depreciation on investments of $3,045,344 for the year ended December 31, 2021 was primarily due to decreases in the fair value of senior secured loans to Pivot3 Holdings, Inc. and Aginity Inc., and our warrants for common stock in CareCloud, Inc. This increase was offset by the increase in the fair value of our senior secured loans to Mojix, Inc. and our units of Brilliant Earth LLC. Net change in unrealized appreciation on investments of $14,257,592 for the year ended December 31, 2020 was primarily due to increases in the fair value of our senior secured loans to Aria Systems, Inc. and our warrants for preferred stock or common stock of Ouster, Inc., MTBC, Inc., and Aspen Group Inc. This increase was offset by the decreases in the fair value of senior secured loans to Circadence Corporation and Pivot3, Inc., and our preferred stock in MTBC, Inc. Net change in unrealized depreciation on investments of $9,416,462 for the year ended December 31, 2019 was primarily due to increases in the fair value of our senior secured loans to eSilicon Corporation and Realwear, Inc., our preferred stock in Aria Systems, Inc. and our warrants for preferred stock of Aria Systems, Inc. and eSilicon Corporation. This increase was offset by the decreased in the fair value of senior secured loans to Aginity, Inc., CareCloud Corporation, and Mojix Inc., and our warrants for common or preferred stock of All Clear ID, Inc., Mojix Inc. and zSpace,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had a net increase in net assets resulting from operations of $45,618,710 for the year ended December 31, 2021, as compared to a net increase in net assets resulting from operations of $46,979,900 and $27,646,400 for the years ended December 31, 2020 and December 31, 2019, respectively. The net decrease in net assets resulting from operations for the year ended December 31, 2021 from the year ended December 31, 2020 is attributable to an increase in operating expenses, particularly increases in interest expense and debt financing fees due to an increase in borrowings used, as well as net change in unrealized position on investments recorded at a loss compared to a gain in the prior year. The decrease is partially offset by an increase in interest and dividend income. The net increase in net assets resulting from operations for the year ended December 31, 2020 from the year ended December 31, 2019 is attributable to increases in the fair value of our senior secured loans to Aria Systems, Inc. and our warrants for preferred stock or common stock of Ouster, Inc., MTBC, Inc., and Aspen Group Inc. The net increase in net assets resulting from operations for the year ended December 31, 2019 from the year ended December 31, 2018 is attributable to increased interest income earned on our portfolio investments and the gain on our warrants for preferred stock or units on Drawbridge, Inc. and Mobius Imagine, LLC.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Agreement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December 31, 2020, our asset coverage ratio was 582% and 376%, respectively.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2021, cash and cash equivalents decreased to $4,696,693, from $14,886,246 as of December 31, 2020. This decrease was primarily the result of the purchase of investments in portfolio companies and U.S. Treasury Bills as well as repayments under our Credit Facilities and was partially offset by repayments of investments in portfolio companies, the maturity of U.S. Treasury Bills, the issuance of common stock, proceeds from our 2026 Senior Notes (as defined below) and borrowings under our Credit Facilities.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year ended December 31, 2020, cash and cash equivalents decreased to $14,886,246, from $45,799,672 as of December 31, 2019. This decrease was primarily the result of the purchase of investments in portfolio companies and U.S. Treasury Bills as well</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as repayments under our Credit Facilities and was partially offset by sales of investments in portfolio companies, the maturity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the issuance of common stock, and borrowings under our Credit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pursuant to the dividend reinvestment plan or the IPO,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1"/>
              </w:rPr>
              <w:t>Gross Proceeds</w:t>
            </w:r>
          </w:p>
        </w:tc>
        <w:tc>
          <w:tcPr>
            <w:tcW w:w="0" w:type="dxa"/>
            <w:vAlign w:val="bottom"/>
          </w:tcPr>
          <w:p>
            <w:pPr>
              <w:spacing w:after="0"/>
              <w:rPr>
                <w:sz w:val="1"/>
                <w:szCs w:val="1"/>
                <w:color w:val="auto"/>
              </w:rPr>
            </w:pPr>
          </w:p>
        </w:tc>
      </w:tr>
      <w:tr>
        <w:trPr>
          <w:trHeight w:val="171"/>
        </w:trPr>
        <w:tc>
          <w:tcPr>
            <w:tcW w:w="6380" w:type="dxa"/>
            <w:vAlign w:val="bottom"/>
            <w:gridSpan w:val="3"/>
            <w:vMerge w:val="continue"/>
          </w:tcPr>
          <w:p>
            <w:pPr>
              <w:spacing w:after="0"/>
              <w:rPr>
                <w:sz w:val="14"/>
                <w:szCs w:val="14"/>
                <w:color w:val="auto"/>
              </w:rPr>
            </w:pPr>
          </w:p>
        </w:tc>
        <w:tc>
          <w:tcPr>
            <w:tcW w:w="1080" w:type="dxa"/>
            <w:vAlign w:val="bottom"/>
          </w:tcPr>
          <w:p>
            <w:pPr>
              <w:jc w:val="right"/>
              <w:ind w:right="251"/>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1080" w:type="dxa"/>
            <w:vAlign w:val="bottom"/>
          </w:tcPr>
          <w:p>
            <w:pPr>
              <w:jc w:val="right"/>
              <w:spacing w:after="0"/>
              <w:rPr>
                <w:sz w:val="20"/>
                <w:szCs w:val="20"/>
                <w:color w:val="auto"/>
              </w:rPr>
            </w:pPr>
            <w:r>
              <w:rPr>
                <w:rFonts w:ascii="Arial" w:cs="Arial" w:eastAsia="Arial" w:hAnsi="Arial"/>
                <w:sz w:val="18"/>
                <w:szCs w:val="18"/>
                <w:color w:val="auto"/>
              </w:rPr>
              <w:t>2,666,667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70,563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1080" w:type="dxa"/>
            <w:vAlign w:val="bottom"/>
          </w:tcPr>
          <w:p>
            <w:pPr>
              <w:jc w:val="right"/>
              <w:spacing w:after="0"/>
              <w:rPr>
                <w:sz w:val="20"/>
                <w:szCs w:val="20"/>
                <w:color w:val="auto"/>
              </w:rPr>
            </w:pPr>
            <w:r>
              <w:rPr>
                <w:rFonts w:ascii="Arial" w:cs="Arial" w:eastAsia="Arial" w:hAnsi="Arial"/>
                <w:sz w:val="18"/>
                <w:szCs w:val="18"/>
                <w:color w:val="auto"/>
              </w:rPr>
              <w:t>1,997,337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1080" w:type="dxa"/>
            <w:vAlign w:val="bottom"/>
          </w:tcPr>
          <w:p>
            <w:pPr>
              <w:jc w:val="right"/>
              <w:spacing w:after="0"/>
              <w:rPr>
                <w:sz w:val="20"/>
                <w:szCs w:val="20"/>
                <w:color w:val="auto"/>
              </w:rPr>
            </w:pPr>
            <w:r>
              <w:rPr>
                <w:rFonts w:ascii="Arial" w:cs="Arial" w:eastAsia="Arial" w:hAnsi="Arial"/>
                <w:sz w:val="18"/>
                <w:szCs w:val="18"/>
                <w:color w:val="auto"/>
              </w:rPr>
              <w:t>4,344,964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374,783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464,986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108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575,132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529,020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108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618,815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637,127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September 29, 2021</w:t>
            </w:r>
          </w:p>
        </w:tc>
        <w:tc>
          <w:tcPr>
            <w:tcW w:w="1080" w:type="dxa"/>
            <w:vAlign w:val="bottom"/>
          </w:tcPr>
          <w:p>
            <w:pPr>
              <w:jc w:val="right"/>
              <w:spacing w:after="0"/>
              <w:rPr>
                <w:sz w:val="20"/>
                <w:szCs w:val="20"/>
                <w:color w:val="auto"/>
              </w:rPr>
            </w:pPr>
            <w:r>
              <w:rPr>
                <w:rFonts w:ascii="Arial" w:cs="Arial" w:eastAsia="Arial" w:hAnsi="Arial"/>
                <w:sz w:val="18"/>
                <w:szCs w:val="18"/>
                <w:color w:val="auto"/>
              </w:rPr>
              <w:t>1,265,128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100,010,000</w:t>
            </w:r>
          </w:p>
        </w:tc>
        <w:tc>
          <w:tcPr>
            <w:tcW w:w="0" w:type="dxa"/>
            <w:vAlign w:val="bottom"/>
          </w:tcPr>
          <w:p>
            <w:pPr>
              <w:spacing w:after="0"/>
              <w:rPr>
                <w:sz w:val="1"/>
                <w:szCs w:val="1"/>
                <w:color w:val="auto"/>
              </w:rPr>
            </w:pPr>
          </w:p>
        </w:tc>
      </w:tr>
      <w:tr>
        <w:trPr>
          <w:trHeight w:val="210"/>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41,378,947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617,361,489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Shares were issued as part of the dividend reinvestment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13 portfolio companies. The Company’s management believes that its available cash balances, availability under the Credit Agreement provides sufficient funds to cover its unfunded commitments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w w:val="95"/>
              </w:rPr>
              <w:t>Reverse repurchase agreement</w:t>
            </w:r>
            <w:r>
              <w:rPr>
                <w:rFonts w:ascii="Arial" w:cs="Arial" w:eastAsia="Arial" w:hAnsi="Arial"/>
                <w:sz w:val="24"/>
                <w:szCs w:val="24"/>
                <w:color w:val="auto"/>
                <w:w w:val="95"/>
                <w:vertAlign w:val="superscript"/>
              </w:rPr>
              <w:t>(1)</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44,774,963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44,774,963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61,000,000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2026 Senior Notes</w:t>
            </w:r>
            <w:r>
              <w:rPr>
                <w:rFonts w:ascii="Arial" w:cs="Arial" w:eastAsia="Arial" w:hAnsi="Arial"/>
                <w:sz w:val="25"/>
                <w:szCs w:val="25"/>
                <w:color w:val="auto"/>
                <w:vertAlign w:val="superscript"/>
              </w:rPr>
              <w:t>(2)</w:t>
            </w:r>
          </w:p>
        </w:tc>
        <w:tc>
          <w:tcPr>
            <w:tcW w:w="1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125,774,963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44,774,963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61,000,000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20,000,000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 w:hanging="332"/>
        <w:spacing w:after="0" w:line="253"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Reverse repurchase agreement relates to the purchase of the U.S. Treasury Bill on margin. The reverse repurchase agreement purchased was subsequently repaid in January 2022.</w:t>
      </w:r>
    </w:p>
    <w:p>
      <w:pPr>
        <w:spacing w:after="0" w:line="65"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See “Note 10 — Borrowings” to our financial statements in Part II of this Form 10-K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in a private placement. The 2026 Senior Notes were issued in two closings. The initial issuance of $20 million Notes closed on December 10, 2021 and the second and final issuance of $50 million closed on February 10, 2022. See “—Recent Developments.”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pari passu with all outstanding and future unsecured unsubordinated indebtedness issued by the Company.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placement agent fees, were approximately $380,606 which were capitalized and deferred. As of December 31, 2021, unamortized deferred financing costs related to the 2026 Senior Notes were $376,029. See “Note 10 — Borrowings” to our financial statements in Part II, Item 8 of this Form 10 K for more information on the 2026 Senior Notes.</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w:t>
      </w:r>
    </w:p>
    <w:p>
      <w:pPr>
        <w:spacing w:after="0" w:line="4" w:lineRule="exact"/>
        <w:rPr>
          <w:sz w:val="20"/>
          <w:szCs w:val="20"/>
          <w:color w:val="auto"/>
        </w:rPr>
      </w:pPr>
    </w:p>
    <w:p>
      <w:pPr>
        <w:jc w:val="both"/>
        <w:ind w:firstLine="8"/>
        <w:spacing w:after="0" w:line="292" w:lineRule="auto"/>
        <w:tabs>
          <w:tab w:leader="none" w:pos="2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w:t>
      </w:r>
    </w:p>
    <w:p>
      <w:pPr>
        <w:sectPr>
          <w:pgSz w:w="11900" w:h="16838" w:orient="portrait"/>
          <w:cols w:equalWidth="0" w:num="1">
            <w:col w:w="9920"/>
          </w:cols>
          <w:pgMar w:left="980" w:top="517"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fourth quarter of 2020, we amended the Credit Agreement and others to increase its size to $215 million, increase the accordion feature to $300 million, add additional lenders, implement a 0.50% LIBOR floor and benchmark replacement rate floor on borrowings under the Credit Agreement and modify certain pricing elements and other provisions. We also amended the fee letter (the “Fee Letter”) to revise the interest rate margin to be 3.00% for the remaining term of the Credit Agreement regardless of the Credit Agreement average utilization or the number of unaffiliated obligors on loans in the collateral.</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 See “Note 10 — Borrowings” to our financial statements in Part II, Item 8 of this Form 10 K for more information on the Credit Agreement and Credit Facilities.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of 2021, we further amended the Fee Letter (the “Second Amended and Restated Fee Letter”) to amend the first payment date of the minimum earnings fee, which will be payable annually starting on May 31, 2022. Under the Second Amended and Restated Fee Letter, we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year ended December 31, 2021, the Company drew down $161,000,000 on the Credit Agreement and repaid $199,000,000 of which $61,000,000 remains outstanding. The Company anticipates continued usage of the Credit Agreement as well as other potential debt financing alternatives to fund future portfolio growth. At December 31, 2021, interest was accruing at a rate of 3.50%. During the year ended December 31, 2020, the Company drew down $200,500,000 on the Credit Agreement and repaid $162,500,000, of which $99,000,000 remained outstanding at December 31, 2020. At December 31, 2020 interest was accruing at a rate of 3.22% per annum. See “Note 10 — Borrowings” to our financial statements in Part II, Item 8 of this Form 10-K for more information on the Credit Agreement and Credit Facilities.</w:t>
      </w:r>
    </w:p>
    <w:p>
      <w:pPr>
        <w:spacing w:after="0" w:line="19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Credit Agreement, the Company terminated the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we have funds available, we intend to make quarterly distributions to our stockholders. Our stockholder distributions, if any, will be determined by our Board of Directors and will be declared out of assets legally available for distribution. We anticipate that distributions will be paid from income primarily generated by interest and dividend income earned on investments made by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the number of shares to be issued to a stockholder under the dividend reinvestment plan was determined by dividing the total dollar amount of the distribution payable to such stockholder by the net asset value per share of our common stock, as of the valuation date fixed by the Board of Directors for such dividend.</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our IPO, we entered into our amended and restated dividend reinvestment plan, pursuant to which, 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year ended December 31, 2021, we declared and paid dividends in the amount of $44,942,937, of which $17,948,126 was distributed in cash and the remainder distributed in shares to stockholders pursuant to our dividend reinvestment plan. During the year ended December 31, 2020, we declared and paid dividends in the amount of $39,709,233, of which $7,265,784 was distributed in cash and the remainder distributed in shares to stockholders pursuant to our dividend reinvestment plan. During the year ended December 31, 2019, we declared and paid dividends in the amount of $40,651,334, of which $8,192,547 was distributed in cash and the remainder distributed in shares to stockholders pursuant to our dividend reinvestment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Record Date</w:t>
            </w:r>
          </w:p>
        </w:tc>
        <w:tc>
          <w:tcPr>
            <w:tcW w:w="17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August 15, 2018</w:t>
            </w:r>
          </w:p>
        </w:tc>
        <w:tc>
          <w:tcPr>
            <w:tcW w:w="176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October 31, 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March 22, 2019</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May 7,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May 31,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August 5,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September 30, 2019</w:t>
            </w:r>
          </w:p>
        </w:tc>
        <w:tc>
          <w:tcPr>
            <w:tcW w:w="1760" w:type="dxa"/>
            <w:vAlign w:val="bottom"/>
          </w:tcPr>
          <w:p>
            <w:pPr>
              <w:jc w:val="right"/>
              <w:spacing w:after="0"/>
              <w:rPr>
                <w:sz w:val="20"/>
                <w:szCs w:val="20"/>
                <w:color w:val="auto"/>
              </w:rPr>
            </w:pPr>
            <w:r>
              <w:rPr>
                <w:rFonts w:ascii="Arial" w:cs="Arial" w:eastAsia="Arial" w:hAnsi="Arial"/>
                <w:sz w:val="18"/>
                <w:szCs w:val="18"/>
                <w:color w:val="auto"/>
              </w:rPr>
              <w:t>November 12, 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December 10,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March 6, 2020</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May 8,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August 6, 2020</w:t>
            </w:r>
          </w:p>
        </w:tc>
        <w:tc>
          <w:tcPr>
            <w:tcW w:w="1760" w:type="dxa"/>
            <w:vAlign w:val="bottom"/>
          </w:tcPr>
          <w:p>
            <w:pPr>
              <w:jc w:val="right"/>
              <w:spacing w:after="0"/>
              <w:rPr>
                <w:sz w:val="20"/>
                <w:szCs w:val="20"/>
                <w:color w:val="auto"/>
              </w:rPr>
            </w:pPr>
            <w:r>
              <w:rPr>
                <w:rFonts w:ascii="Arial" w:cs="Arial" w:eastAsia="Arial" w:hAnsi="Arial"/>
                <w:sz w:val="18"/>
                <w:szCs w:val="18"/>
                <w:color w:val="auto"/>
              </w:rPr>
              <w:t>August 20, 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October 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12, 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518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March 5, 2021</w:t>
            </w:r>
          </w:p>
        </w:tc>
        <w:tc>
          <w:tcPr>
            <w:tcW w:w="1760" w:type="dxa"/>
            <w:vAlign w:val="bottom"/>
          </w:tcPr>
          <w:p>
            <w:pPr>
              <w:jc w:val="right"/>
              <w:spacing w:after="0"/>
              <w:rPr>
                <w:sz w:val="20"/>
                <w:szCs w:val="20"/>
                <w:color w:val="auto"/>
              </w:rPr>
            </w:pPr>
            <w:r>
              <w:rPr>
                <w:rFonts w:ascii="Arial" w:cs="Arial" w:eastAsia="Arial" w:hAnsi="Arial"/>
                <w:sz w:val="18"/>
                <w:szCs w:val="18"/>
                <w:color w:val="auto"/>
              </w:rPr>
              <w:t>March 19, 2021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2021</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April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13, 2021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July 19, 2021</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July 20, 2021</w:t>
            </w:r>
          </w:p>
        </w:tc>
        <w:tc>
          <w:tcPr>
            <w:tcW w:w="1760" w:type="dxa"/>
            <w:vAlign w:val="bottom"/>
          </w:tcPr>
          <w:p>
            <w:pPr>
              <w:jc w:val="right"/>
              <w:spacing w:after="0"/>
              <w:rPr>
                <w:sz w:val="20"/>
                <w:szCs w:val="20"/>
                <w:color w:val="auto"/>
              </w:rPr>
            </w:pPr>
            <w:r>
              <w:rPr>
                <w:rFonts w:ascii="Arial" w:cs="Arial" w:eastAsia="Arial" w:hAnsi="Arial"/>
                <w:sz w:val="18"/>
                <w:szCs w:val="18"/>
                <w:color w:val="auto"/>
              </w:rPr>
              <w:t>August 12, 2021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28, 2021</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November 8,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22, 2021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2021,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measure the value of our portfolio investments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but a significantly higher or lower fair value measurement of any of the Company’s portfolio investments may occur regardless of whether there is a significant increase or decrease in these unobservable inputs.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75"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December 31, 2021 and 2020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2,559,932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8,903,933</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623,053,646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623,053,646</w:t>
            </w: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12,872,588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15,704,705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18,264,637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8,903,933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657,346,204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684,514,774</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45,001,500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r>
      <w:tr>
        <w:trPr>
          <w:trHeight w:val="209"/>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63,266,137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8,903,933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657,346,204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729,516,274</w:t>
            </w: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501,964,657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501,964,657</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1,429,600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2,284,993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536,309,597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551,824,590</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70,002,060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83,232,060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2,284,993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536,309,597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621,826,650</w:t>
            </w: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warrants, or contractual success fees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II, Item 8 of this Form 10-K for more information on the Advisory Agreement and the fee structure thereunder.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elected to be treated, currently qualify and intend to qualify annually, as a RIC under Subchapter M of the Code. Generally, a RIC is not subject to U.S. federal income tax on distributed income and gains if it timely distributes at least 90% of its net ordinary income and net short-term capital gains in excess of its net long-term capital losses, if any, to its stockholders. So long as we qualify, and maintain our status, as a RIC, we generally will not be subject to U.S. federal income tax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evaluated events subsequent to December 31, 2021, through March 3,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2022, in conjunction with its sale to Johnson &amp; Johnson, CrossRoads Extremity Systems, LLC prepaid its outstanding principal balance of $7,562,722 on the senior secured loan. In addition, we received cash proceeds of $805,188 in consideration of its warrants, interest, and fees for total proceeds $8,367,910</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10, 2022, we issued the remaining $50 million 2026 Senior Notes pursuant to the Note Purchase Agreement. The initial issuance of $20 million 2026 Senior Notes closed on December 10, 2021. The 2026 Senior Notes bear an interest rate of 4.25% per year and are due on December 10, 2026, unless redeemed, purchased or prepaid prior to such date by us or our affiliates in accordance with their terms. Interest on the 2026 Senior Notes will be due semiannually. For more information, see “Note 10—Borrowings.”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24, 2022, the Board of Directors declared a distribution of $0.27 per share for stockholders of record on March 8, 2022 payable on or before March 22, 2022.</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24, 2022, the Board of Directors approved the Repurchase Program under which we may repurchase up to $25 million of our outstanding common stock.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28, 2022, we funded an investment of $3,000,000 to Intellisite Holdings, Inc. (dba Epic IO Technologies,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 Item 1A.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has and may continue to exaggerate the inherent difficulty in determining the fair market value of our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Recently the U.S. Federal Reserve has indicated a change in monetary policy and that intends to increase interest rates during 2022. Increasing interest rates could have the effect of increasing our total investment income once interest rates increase above contractual interest rates floors to which our portfolio companies are subject. Conversely, we would expect the cost of our floating rate credit facilities to increase as well, offsetting the positive effect on our net interest income.</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With the pending sunset of LIBOR, we expect to base interest rates on the Prime rate or Secured Overnight Financing Rate (“SOFR”). As of December 31, 2021, 94.5%, or $606,581,921 (at cost), of our debt portfolio investments bore interest at variable rates, which are LIBOR-based and subject to certain floors, and none of our debt portfolio investments bore interest at fixed rates.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$9,564,426 and decrease our investment income by a maximum of $0, due to certain floors, on an annual basis.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Borrowings under the Credit Agreement bear interest, at our election at the time of drawdown, at a rate per annum equal to the LIBOR rate (with a LIBOR floor of 0.50%) for the applicable interest period plus 3%.</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On July 29, 2021, the ARCC formally recommended SOFR as its preferred alternative replacement rate for LIBOR. At this time, it is not possible to predict the effect of any such changes, any establishment of alternative reference rates or other reforms to LIBOR that may be enacted in the United States, United Kingdom. 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when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when LIBOR ceases to exist, we may need to renegotiate certain terms of the Credit Agreement. If we are unable to do so, amounts drawn under the</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Agreement may bear interest at a higher rate, which would increase the cost of our borrowings and, in turn, affect our results of operations.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Because we currently borrow, and plan to borrow in the future, funds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Page</w:t>
            </w:r>
          </w:p>
        </w:tc>
      </w:tr>
      <w:tr>
        <w:trPr>
          <w:trHeight w:val="26"/>
        </w:trPr>
        <w:tc>
          <w:tcPr>
            <w:tcW w:w="2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922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91</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Statements of Assets and Liabilities as of December 31, 2021 and 2020</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0"/>
        </w:trPr>
        <w:tc>
          <w:tcPr>
            <w:tcW w:w="21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Statements of Operations for the years ended December 31, 2021, 2020 and 2019</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20"/>
        </w:trPr>
        <w:tc>
          <w:tcPr>
            <w:tcW w:w="21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67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Statements of Changes in Net Assets for the years ended December 31, 2021, 2020 and 2019</w:t>
              </w:r>
            </w:hyperlink>
          </w:p>
        </w:tc>
        <w:tc>
          <w:tcPr>
            <w:tcW w:w="25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385"/>
        </w:trPr>
        <w:tc>
          <w:tcPr>
            <w:tcW w:w="5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Statements of Cash Flows for the years ended December 31, 2021, 2020 and 2019</w:t>
              </w:r>
            </w:hyperlink>
          </w:p>
        </w:tc>
        <w:tc>
          <w:tcPr>
            <w:tcW w:w="330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Schedules of Investments as of December 31, 2021 and 2020</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385"/>
        </w:trPr>
        <w:tc>
          <w:tcPr>
            <w:tcW w:w="4400" w:type="dxa"/>
            <w:vAlign w:val="bottom"/>
            <w:tcBorders>
              <w:top w:val="single" w:sz="8" w:color="0000EE"/>
            </w:tcBorders>
            <w:gridSpan w:val="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Notes to Financial Statements</w:t>
              </w:r>
            </w:hyperlink>
          </w:p>
        </w:tc>
        <w:tc>
          <w:tcPr>
            <w:tcW w:w="482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113</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Runway Growth Finance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audited the accompanying statements of assets and liabilities of Runway Growth Finance Corp. (the Company), including the schedules of investments, as of December 31, 2021 and 2020, the related statements of operations, changes in net assets, and cash flows for each of the three years in the period ended December 31, 2021, and the related notes, which include the senior securities table, to the financial statements (collectively, the financial statements). In our opinion, the financial statements present fairly, in all material respects, the financial position of the Company as of December 31, 2021 and 2020, and the results of its operations, changes in net assets, and cash flows for each of the three years in the period ended December 31, 2021,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right="220" w:firstLine="259"/>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2021 and 2020, by correspondence with the custodians and portfolio companies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Non-control/non-affiliate investments at fair value (cost of $647,448,895 and $532,676,057,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655,384,403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541,978,736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3"/>
              </w:rPr>
              <w:t>Control/affiliate investments at fair value (cost of $34,873,846 and $13,911,494,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29,130,371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9,845,854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$45,001,250 and $70,001,472,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45,001,500</w:t>
            </w: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investments at fair value (cost of $727,323,991 and $616,589,023,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729,516,274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621,826,650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4,696,693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and deferred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949,768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738,347,480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639,891,397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2026 Senior Notes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Deferred debt costs (net of accumulated amortization of $855,295 and $383,873, respectively)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(1,511,540)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debt, less unamortized deferred debt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79,488,460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97,416,770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incentive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6,010,250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249,247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132,152,989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173,647,712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Commitments and contingencies (Note 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Common stock, $0.01 par value; 100,000,000 shares authorized; 41,380,614 and 31,414,051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413,806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606,047,671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466,872,304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Distributable (losses)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606,194,491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466,243,685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900"/>
              <w:spacing w:after="0"/>
              <w:rPr>
                <w:sz w:val="20"/>
                <w:szCs w:val="20"/>
                <w:color w:val="auto"/>
              </w:rPr>
            </w:pPr>
            <w:r>
              <w:rPr>
                <w:rFonts w:ascii="Arial" w:cs="Arial" w:eastAsia="Arial" w:hAnsi="Arial"/>
                <w:sz w:val="18"/>
                <w:szCs w:val="18"/>
                <w:color w:val="auto"/>
              </w:rPr>
              <w:t>See notes to financial statements.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66,177,191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51,591,420</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3,690,049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From control/affiliate: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in-kind interest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investment income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71,358,455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57,626,303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55,139,136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Management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6,831,566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Incentive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9,231,830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7,260,656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Professional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1,281,776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Overhead allocation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Administration fee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579,365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515,891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Debt financing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Directors’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1,064,322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26,866,767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19,556,586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18,685,305</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Net investment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44,491,688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38,069,717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36,453,831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rPr>
              <w:t>Realized gain (loss) on non-control/non-affiliate investments, including U.S.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Treasury Bills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0" w:type="dxa"/>
            <w:vAlign w:val="bottom"/>
          </w:tcPr>
          <w:p>
            <w:pPr>
              <w:ind w:left="100"/>
              <w:spacing w:after="0" w:line="185" w:lineRule="exact"/>
              <w:rPr>
                <w:sz w:val="20"/>
                <w:szCs w:val="20"/>
                <w:color w:val="auto"/>
              </w:rPr>
            </w:pPr>
            <w:r>
              <w:rPr>
                <w:rFonts w:ascii="Arial" w:cs="Arial" w:eastAsia="Arial" w:hAnsi="Arial"/>
                <w:sz w:val="17"/>
                <w:szCs w:val="17"/>
                <w:color w:val="auto"/>
                <w:w w:val="94"/>
              </w:rPr>
              <w:t>Net change in unrealized appreciation (depreciation) on non-control/non-affiliate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(16,231,219)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13,970,465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7"/>
                <w:szCs w:val="17"/>
                <w:color w:val="auto"/>
              </w:rPr>
              <w:t>investments, including U.S. Treasury Bills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 in unrealized appreciation on control/affiliate investments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13,185,875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Net realized and unrealized gain (loss) on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1,127,022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8,910,183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(8,807,431)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45,618,710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46,979,900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27,646,400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resulting from operations per common share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Net investment income per common share</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34,183,358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27,617,425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4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44,491,688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38,069,717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36,453,831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non-control/non-affiliate investments, including U.S.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4"/>
              </w:rPr>
              <w:t>Net change in unrealized appreciation (depreciation) on non-control/non-affiliate</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investments, including U.S. Treasury Bills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(16,231,219)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13,970,465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on control/affiliate investments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13,185,875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45,618,710</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46,979,900</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27,646,400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(44,942,937)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(44,942,937)</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(39,709,233)</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(40,651,334)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119,293,828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50,315,308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26,994,806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32,443,448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32,458,787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(7,013,601)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139,275,033</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82,659,797</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221,948,760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assets at beginning of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139,950,806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89,930,464</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208,943,826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466,243,685</w:t>
            </w:r>
          </w:p>
        </w:tc>
        <w:tc>
          <w:tcPr>
            <w:tcW w:w="1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376,313,221</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167,369,395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$ 606,194,491</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$ 466,243,685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$ 376,313,221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-325120</wp:posOffset>
            </wp:positionV>
            <wp:extent cx="629221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40" w:space="720"/>
            <w:col w:w="366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9,966,563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5,602,837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14,754,619</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11,056,595</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41,380,614</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31,414,051</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25,811,214</w:t>
            </w: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60"/>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Net increase in net assets resulting from operations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45,618,710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46,979,900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27,646,400</w:t>
            </w:r>
          </w:p>
        </w:tc>
        <w:tc>
          <w:tcPr>
            <w:tcW w:w="0" w:type="dxa"/>
            <w:vAlign w:val="bottom"/>
          </w:tcPr>
          <w:p>
            <w:pPr>
              <w:spacing w:after="0"/>
              <w:rPr>
                <w:sz w:val="1"/>
                <w:szCs w:val="1"/>
                <w:color w:val="auto"/>
              </w:rPr>
            </w:pPr>
          </w:p>
        </w:tc>
      </w:tr>
      <w:tr>
        <w:trPr>
          <w:trHeight w:val="19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Adjustments to reconcile net increase in net assets resulting from operations to net cash</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provided by (used in)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(424,445,288)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(272,532,493)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(241,669,802)</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U.S. Treasury Bills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(210,001,787)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(276,000,012)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(315,836,640)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Payment in-kind interest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(2,991,900)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(3,690,049)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(1,329,413)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or repayments of investments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303,601,548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110,559,763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102,938,909</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Sales or maturities of U.S. Treasury Bills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234,998,939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279,984,131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295,955,273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U.S. Treasury Bills sold short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25,999,624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Realized (gain) loss on investments, including U.S. Treasury Bills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(4,172,366)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5,347,409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(609,031)</w:t>
            </w:r>
          </w:p>
        </w:tc>
        <w:tc>
          <w:tcPr>
            <w:tcW w:w="0" w:type="dxa"/>
            <w:vAlign w:val="bottom"/>
          </w:tcPr>
          <w:p>
            <w:pPr>
              <w:spacing w:after="0"/>
              <w:rPr>
                <w:sz w:val="1"/>
                <w:szCs w:val="1"/>
                <w:color w:val="auto"/>
              </w:rPr>
            </w:pPr>
          </w:p>
        </w:tc>
      </w:tr>
      <w:tr>
        <w:trPr>
          <w:trHeight w:val="19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Net change in unrealized appreciation (depreciation) on investments, including U.S.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Bills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9,416,462</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Amortization of fixed income premiums or accretion of discounts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(7,742,317)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(9,255,732)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(13,021,775)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debt costs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236,981</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 receivable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(720,008)</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Other accounts receivable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(457,065)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deferred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Payable for securities purchased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(80,699)</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Accrued incentive fees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1,424,078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2,511,421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affiliate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Interest payable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(218,767)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336,075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464,681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(237,299)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810,976</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(61,251,458)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(106,090,579)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(133,575,637)</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Deferred offering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102,865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financing costs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(1,086,129)</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Borrowings under credit facilities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161,000,000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200,500,000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162,250,000</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under credit facilities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(199,000,000)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(162,500,000)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(160,750,000)</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Proceeds from 2026 Senior Notes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reverse repurchase agreements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149,249,338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248,749,477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289,385,422</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Repayments of reverse repurchase agreements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(174,124,375)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(253,693,279)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(294,351,749)</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to stockholders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(17,948,131)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(7,265,785)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(8,192,547)</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Offering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(7,013,601)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(510,027)</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received from common stock issued</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119,293,828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50,315,308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190,000,000</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51,061,905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75,177,153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176,847,835</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(10,189,553)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(30,913,426)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43,272,198</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14,886,246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45,799,672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2,527,474</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4,696,693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14,886,246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45,799,672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paid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183,510</w:t>
            </w:r>
          </w:p>
        </w:tc>
        <w:tc>
          <w:tcPr>
            <w:tcW w:w="0" w:type="dxa"/>
            <w:vAlign w:val="bottom"/>
          </w:tcPr>
          <w:p>
            <w:pPr>
              <w:spacing w:after="0"/>
              <w:rPr>
                <w:sz w:val="1"/>
                <w:szCs w:val="1"/>
                <w:color w:val="auto"/>
              </w:rPr>
            </w:pPr>
          </w:p>
        </w:tc>
      </w:tr>
      <w:tr>
        <w:trPr>
          <w:trHeight w:val="202"/>
        </w:trPr>
        <w:tc>
          <w:tcPr>
            <w:tcW w:w="608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2,772,668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1,096,192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850,391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portfolio purchases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2,925,095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23,959,450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080" w:type="dxa"/>
            <w:vAlign w:val="bottom"/>
          </w:tcPr>
          <w:p>
            <w:pPr>
              <w:ind w:left="120"/>
              <w:spacing w:after="0"/>
              <w:rPr>
                <w:sz w:val="20"/>
                <w:szCs w:val="20"/>
                <w:color w:val="auto"/>
              </w:rPr>
            </w:pPr>
            <w:r>
              <w:rPr>
                <w:rFonts w:ascii="Arial" w:cs="Arial" w:eastAsia="Arial" w:hAnsi="Arial"/>
                <w:sz w:val="16"/>
                <w:szCs w:val="16"/>
                <w:color w:val="auto"/>
              </w:rPr>
              <w:t>Non-cash dividend reinvestments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26,994,806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32,443,448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32,458,787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74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3"/>
              </w:rPr>
              <w:t>Senior Secured Term Loans</w:t>
            </w:r>
            <w:r>
              <w:rPr>
                <w:rFonts w:ascii="Arial" w:cs="Arial" w:eastAsia="Arial" w:hAnsi="Arial"/>
                <w:sz w:val="10"/>
                <w:szCs w:val="10"/>
                <w:b w:val="1"/>
                <w:bCs w:val="1"/>
                <w:color w:val="auto"/>
                <w:w w:val="93"/>
              </w:rPr>
              <w:t>(7),(8)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6,502,036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7,567,610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8/3/2017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2,522,537</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629,997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1/31/2022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824,143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1,008,093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18,598,265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19,172,352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14,649,788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20" w:type="dxa"/>
            <w:vAlign w:val="bottom"/>
            <w:gridSpan w:val="6"/>
          </w:tcPr>
          <w:p>
            <w:pPr>
              <w:spacing w:after="0" w:line="126" w:lineRule="exact"/>
              <w:rPr>
                <w:sz w:val="20"/>
                <w:szCs w:val="20"/>
                <w:color w:val="auto"/>
              </w:rPr>
            </w:pPr>
            <w:r>
              <w:rPr>
                <w:rFonts w:ascii="Arial" w:cs="Arial" w:eastAsia="Arial" w:hAnsi="Arial"/>
                <w:sz w:val="14"/>
                <w:szCs w:val="14"/>
                <w:b w:val="1"/>
                <w:bCs w:val="1"/>
                <w:color w:val="auto"/>
              </w:rPr>
              <w:t>Total Senior Secured Term</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7"/>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30,827,679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28,259,976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870,395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1 Preferred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6"/>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870,395</w:t>
            </w: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34,873,846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29,130,371</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20" w:type="dxa"/>
            <w:vAlign w:val="bottom"/>
            <w:tcBorders>
              <w:top w:val="single" w:sz="8" w:color="CCEEFF"/>
            </w:tcBorders>
            <w:gridSpan w:val="6"/>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4,472,419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4,472,419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2,348,809</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9.50%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0.80 %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 9.50%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LIBOR+5.00%, 5.50%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3.75% PIK, 2.00%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3/31/2025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20,546,075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LIBOR+7.75%, 8.25%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35,861,035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35,848,514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LIBOR+7.75%, 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29,970,285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30,727,298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PIK, 12.00%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7.50% ETP,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17,574,000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18,111,074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15,884,482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xml:space="preserve">2.00% ETP, due 8/17/2025 </w:t>
            </w:r>
            <w:r>
              <w:rPr>
                <w:rFonts w:ascii="Arial" w:cs="Arial" w:eastAsia="Arial" w:hAnsi="Arial"/>
                <w:sz w:val="10"/>
                <w:szCs w:val="10"/>
                <w:color w:val="auto"/>
              </w:rPr>
              <w:t>(3)(13)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LIBOR+8.15%, 1.50%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8.65% floor, 3.50%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7/1/2025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7,552,967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7,381,304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7,701,001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LIBOR+9.50%, 10.00%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1.75% ETP, due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LIBOR+11.00%, 12.0%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2.39% ETP, due 5/13/2024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13,641,254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LIBOR+9.25%, 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7.50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 9.75%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2.50% ETP, due 11/15/2025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11/15/2021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LIBOR+9.75%, 10.25%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2.00% ETP, due 12/17/2025</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Marley Spoon AG</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1.25%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gridSpan w:val="3"/>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6/30/2021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26,442,863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26,061,370</w:t>
            </w:r>
          </w:p>
        </w:tc>
        <w:tc>
          <w:tcPr>
            <w:tcW w:w="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gridSpan w:val="2"/>
          </w:tcPr>
          <w:p>
            <w:pPr>
              <w:ind w:left="100"/>
              <w:spacing w:after="0"/>
              <w:rPr>
                <w:sz w:val="20"/>
                <w:szCs w:val="20"/>
                <w:color w:val="auto"/>
              </w:rPr>
            </w:pPr>
            <w:r>
              <w:rPr>
                <w:rFonts w:ascii="Arial" w:cs="Arial" w:eastAsia="Arial" w:hAnsi="Arial"/>
                <w:sz w:val="11"/>
                <w:szCs w:val="11"/>
                <w:color w:val="auto"/>
              </w:rPr>
              <w:t>(4)(12)</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1.25%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12/29/2021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8,100,000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 PIK, 10.00%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8/15/2022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3,958,483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4,473,959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4,371,891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0.72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LIBOR+8.48%, 8.98%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3.95% ETP, due 7/1/2026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4.00%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7/15/2023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LIBOR+8.50%, 9.00%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2.75% ETP, due 9/1/2025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37,315,385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Turning Tech Intermediate,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LIBOR+10.50%, 11.00%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3.00% ETP, due 12/15/2024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LIBOR+9.05%, 9.55%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LIBOR+9.05%, 9.55%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VTX Intermediate Holdings,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(dba VertexOne)</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4.50% ETP, due 12/28/2026</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tcBorders>
              <w:top w:val="single" w:sz="8" w:color="CCEEFF"/>
            </w:tcBorders>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598,181,753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594,793,670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Lien Term Loans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LIBOR+5.00%, 5.50 floor, 5.00%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rPr>
              <w:t>PIK, 3.00% ETP, due 12/22/2025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12/22/2021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(3)(4)(11)</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w w:val="98"/>
              </w:rPr>
              <w:t>Total Second Lien Term Loans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462,025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(16)(19)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544,178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14,287,836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15,704,705</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14,537,836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16,166,730</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Class P Units </w:t>
            </w:r>
            <w:r>
              <w:rPr>
                <w:rFonts w:ascii="Arial" w:cs="Arial" w:eastAsia="Arial" w:hAnsi="Arial"/>
                <w:sz w:val="10"/>
                <w:szCs w:val="10"/>
                <w:color w:val="auto"/>
              </w:rPr>
              <w:t>(18)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9/22/2021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526,845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984,036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8,903,933</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(16)(19)</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22,278</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Quantum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30" w:lineRule="exact"/>
              <w:rPr>
                <w:sz w:val="20"/>
                <w:szCs w:val="20"/>
                <w:color w:val="auto"/>
              </w:rPr>
            </w:pPr>
            <w:r>
              <w:rPr>
                <w:rFonts w:ascii="Arial" w:cs="Arial" w:eastAsia="Arial" w:hAnsi="Arial"/>
                <w:sz w:val="11"/>
                <w:szCs w:val="11"/>
                <w:color w:val="auto"/>
              </w:rPr>
              <w:t xml:space="preserve">Common Stock </w:t>
            </w:r>
            <w:r>
              <w:rPr>
                <w:rFonts w:ascii="Arial" w:cs="Arial" w:eastAsia="Arial" w:hAnsi="Arial"/>
                <w:sz w:val="15"/>
                <w:szCs w:val="15"/>
                <w:color w:val="auto"/>
                <w:vertAlign w:val="superscript"/>
              </w:rPr>
              <w:t>(3)(16)(19)</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459,720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2,606,612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2,537,654</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4,709,744</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11,463,865</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811,770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1,009,216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898,370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$6.58/share,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3/30/2031</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282,462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638,313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3,811,702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$3.29/share,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1/8/2022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808,617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202,154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807,139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$171.3182/share,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8/17/2031 </w:t>
            </w:r>
            <w:r>
              <w:rPr>
                <w:rFonts w:ascii="Arial" w:cs="Arial" w:eastAsia="Arial" w:hAnsi="Arial"/>
                <w:sz w:val="10"/>
                <w:szCs w:val="10"/>
                <w:color w:val="auto"/>
              </w:rPr>
              <w:t>(3)(13)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191,601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424,800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1,578,981</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CrossRoads Extremity Systems,</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$3.79/share,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333,621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574,831</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306,799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511,332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$337.50/share,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5/13/2031 </w:t>
            </w:r>
            <w:r>
              <w:rPr>
                <w:rFonts w:ascii="Arial" w:cs="Arial" w:eastAsia="Arial" w:hAnsi="Arial"/>
                <w:sz w:val="10"/>
                <w:szCs w:val="10"/>
                <w:color w:val="auto"/>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194,673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2,232,569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Convertible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$0.04021/share,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11/19/2031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16,786,869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1,721,243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Success fee, expires 12/17/2024</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234,314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359,302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185,467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$1.46432/share,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12/28/2028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8/17/2031 </w:t>
            </w:r>
            <w:r>
              <w:rPr>
                <w:rFonts w:ascii="Arial" w:cs="Arial" w:eastAsia="Arial" w:hAnsi="Arial"/>
                <w:sz w:val="10"/>
                <w:szCs w:val="10"/>
                <w:color w:val="auto"/>
                <w:w w:val="96"/>
              </w:rPr>
              <w:t>(14)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261,443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9,665,667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647,615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$1.30/share,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9/29/31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334,353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STN Video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6/30/2027</w:t>
            </w:r>
          </w:p>
        </w:tc>
        <w:tc>
          <w:tcPr>
            <w:tcW w:w="72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485,311</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17,146,974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20,087,550</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647,448,895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655,384,403</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2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U.S. Treasury</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U.S. Treasury Bill, 0.033%,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1/11/2022 </w:t>
            </w:r>
            <w:r>
              <w:rPr>
                <w:rFonts w:ascii="Arial" w:cs="Arial" w:eastAsia="Arial" w:hAnsi="Arial"/>
                <w:sz w:val="10"/>
                <w:szCs w:val="10"/>
                <w:color w:val="auto"/>
              </w:rPr>
              <w:t>(9)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45,001,250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45,001,500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727,323,991</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729,516,274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120.34</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2021, the 3-Month LIBOR was 0.21% and the U.S. Prime Rate was 3.25%.</w:t>
      </w:r>
    </w:p>
    <w:p>
      <w:pPr>
        <w:spacing w:after="0" w:line="7"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limitations on resale, may be deemed to be "restricted securities" under the Securities Act, and were valued as determined in good faith by the Company's Board of Directors.</w:t>
      </w:r>
    </w:p>
    <w:p>
      <w:pPr>
        <w:spacing w:after="0" w:line="7" w:lineRule="exact"/>
        <w:rPr>
          <w:rFonts w:ascii="Arial" w:cs="Arial" w:eastAsia="Arial" w:hAnsi="Arial"/>
          <w:sz w:val="11"/>
          <w:szCs w:val="11"/>
          <w:color w:val="auto"/>
        </w:rPr>
      </w:pPr>
    </w:p>
    <w:p>
      <w:pPr>
        <w:jc w:val="both"/>
        <w:ind w:left="660" w:right="20" w:hanging="328"/>
        <w:spacing w:after="0" w:line="254" w:lineRule="auto"/>
        <w:tabs>
          <w:tab w:leader="none" w:pos="660" w:val="left"/>
        </w:tabs>
        <w:numPr>
          <w:ilvl w:val="0"/>
          <w:numId w:val="62"/>
        </w:numPr>
        <w:rPr>
          <w:rFonts w:ascii="Arial" w:cs="Arial" w:eastAsia="Arial" w:hAnsi="Arial"/>
          <w:sz w:val="10"/>
          <w:szCs w:val="10"/>
          <w:color w:val="auto"/>
        </w:rPr>
      </w:pPr>
      <w:r>
        <w:rPr>
          <w:rFonts w:ascii="Arial" w:cs="Arial" w:eastAsia="Arial" w:hAnsi="Arial"/>
          <w:sz w:val="13"/>
          <w:szCs w:val="13"/>
          <w:color w:val="auto"/>
        </w:rPr>
        <w:t>Investment is not a qualifying investment as defined under Section 55(a) of the Investment Company Act of 1940, as amended. Non-qualifying assets represent 12.35% of total investments at fair value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 w:lineRule="exact"/>
        <w:rPr>
          <w:rFonts w:ascii="Arial" w:cs="Arial" w:eastAsia="Arial" w:hAnsi="Arial"/>
          <w:sz w:val="10"/>
          <w:szCs w:val="10"/>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Represents a PIK security. PIK interest will be accrued and paid at maturity.</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Disclosures of end-of-term payments ("ETP") are one-time payments stated as a percentage of original principal amount.</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28" w:lineRule="exact"/>
        <w:rPr>
          <w:rFonts w:ascii="Arial" w:cs="Arial" w:eastAsia="Arial" w:hAnsi="Arial"/>
          <w:sz w:val="11"/>
          <w:szCs w:val="11"/>
          <w:color w:val="auto"/>
        </w:rPr>
      </w:pPr>
    </w:p>
    <w:p>
      <w:pPr>
        <w:ind w:left="660" w:right="20" w:hanging="328"/>
        <w:spacing w:after="0" w:line="251"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Pivot3, Inc., Marley Spoon AG, Mojix, Inc., and The Kairn Corporation senior secured term loans.</w:t>
      </w: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Treasury bill with $45,000,000 par value purchased pursuant to a 0.25% reverse repurchase agreement with Goldman Sachs, dated December 30, 2021, due January 6, 2022, with a repurchase price of $44,774,963 and collateralized by a 0.033% U.S. Treasury Bill due January 11, 2022 with a par value of $45,000,000 and fair value of $45,001,560.</w:t>
      </w:r>
    </w:p>
    <w:p>
      <w:pPr>
        <w:spacing w:after="0" w:line="7"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28"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6"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28"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As a result of Brilliant Earth Group Inc.'s (the Public Company) IPO though an Up-C structure, the Company received a share of Class B common stock in Brilliant Earth Group, Inc. for every Class P unit it held in Brilliant Earth, LLC. On a one-to-one basis, both the Class B common stock and Class P units can be surrendered for Class A common stock in the Public Company.</w:t>
      </w:r>
    </w:p>
    <w:p>
      <w:pPr>
        <w:spacing w:after="0" w:line="7" w:lineRule="exact"/>
        <w:rPr>
          <w:rFonts w:ascii="Arial" w:cs="Arial" w:eastAsia="Arial" w:hAnsi="Arial"/>
          <w:sz w:val="11"/>
          <w:szCs w:val="11"/>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Investment is not a "restricted security" under the Securities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2021, along with the transactions during year ended December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jc w:val="center"/>
              <w:ind w:left="157"/>
              <w:spacing w:after="0"/>
              <w:rPr>
                <w:sz w:val="20"/>
                <w:szCs w:val="20"/>
                <w:color w:val="auto"/>
              </w:rPr>
            </w:pPr>
            <w:r>
              <w:rPr>
                <w:rFonts w:ascii="Arial" w:cs="Arial" w:eastAsia="Arial" w:hAnsi="Arial"/>
                <w:sz w:val="13"/>
                <w:szCs w:val="13"/>
                <w:b w:val="1"/>
                <w:bCs w:val="1"/>
                <w:color w:val="auto"/>
                <w:w w:val="86"/>
              </w:rPr>
              <w:t>For the year ended December 31, 2021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10"/>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r>
      <w:tr>
        <w:trPr>
          <w:trHeight w:val="153"/>
        </w:trPr>
        <w:tc>
          <w:tcPr>
            <w:tcW w:w="2080" w:type="dxa"/>
            <w:vAlign w:val="bottom"/>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80" w:type="dxa"/>
            <w:vAlign w:val="bottom"/>
            <w:gridSpan w:val="3"/>
          </w:tcPr>
          <w:p>
            <w:pPr>
              <w:ind w:left="100"/>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85"/>
              </w:rPr>
              <w:t>December 31, 2020</w:t>
            </w:r>
          </w:p>
        </w:tc>
        <w:tc>
          <w:tcPr>
            <w:tcW w:w="100" w:type="dxa"/>
            <w:vAlign w:val="bottom"/>
          </w:tcPr>
          <w:p>
            <w:pPr>
              <w:spacing w:after="0"/>
              <w:rPr>
                <w:sz w:val="13"/>
                <w:szCs w:val="13"/>
                <w:color w:val="auto"/>
              </w:rPr>
            </w:pPr>
          </w:p>
        </w:tc>
        <w:tc>
          <w:tcPr>
            <w:tcW w:w="74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5"/>
              </w:rPr>
              <w:t>Additions</w:t>
            </w:r>
            <w:r>
              <w:rPr>
                <w:rFonts w:ascii="Arial" w:cs="Arial" w:eastAsia="Arial" w:hAnsi="Arial"/>
                <w:sz w:val="17"/>
                <w:szCs w:val="17"/>
                <w:b w:val="1"/>
                <w:bCs w:val="1"/>
                <w:color w:val="auto"/>
                <w:w w:val="95"/>
                <w:vertAlign w:val="superscript"/>
              </w:rPr>
              <w:t>(1)</w:t>
            </w:r>
          </w:p>
        </w:tc>
        <w:tc>
          <w:tcPr>
            <w:tcW w:w="100" w:type="dxa"/>
            <w:vAlign w:val="bottom"/>
          </w:tcPr>
          <w:p>
            <w:pPr>
              <w:spacing w:after="0"/>
              <w:rPr>
                <w:sz w:val="13"/>
                <w:szCs w:val="13"/>
                <w:color w:val="auto"/>
              </w:rPr>
            </w:pPr>
          </w:p>
        </w:tc>
        <w:tc>
          <w:tcPr>
            <w:tcW w:w="70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85"/>
              </w:rPr>
              <w:t>Reductions</w:t>
            </w:r>
            <w:r>
              <w:rPr>
                <w:rFonts w:ascii="Arial" w:cs="Arial" w:eastAsia="Arial" w:hAnsi="Arial"/>
                <w:sz w:val="17"/>
                <w:szCs w:val="17"/>
                <w:b w:val="1"/>
                <w:bCs w:val="1"/>
                <w:color w:val="auto"/>
                <w:w w:val="85"/>
                <w:vertAlign w:val="superscript"/>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(Losses)</w:t>
            </w:r>
          </w:p>
        </w:tc>
        <w:tc>
          <w:tcPr>
            <w:tcW w:w="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(Depreciation)</w:t>
            </w:r>
          </w:p>
        </w:tc>
        <w:tc>
          <w:tcPr>
            <w:tcW w:w="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2021</w:t>
            </w:r>
            <w:r>
              <w:rPr>
                <w:rFonts w:ascii="Arial" w:cs="Arial" w:eastAsia="Arial" w:hAnsi="Arial"/>
                <w:sz w:val="17"/>
                <w:szCs w:val="17"/>
                <w:b w:val="1"/>
                <w:bCs w:val="1"/>
                <w:color w:val="auto"/>
                <w:w w:val="91"/>
                <w:vertAlign w:val="superscript"/>
              </w:rPr>
              <w:t>(3)</w:t>
            </w:r>
          </w:p>
        </w:tc>
      </w:tr>
      <w:tr>
        <w:trPr>
          <w:trHeight w:val="128"/>
        </w:trPr>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0"/>
              </w:rPr>
              <w:t>Tranche I: LIBOR+12.00% PIK, 12.00%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floor, 5% ETP, due 1/15/2022 (4)</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4,913,150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2,654,460</w:t>
            </w:r>
          </w:p>
        </w:tc>
        <w:tc>
          <w:tcPr>
            <w:tcW w:w="10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7,567,610</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2,522,537</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III: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220,981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629,997</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IV: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220,673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629,118</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V: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813,382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439,451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1,252,833</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VI: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1/31/2022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438,723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1,008,093</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VII: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4"/>
              </w:rPr>
              <w:t>12.00% floor, 5% ETP, due 4/30/2021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Pivot3 Holdings, Inc.</w:t>
            </w: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Tranche I: LIBOR+8.50% PIK, 11.00%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95"/>
              </w:rPr>
              <w:t>floor, 4.00% ETP, due 11/15/2022 (4)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12,015,832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(3,994,885)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6,628,841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14,649,788</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1"/>
              </w:rPr>
              <w:t>Tranche II: LIBOR+8.50% PIK, 11.00%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floor, due 11/15/2022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569,181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0"/>
              </w:rPr>
              <w:t>(1,080,984)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511,803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III: LIBOR+8.50%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11.00% floor, 4.00% ETP, due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11/15/2022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1,330,538</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(2,531,040)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1,200,502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w w:val="99"/>
              </w:rPr>
              <w:t>Total Senior Secured Term Loans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13,200,254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28,259,976</w:t>
            </w:r>
          </w:p>
        </w:tc>
      </w:tr>
      <w:tr>
        <w:trPr>
          <w:trHeight w:val="128"/>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Preferred Stocks</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Series A-1 Preferred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884,774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left="31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(14,379)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870,395</w:t>
            </w:r>
          </w:p>
        </w:tc>
      </w:tr>
      <w:tr>
        <w:trPr>
          <w:trHeight w:val="135"/>
        </w:trPr>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Pivot3 Holdings, Inc.</w:t>
            </w: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Series 1 Preferred Stock</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Preferred Stocks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884,774</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(14,379)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870,395</w:t>
            </w:r>
          </w:p>
        </w:tc>
      </w:tr>
      <w:tr>
        <w:trPr>
          <w:trHeight w:val="128"/>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Warrants</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1"/>
              </w:rPr>
              <w:t>price $1.286/share,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88"/>
              </w:rPr>
              <w:t>price $2.1286/share, expires 12/13/2030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price $5.57338/share, expires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29"/>
        </w:trPr>
        <w:tc>
          <w:tcPr>
            <w:tcW w:w="2080" w:type="dxa"/>
            <w:vAlign w:val="bottom"/>
          </w:tcPr>
          <w:p>
            <w:pPr>
              <w:spacing w:after="0" w:line="129" w:lineRule="exact"/>
              <w:rPr>
                <w:sz w:val="20"/>
                <w:szCs w:val="20"/>
                <w:color w:val="auto"/>
              </w:rPr>
            </w:pPr>
            <w:r>
              <w:rPr>
                <w:rFonts w:ascii="Arial" w:cs="Arial" w:eastAsia="Arial" w:hAnsi="Arial"/>
                <w:sz w:val="13"/>
                <w:szCs w:val="13"/>
                <w:b w:val="1"/>
                <w:bCs w:val="1"/>
                <w:color w:val="auto"/>
                <w:w w:val="98"/>
              </w:rPr>
              <w:t>Total Control/affiliate investments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13,185,875</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29,130,371</w:t>
            </w: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74" w:lineRule="exact"/>
        <w:rPr>
          <w:rFonts w:ascii="Arial" w:cs="Arial" w:eastAsia="Arial" w:hAnsi="Arial"/>
          <w:sz w:val="11"/>
          <w:szCs w:val="11"/>
          <w:color w:val="auto"/>
        </w:rPr>
      </w:pPr>
    </w:p>
    <w:p>
      <w:pPr>
        <w:jc w:val="both"/>
        <w:ind w:left="660" w:right="20" w:hanging="328"/>
        <w:spacing w:after="0" w:line="238"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All investments in the portfolio companies, which as of December 31, 2021 represented 4.81%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4"/>
        </w:numPr>
        <w:rPr>
          <w:rFonts w:ascii="Arial" w:cs="Arial" w:eastAsia="Arial" w:hAnsi="Arial"/>
          <w:sz w:val="10"/>
          <w:szCs w:val="10"/>
          <w:color w:val="auto"/>
        </w:rPr>
      </w:pPr>
      <w:r>
        <w:rPr>
          <w:rFonts w:ascii="Arial" w:cs="Arial" w:eastAsia="Arial" w:hAnsi="Arial"/>
          <w:sz w:val="13"/>
          <w:szCs w:val="13"/>
          <w:color w:val="auto"/>
        </w:rPr>
        <w:t>For the year ended December 31, 2021, the Company earned no investment income from control investments, except for $117,340 from Pivot3 Holdings,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226,578,920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170,983,403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75,155,555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66,823,245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41,659,696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35,687,298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34,080,598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20,098,640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182,660,314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146,756,439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109,560,343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76,238,876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72,869,269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38,925,165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20,100,640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Electronic Equipment &amp;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18,755,837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2,537,654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2,477,351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185,467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112.92 %</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200" w:val="left"/>
        </w:tabs>
        <w:rPr>
          <w:sz w:val="20"/>
          <w:szCs w:val="20"/>
          <w:color w:val="auto"/>
        </w:rPr>
      </w:pPr>
      <w:r>
        <w:rPr>
          <w:rFonts w:ascii="Arial" w:cs="Arial" w:eastAsia="Arial" w:hAnsi="Arial"/>
          <w:sz w:val="14"/>
          <w:szCs w:val="14"/>
          <w:b w:val="1"/>
          <w:bCs w:val="1"/>
          <w:color w:val="auto"/>
        </w:rPr>
        <w:t>Portfolio Companies</w:t>
      </w:r>
      <w:r>
        <w:rPr>
          <w:sz w:val="20"/>
          <w:szCs w:val="20"/>
          <w:color w:val="auto"/>
        </w:rPr>
        <w:tab/>
      </w:r>
      <w:r>
        <w:rPr>
          <w:rFonts w:ascii="Arial" w:cs="Arial" w:eastAsia="Arial" w:hAnsi="Arial"/>
          <w:sz w:val="13"/>
          <w:szCs w:val="13"/>
          <w:b w:val="1"/>
          <w:bCs w:val="1"/>
          <w:color w:val="auto"/>
        </w:rPr>
        <w:t>Sub-Industry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Control/affiliate investments</w:t>
      </w:r>
      <w:r>
        <w:rPr>
          <w:rFonts w:ascii="Arial" w:cs="Arial" w:eastAsia="Arial" w:hAnsi="Arial"/>
          <w:sz w:val="10"/>
          <w:szCs w:val="10"/>
          <w:b w:val="1"/>
          <w:bCs w:val="1"/>
          <w:u w:val="single" w:color="auto"/>
          <w:color w:val="auto"/>
        </w:rPr>
        <w:t>(14)</w:t>
      </w:r>
    </w:p>
    <w:p>
      <w:pPr>
        <w:spacing w:after="0" w:line="221" w:lineRule="auto"/>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380"/>
        <w:spacing w:after="0" w:line="258" w:lineRule="auto"/>
        <w:rPr>
          <w:sz w:val="20"/>
          <w:szCs w:val="20"/>
          <w:color w:val="auto"/>
        </w:rPr>
      </w:pPr>
      <w:r>
        <w:rPr>
          <w:rFonts w:ascii="Arial" w:cs="Arial" w:eastAsia="Arial" w:hAnsi="Arial"/>
          <w:sz w:val="14"/>
          <w:szCs w:val="14"/>
          <w:b w:val="1"/>
          <w:bCs w:val="1"/>
          <w:color w:val="auto"/>
        </w:rPr>
        <w:t>Total Senior Secured Term Loans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Stocks</w:t>
      </w:r>
    </w:p>
    <w:p>
      <w:pPr>
        <w:spacing w:after="0" w:line="4" w:lineRule="exact"/>
        <w:rPr>
          <w:sz w:val="20"/>
          <w:szCs w:val="20"/>
          <w:color w:val="auto"/>
        </w:rPr>
      </w:pP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p>
      <w:pPr>
        <w:spacing w:after="0" w:line="4" w:lineRule="exact"/>
        <w:rPr>
          <w:sz w:val="20"/>
          <w:szCs w:val="20"/>
          <w:color w:val="auto"/>
        </w:rPr>
      </w:pP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Total Warrants</w:t>
            </w:r>
          </w:p>
        </w:tc>
        <w:tc>
          <w:tcPr>
            <w:tcW w:w="780" w:type="dxa"/>
            <w:vAlign w:val="bottom"/>
          </w:tcPr>
          <w:p>
            <w:pPr>
              <w:spacing w:after="0"/>
              <w:rPr>
                <w:sz w:val="14"/>
                <w:szCs w:val="14"/>
                <w:color w:val="auto"/>
              </w:rPr>
            </w:pPr>
          </w:p>
        </w:tc>
      </w:tr>
      <w:tr>
        <w:trPr>
          <w:trHeight w:val="158"/>
        </w:trPr>
        <w:tc>
          <w:tcPr>
            <w:tcW w:w="2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Total Control/affiliate</w:t>
            </w:r>
          </w:p>
        </w:tc>
        <w:tc>
          <w:tcPr>
            <w:tcW w:w="780" w:type="dxa"/>
            <w:vAlign w:val="bottom"/>
          </w:tcPr>
          <w:p>
            <w:pPr>
              <w:spacing w:after="0"/>
              <w:rPr>
                <w:sz w:val="13"/>
                <w:szCs w:val="13"/>
                <w:color w:val="auto"/>
              </w:rPr>
            </w:pPr>
          </w:p>
        </w:tc>
      </w:tr>
      <w:tr>
        <w:trPr>
          <w:trHeight w:val="129"/>
        </w:trPr>
        <w:tc>
          <w:tcPr>
            <w:tcW w:w="7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0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780" w:type="dxa"/>
            <w:vAlign w:val="bottom"/>
          </w:tcPr>
          <w:p>
            <w:pPr>
              <w:spacing w:after="0"/>
              <w:rPr>
                <w:sz w:val="11"/>
                <w:szCs w:val="11"/>
                <w:color w:val="auto"/>
              </w:rPr>
            </w:pPr>
          </w:p>
        </w:tc>
      </w:tr>
      <w:tr>
        <w:trPr>
          <w:trHeight w:val="128"/>
        </w:trPr>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3"/>
        </w:trPr>
        <w:tc>
          <w:tcPr>
            <w:tcW w:w="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Corporate</w:t>
            </w:r>
          </w:p>
        </w:tc>
        <w:tc>
          <w:tcPr>
            <w:tcW w:w="1300" w:type="dxa"/>
            <w:vAlign w:val="bottom"/>
            <w:gridSpan w:val="3"/>
          </w:tcPr>
          <w:p>
            <w:pPr>
              <w:spacing w:after="0" w:line="123" w:lineRule="exact"/>
              <w:rPr>
                <w:sz w:val="20"/>
                <w:szCs w:val="20"/>
                <w:color w:val="auto"/>
              </w:rPr>
            </w:pPr>
            <w:r>
              <w:rPr>
                <w:rFonts w:ascii="Arial" w:cs="Arial" w:eastAsia="Arial" w:hAnsi="Arial"/>
                <w:sz w:val="14"/>
                <w:szCs w:val="14"/>
                <w:b w:val="1"/>
                <w:bCs w:val="1"/>
                <w:color w:val="auto"/>
              </w:rPr>
              <w:t>Bond</w:t>
            </w:r>
          </w:p>
        </w:tc>
        <w:tc>
          <w:tcPr>
            <w:tcW w:w="780" w:type="dxa"/>
            <w:vAlign w:val="bottom"/>
          </w:tcPr>
          <w:p>
            <w:pPr>
              <w:spacing w:after="0"/>
              <w:rPr>
                <w:sz w:val="10"/>
                <w:szCs w:val="10"/>
                <w:color w:val="auto"/>
              </w:rPr>
            </w:pPr>
          </w:p>
        </w:tc>
      </w:tr>
      <w:tr>
        <w:trPr>
          <w:trHeight w:val="148"/>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w w:val="99"/>
              </w:rPr>
              <w:t>TriplePoint Venture Growth BDC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rPr>
              <w:t>Specialty</w:t>
            </w:r>
          </w:p>
        </w:tc>
      </w:tr>
      <w:tr>
        <w:trPr>
          <w:trHeight w:val="182"/>
        </w:trPr>
        <w:tc>
          <w:tcPr>
            <w:tcW w:w="2040" w:type="dxa"/>
            <w:vAlign w:val="bottom"/>
            <w:gridSpan w:val="4"/>
          </w:tcPr>
          <w:p>
            <w:pPr>
              <w:spacing w:after="0"/>
              <w:rPr>
                <w:sz w:val="20"/>
                <w:szCs w:val="20"/>
                <w:color w:val="auto"/>
              </w:rPr>
            </w:pPr>
            <w:r>
              <w:rPr>
                <w:rFonts w:ascii="Arial" w:cs="Arial" w:eastAsia="Arial" w:hAnsi="Arial"/>
                <w:sz w:val="14"/>
                <w:szCs w:val="14"/>
                <w:color w:val="auto"/>
              </w:rPr>
              <w:t>Corp.</w:t>
            </w:r>
          </w:p>
        </w:tc>
        <w:tc>
          <w:tcPr>
            <w:tcW w:w="780" w:type="dxa"/>
            <w:vAlign w:val="bottom"/>
          </w:tcPr>
          <w:p>
            <w:pPr>
              <w:ind w:left="100"/>
              <w:spacing w:after="0"/>
              <w:rPr>
                <w:sz w:val="20"/>
                <w:szCs w:val="20"/>
                <w:color w:val="auto"/>
              </w:rPr>
            </w:pPr>
            <w:r>
              <w:rPr>
                <w:rFonts w:ascii="Arial" w:cs="Arial" w:eastAsia="Arial" w:hAnsi="Arial"/>
                <w:sz w:val="14"/>
                <w:szCs w:val="14"/>
                <w:color w:val="auto"/>
              </w:rPr>
              <w:t>Finance</w:t>
            </w:r>
          </w:p>
        </w:tc>
      </w:tr>
      <w:tr>
        <w:trPr>
          <w:trHeight w:val="263"/>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w w:val="99"/>
              </w:rPr>
              <w:t>Senior Secured Term Loans</w:t>
            </w:r>
            <w:r>
              <w:rPr>
                <w:rFonts w:ascii="Arial" w:cs="Arial" w:eastAsia="Arial" w:hAnsi="Arial"/>
                <w:sz w:val="10"/>
                <w:szCs w:val="10"/>
                <w:b w:val="1"/>
                <w:bCs w:val="1"/>
                <w:color w:val="auto"/>
                <w:w w:val="99"/>
              </w:rPr>
              <w:t>(13)</w:t>
            </w:r>
          </w:p>
        </w:tc>
        <w:tc>
          <w:tcPr>
            <w:tcW w:w="780" w:type="dxa"/>
            <w:vAlign w:val="bottom"/>
          </w:tcPr>
          <w:p>
            <w:pPr>
              <w:spacing w:after="0"/>
              <w:rPr>
                <w:sz w:val="22"/>
                <w:szCs w:val="22"/>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Aria Systems, Inc.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w w:val="96"/>
              </w:rPr>
              <w:t>Application</w:t>
            </w:r>
          </w:p>
        </w:tc>
      </w:tr>
      <w:tr>
        <w:trPr>
          <w:trHeight w:val="182"/>
        </w:trPr>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color w:val="auto"/>
              </w:rPr>
              <w:t>Software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Investment Description</w:t>
            </w:r>
            <w:r>
              <w:rPr>
                <w:rFonts w:ascii="Arial" w:cs="Arial" w:eastAsia="Arial" w:hAnsi="Arial"/>
                <w:sz w:val="10"/>
                <w:szCs w:val="10"/>
                <w:b w:val="1"/>
                <w:bCs w:val="1"/>
                <w:color w:val="auto"/>
                <w:w w:val="97"/>
              </w:rPr>
              <w:t>(1),(5),(10)</w:t>
            </w:r>
          </w:p>
        </w:tc>
        <w:tc>
          <w:tcPr>
            <w:tcW w:w="10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0"/>
                <w:szCs w:val="10"/>
                <w:b w:val="1"/>
                <w:bCs w:val="1"/>
                <w:color w:val="auto"/>
                <w:w w:val="97"/>
              </w:rPr>
              <w:t>(2),(8)</w:t>
            </w:r>
          </w:p>
        </w:tc>
        <w:tc>
          <w:tcPr>
            <w:tcW w:w="120" w:type="dxa"/>
            <w:vAlign w:val="bottom"/>
            <w:vMerge w:val="restart"/>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160" w:type="dxa"/>
            <w:vAlign w:val="bottom"/>
            <w:gridSpan w:val="2"/>
          </w:tcPr>
          <w:p>
            <w:pPr>
              <w:spacing w:after="0"/>
              <w:rPr>
                <w:sz w:val="20"/>
                <w:szCs w:val="20"/>
                <w:color w:val="auto"/>
              </w:rPr>
            </w:pPr>
            <w:r>
              <w:rPr>
                <w:rFonts w:ascii="Arial" w:cs="Arial" w:eastAsia="Arial" w:hAnsi="Arial"/>
                <w:sz w:val="14"/>
                <w:szCs w:val="14"/>
                <w:color w:val="auto"/>
              </w:rPr>
              <w:t>Tranche I: LIBOR+12.00% PIK,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5/16/2017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6,519,240</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6,502,036</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4,913,150</w:t>
            </w: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8/3/2017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1,637,717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542,721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543,783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409,016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408,445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V: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1/28/2019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1,079,293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1,073,081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813,382</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20"/>
                <w:szCs w:val="20"/>
                <w:color w:val="auto"/>
              </w:rPr>
            </w:pPr>
            <w:r>
              <w:rPr>
                <w:rFonts w:ascii="Arial" w:cs="Arial" w:eastAsia="Arial" w:hAnsi="Arial"/>
                <w:sz w:val="14"/>
                <w:szCs w:val="14"/>
                <w:color w:val="auto"/>
              </w:rPr>
              <w:t xml:space="preserve">4/30/2021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1,034,143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1,034,143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779,370</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11,865,327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8,961,080</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884,774</w:t>
            </w:r>
          </w:p>
        </w:tc>
        <w:tc>
          <w:tcPr>
            <w:tcW w:w="1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298,325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13,911,494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9,845,854</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160" w:type="dxa"/>
            <w:vAlign w:val="bottom"/>
            <w:gridSpan w:val="2"/>
          </w:tcPr>
          <w:p>
            <w:pPr>
              <w:spacing w:after="0"/>
              <w:rPr>
                <w:sz w:val="20"/>
                <w:szCs w:val="20"/>
                <w:color w:val="auto"/>
              </w:rPr>
            </w:pPr>
            <w:r>
              <w:rPr>
                <w:rFonts w:ascii="Arial" w:cs="Arial" w:eastAsia="Arial" w:hAnsi="Arial"/>
                <w:sz w:val="14"/>
                <w:szCs w:val="14"/>
                <w:color w:val="auto"/>
              </w:rPr>
              <w:t>Bonds, 5.75% Interest rate, due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253,095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333,453</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160" w:type="dxa"/>
            <w:vAlign w:val="bottom"/>
            <w:gridSpan w:val="2"/>
          </w:tcPr>
          <w:p>
            <w:pPr>
              <w:spacing w:after="0"/>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25,573,394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26,487,949</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11.35% floor, 4.50%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12/15/2021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2,546,484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2,648,795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-4740910</wp:posOffset>
            </wp:positionV>
            <wp:extent cx="6292215"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-4175125</wp:posOffset>
            </wp:positionV>
            <wp:extent cx="6292215"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-3609340</wp:posOffset>
            </wp:positionV>
            <wp:extent cx="6292215" cy="283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-3043555</wp:posOffset>
            </wp:positionV>
            <wp:extent cx="629221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-2752090</wp:posOffset>
            </wp:positionV>
            <wp:extent cx="6292215"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-2469515</wp:posOffset>
            </wp:positionV>
            <wp:extent cx="6292215"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-2280920</wp:posOffset>
            </wp:positionV>
            <wp:extent cx="6292215" cy="28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-1715135</wp:posOffset>
            </wp:positionV>
            <wp:extent cx="6292215"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-1329055</wp:posOffset>
            </wp:positionV>
            <wp:extent cx="629221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-951865</wp:posOffset>
            </wp:positionV>
            <wp:extent cx="6292215"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-669290</wp:posOffset>
            </wp:positionV>
            <wp:extent cx="6292215"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-480695</wp:posOffset>
            </wp:positionV>
            <wp:extent cx="629221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-4938395</wp:posOffset>
            </wp:positionV>
            <wp:extent cx="629221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180"/>
            <w:col w:w="6680"/>
          </w:cols>
          <w:pgMar w:left="980" w:top="517" w:right="1019"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LIBOR+8.25%, 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34,722,601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34,722,601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7.45 %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29,733,181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29,758,229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7.50% 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15,598,546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LIBOR+7.50%, 1.00%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10.00% floor, 2.75%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6/13/2023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7,615,625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7,540,959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7,447,536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1.25%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11.25%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160" w:type="dxa"/>
            <w:vAlign w:val="bottom"/>
            <w:gridSpan w:val="2"/>
          </w:tcPr>
          <w:p>
            <w:pPr>
              <w:ind w:left="100"/>
              <w:spacing w:after="0" w:line="149" w:lineRule="exact"/>
              <w:rPr>
                <w:sz w:val="20"/>
                <w:szCs w:val="20"/>
                <w:color w:val="auto"/>
              </w:rPr>
            </w:pPr>
            <w:r>
              <w:rPr>
                <w:rFonts w:ascii="Arial" w:cs="Arial" w:eastAsia="Arial" w:hAnsi="Arial"/>
                <w:sz w:val="17"/>
                <w:szCs w:val="17"/>
                <w:color w:val="auto"/>
                <w:vertAlign w:val="subscript"/>
              </w:rPr>
              <w:t>12/15/2023</w:t>
            </w:r>
            <w:r>
              <w:rPr>
                <w:rFonts w:ascii="Arial" w:cs="Arial" w:eastAsia="Arial" w:hAnsi="Arial"/>
                <w:sz w:val="8"/>
                <w:szCs w:val="8"/>
                <w:color w:val="auto"/>
              </w:rPr>
              <w:t xml:space="preserve"> (3),(4),(11)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24,772,553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34,531,361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LIBOR+8.35% , 2.00%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PIK on overadvance, 10.25% floor,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due 5/15/2023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9,489,736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9,362,671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5.13% 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6,180,487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14,078,320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14,324,161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12.05% floor, 4.00%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5/3/2023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3,069,463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44,330,193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9.51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2.50% ETP, due 7/15/2023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19,899,836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19,817,189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10.50% floor, 2.50%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9,908,594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3.00% ETP, due 6/15/2023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30,054,163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30,270,499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4.00% ETP, due 1/15/2023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18,405,948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w w:val="96"/>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10.00% 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4,683,180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4,646,930</w:t>
            </w:r>
          </w:p>
        </w:tc>
        <w:tc>
          <w:tcPr>
            <w:tcW w:w="1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11.50%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5.50% ETP, due 4/15/2023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7,079,561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11.50% floor, 5.50%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4/15/2023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6/12/2019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512,117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505,683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10.75% floor, 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11/27/2018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7,234,515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21,609,825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19,864,282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LIBOR+8.50%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10/2/2020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930,629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9.05% floor, 3.50%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7/22/2024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12/31/2022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3/24/2020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LIBOR+9.05%, 9.55%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3.00% ETP, due 12/1/2024</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494,689,952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493,003,577</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451,494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(15),(16)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760,000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18,687,450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14,659,600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18,937,450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15,111,094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118,100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521,940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6,811,430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1,119,096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1,237,196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521,940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980,199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2,170,641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770,578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2,772,147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1,217,000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$5.25/share,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9/30/2029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12/17/2030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770,926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$1.60/share,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298,697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GROWTH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333,621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264,160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833,333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495,226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$1.5963/share, expires 5/3/2029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438,014</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12/1/2027 </w:t>
            </w:r>
            <w:r>
              <w:rPr>
                <w:rFonts w:ascii="Arial" w:cs="Arial" w:eastAsia="Arial" w:hAnsi="Arial"/>
                <w:sz w:val="10"/>
                <w:szCs w:val="10"/>
                <w:color w:val="auto"/>
                <w:w w:val="96"/>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498,900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506,293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504,439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322,997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304,264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w w:val="99"/>
              </w:rPr>
              <w:t>Mingle Healthcare Solutions, Inc.</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8"/>
              </w:rPr>
              <w:t>$1.4643/share, expires 12/28/2028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$0.3323/share, expires 11/27/2028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11/27/2018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1,805,597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9,901,935</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$0.59/share,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5/13/2029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9,665,667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345,816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SendtoNews Video,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6/30/2027 </w:t>
            </w:r>
            <w:r>
              <w:rPr>
                <w:rFonts w:ascii="Arial" w:cs="Arial" w:eastAsia="Arial" w:hAnsi="Arial"/>
                <w:sz w:val="10"/>
                <w:szCs w:val="10"/>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81,177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532,676,057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541,978,736</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60" w:type="dxa"/>
            <w:vAlign w:val="bottom"/>
            <w:gridSpan w:val="3"/>
          </w:tcPr>
          <w:p>
            <w:pPr>
              <w:ind w:left="100"/>
              <w:spacing w:after="0" w:line="103" w:lineRule="exact"/>
              <w:rPr>
                <w:sz w:val="20"/>
                <w:szCs w:val="20"/>
                <w:color w:val="auto"/>
              </w:rPr>
            </w:pPr>
            <w:r>
              <w:rPr>
                <w:rFonts w:ascii="Arial" w:cs="Arial" w:eastAsia="Arial" w:hAnsi="Arial"/>
                <w:sz w:val="11"/>
                <w:szCs w:val="11"/>
                <w:color w:val="auto"/>
              </w:rPr>
              <w:t>U.S. Treasury Bill, 0.40%, due</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(9)</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12/30/2020</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616,589,023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621,826,650</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133.37</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65"/>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106"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2020, along with the transactions during the year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ind w:left="240"/>
              <w:spacing w:after="0"/>
              <w:rPr>
                <w:sz w:val="20"/>
                <w:szCs w:val="20"/>
                <w:color w:val="auto"/>
              </w:rPr>
            </w:pPr>
            <w:r>
              <w:rPr>
                <w:rFonts w:ascii="Arial" w:cs="Arial" w:eastAsia="Arial" w:hAnsi="Arial"/>
                <w:sz w:val="13"/>
                <w:szCs w:val="13"/>
                <w:b w:val="1"/>
                <w:bCs w:val="1"/>
                <w:color w:val="auto"/>
                <w:w w:val="87"/>
              </w:rPr>
              <w:t>For the Year Ended December 31, 2020</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1"/>
                <w:szCs w:val="11"/>
                <w:color w:val="auto"/>
              </w:rPr>
            </w:pPr>
          </w:p>
        </w:tc>
        <w:tc>
          <w:tcPr>
            <w:tcW w:w="9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80" w:type="dxa"/>
            <w:vAlign w:val="bottom"/>
            <w:gridSpan w:val="3"/>
          </w:tcPr>
          <w:p>
            <w:pPr>
              <w:ind w:left="80"/>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85"/>
              </w:rPr>
              <w:t>December 31, 2019</w:t>
            </w:r>
          </w:p>
        </w:tc>
        <w:tc>
          <w:tcPr>
            <w:tcW w:w="100" w:type="dxa"/>
            <w:vAlign w:val="bottom"/>
          </w:tcPr>
          <w:p>
            <w:pPr>
              <w:spacing w:after="0"/>
              <w:rPr>
                <w:sz w:val="13"/>
                <w:szCs w:val="13"/>
                <w:color w:val="auto"/>
              </w:rPr>
            </w:pPr>
          </w:p>
        </w:tc>
        <w:tc>
          <w:tcPr>
            <w:tcW w:w="68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2"/>
              </w:rPr>
              <w:t>Additions</w:t>
            </w:r>
            <w:r>
              <w:rPr>
                <w:rFonts w:ascii="Arial" w:cs="Arial" w:eastAsia="Arial" w:hAnsi="Arial"/>
                <w:sz w:val="17"/>
                <w:szCs w:val="17"/>
                <w:b w:val="1"/>
                <w:bCs w:val="1"/>
                <w:color w:val="auto"/>
                <w:w w:val="92"/>
                <w:vertAlign w:val="superscript"/>
              </w:rPr>
              <w:t>(1)</w:t>
            </w:r>
          </w:p>
        </w:tc>
        <w:tc>
          <w:tcPr>
            <w:tcW w:w="8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88"/>
              </w:rPr>
              <w:t>Reductions</w:t>
            </w:r>
            <w:r>
              <w:rPr>
                <w:rFonts w:ascii="Arial" w:cs="Arial" w:eastAsia="Arial" w:hAnsi="Arial"/>
                <w:sz w:val="17"/>
                <w:szCs w:val="17"/>
                <w:b w:val="1"/>
                <w:bCs w:val="1"/>
                <w:color w:val="auto"/>
                <w:w w:val="88"/>
                <w:vertAlign w:val="superscript"/>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3"/>
                <w:szCs w:val="13"/>
                <w:color w:val="auto"/>
              </w:rPr>
            </w:pP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w w:val="98"/>
              </w:rPr>
              <w:t>(Depreciation)</w:t>
            </w: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2020</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0"/>
              </w:rPr>
              <w:t>Tranche I: LIBOR+12.00% PIK, 12.00%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floor, 5% ETP, due 7/15/2021</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6"/>
              </w:rPr>
              <w:t>4,860,763</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52,387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4,913,150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1,620,255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Tranche III: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404,654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IV: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Tranche V: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804,709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813,382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VI: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7/31/2021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771,060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Senior Secured Term Loans</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8,865,531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95,549</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84,774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884,774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2"/>
              </w:rPr>
              <w:t>price $1.286/share,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9"/>
              </w:rPr>
              <w:t>price $2.1286/share, expires 12/13/2030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86"/>
              </w:rPr>
              <w:t>price $5.57338/share,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line="129" w:lineRule="exact"/>
              <w:rPr>
                <w:sz w:val="20"/>
                <w:szCs w:val="20"/>
                <w:color w:val="auto"/>
              </w:rPr>
            </w:pPr>
            <w:r>
              <w:rPr>
                <w:rFonts w:ascii="Arial" w:cs="Arial" w:eastAsia="Arial" w:hAnsi="Arial"/>
                <w:sz w:val="13"/>
                <w:szCs w:val="13"/>
                <w:b w:val="1"/>
                <w:bCs w:val="1"/>
                <w:color w:val="auto"/>
                <w:w w:val="99"/>
              </w:rPr>
              <w:t>Total Control/affiliate investments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9,665,531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180,323</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90" w:lineRule="auto"/>
        <w:tabs>
          <w:tab w:leader="none" w:pos="660" w:val="left"/>
        </w:tabs>
        <w:numPr>
          <w:ilvl w:val="0"/>
          <w:numId w:val="66"/>
        </w:numPr>
        <w:rPr>
          <w:rFonts w:ascii="Arial" w:cs="Arial" w:eastAsia="Arial" w:hAnsi="Arial"/>
          <w:sz w:val="10"/>
          <w:szCs w:val="10"/>
          <w:color w:val="auto"/>
        </w:rPr>
      </w:pPr>
      <w:r>
        <w:rPr>
          <w:rFonts w:ascii="Arial" w:cs="Arial" w:eastAsia="Arial" w:hAnsi="Arial"/>
          <w:sz w:val="13"/>
          <w:szCs w:val="13"/>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43" w:lineRule="exact"/>
        <w:rPr>
          <w:rFonts w:ascii="Arial" w:cs="Arial" w:eastAsia="Arial" w:hAnsi="Arial"/>
          <w:sz w:val="10"/>
          <w:szCs w:val="10"/>
          <w:color w:val="auto"/>
        </w:rPr>
      </w:pPr>
    </w:p>
    <w:p>
      <w:pPr>
        <w:jc w:val="both"/>
        <w:ind w:left="660" w:right="20" w:hanging="328"/>
        <w:spacing w:after="0" w:line="238" w:lineRule="auto"/>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December 31, 2020 represented 2.11%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Education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System 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as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On December 1, 2017, we completed our Initial Private Offering, in which we issued 18,241,157 shares of our common stock to stockholders for a total purchase price of $275,000,000 in reliance on exemptions from the registration requirements of the Securities Act, and other applicable securities laws.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the Company had completed multiple closings under its second private offering (the “Second Private Offering”) and had accepted aggregate capital commitments of $181,673,500. As of December 31, 2021, in connection with the Second Private Offering the Company has issued 9,617,379 shares of its common stock for a total purchase price of $144,260,683. Concurrent with the IPO, all undrawn commitments under the Second Private Offering were cancelled.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25, 2021, the Company closed its initial public offering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the Company has issued 22,564 shares as an additional direct investment by Runway Growth Holdings LLC, an affiliate of RGC, at a per-share price of $15.00 for total proceeds of $338,453 in a private offering pursuant to an exemption from registration under Regulation D of the Securities Act and purchased an additional 23,346 shares in the public markets for a total purchase price of $315,251. The Company has issued an additional 6,647,847 shares as part of the dividend reinvestment plan. For more information, see “Note 6 – Net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accompanying financial statements of the Company are prepared on the accrual basis of accounting in conformity with U.S. Generally Accepted Accounting Principles (“U.S.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 Certain items in the December 31, 2020 and December 31, 2019 financial statements have been reclassified to conform to the December 31, 2021 presentation with no effect on net income.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items in the December 31, 2020 and December 31, 2019 financial statements have been reclassified to conform to the December 31, 2021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Costs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fees and expenses associated with opening the KeyBank credit facilities, including entering into the Credit Agreement (as defined below) (see “Note 10 – Borrowings”), and the issuance of the 2026 Senior Notes (as defined below) pursuant to the Note Purchase Agreement (as defined below) (see “Note 10 – Borrowings”) are being deferred and amortized as part of interest expense using the effective interest method over the term of the Credit Agreement and the Note Purchase Agreement in accordance with ASC 470, Debt. Debt issuance costs associated with the Credit Agreement and the Note Purchase Agreement are classified as a direct reduction of the carrying amount of borrowings with the Credit Agreement and the Note Purchase Agreement, unless there are no outstanding borrowings, in which case the debt issuance costs are presented as an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 reverse repurchase agreement with Goldman Sachs, which expired on January 6, 2022, the Company purchased a U.S. Treasury Bill, due January 11, 2022. The fair value of the related collateral that the Company received for this agreement was $45,001,500 at December 31, 2021. Pursuant to a reverse repurchase agreement with Goldman Sachs which expired on January 6, 2021, the Company purchased a U.S. Treasury Bill, due January 12, 2021. The value of the related collateral that the Company received for this agreement was $70,002,060 at December 31, 2020. At December 31, 2021 and December 31, 2020, the repurchase liability is $44,774,963 and $69,650,000, respectively, which is reflected as Reverse Repurchase Agreement on the Statement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Non-Accrual of Investments</w:t>
      </w:r>
    </w:p>
    <w:p>
      <w:pPr>
        <w:spacing w:after="0" w:line="225"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6"/>
          <w:szCs w:val="16"/>
          <w:color w:val="auto"/>
        </w:rPr>
        <w:t>Debt investments are placed on non-accrual status when principal, interest, and other obligations become materially past due or when there is a reasonable doubt that principal, interest or other obligations will be collected in full. At the point of non-accrual, the Company will cease recognizing interest income on the debt investment until all principal and interest due has been paid or the Company believes the borrower has demonstrated the ability to repay its current and future contractual obligations. Additionally, any original issue discount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66"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6"/>
          <w:szCs w:val="16"/>
          <w:color w:val="auto"/>
        </w:rPr>
        <w:t>As of December 31, 2021, the Company had six loans to Mojix, Inc. and one loan to Pivot3 Holdings, Inc., representing an aggregate principal funded of $30,278,707 at a fair market value of $28,259,976, on non-accrual status, which represents 4.66% of the Company’s net assets. The non-accrual loans as of December 31, 2021 had total interest of $4,760,387 that would have been accrued into income. Had the loans not been on non-accrual status, $4,064,620 would be payable, and $695,767 would be original issue discount. For the year ended December 31, 2021, approximately 4.2% of the Company’s total investment income was attributable to non-cash PIK interest. As of December 31, 2020, the Company had six loans to Mojix, Inc. representing an aggregate principal funded of $11,000,000 at a fair market value of $8,961,080, on non-accrual status, which represents 1.92% of the Company’s net assets. The non-accrual status loans as of December 31, 2020 had total interest of $1,627,725 that would have been accrued into income. Had the loan not been on non-accrual status, $1,213,861 would be payable, and $413,864 would be original issue discount. For the year ended December 31, 2020, approximately 6.4% of the Company’s total investment income was attributable to non-cash PIK interest. As of December 31, 2019, the Company had two loans to Aginity, Inc. representing an aggregate principal funded of $9,000,000 at a fair market value of $4,311,589, on non-accrual status, which represented 1.15% of the Company’s net assets. The non-accrual status loans as of December 31, 2019, had total interest of $1,033,827 that would have been accrued into income. Had the loan not been on non-accrual status, $576,314 would be payable, and $457,513 would be original issue discount. For the year ended December 31, 2019, approximately 2.4% of the Company’s total investment income was attributable to non-cash PIK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 Fair value of the Company’s Credit Agreement is estimated by discounting remaining payments using applicable market rates or market quotes for similar instruments at the measurement date, if applicable. As of both December 31, 2021 and December 31, 2020, the Company believes that the carrying value of its Credit Agreement approximates fair value. The 2026 Senior Notes are carried at cost and with their longer maturity dates, fair value is estimated by discounting remaining payments using current market rates for similar instruments and considering such factors as the legal maturity date and the ability of market participants to prepay the notes. As of December 31, 2021, the Company believes that the carrying value of the 2026 Senior Notes approximates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federal income taxes in the future.</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2021, 2020, and 2019, we recorded an expense of $0, $1,319, and $99,549,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the years ended December 31, 2021, 2020, and 2019,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reclassified for book purposes amounts arising from permanent book/tax differences primarily related to non-deductible excise taxes paid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4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undistributed earnings</w:t>
            </w:r>
          </w:p>
        </w:tc>
        <w:tc>
          <w:tcPr>
            <w:tcW w:w="120" w:type="dxa"/>
            <w:vAlign w:val="bottom"/>
          </w:tcPr>
          <w:p>
            <w:pPr>
              <w:spacing w:after="0"/>
              <w:rPr>
                <w:sz w:val="20"/>
                <w:szCs w:val="20"/>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99,549</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U.S. federal income tax purposes, distributions paid to stockholders are reported as ordinary income, return of capital, long term capital gains or a combination thereof. The tax character of distributions paid for the years ended December 31, 2021, 2020, and 2019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3400" w:type="dxa"/>
            <w:vAlign w:val="bottom"/>
            <w:gridSpan w:val="2"/>
          </w:tcPr>
          <w:p>
            <w:pPr>
              <w:jc w:val="center"/>
              <w:ind w:left="2268"/>
              <w:spacing w:after="0"/>
              <w:rPr>
                <w:sz w:val="20"/>
                <w:szCs w:val="20"/>
                <w:color w:val="auto"/>
              </w:rPr>
            </w:pPr>
            <w:r>
              <w:rPr>
                <w:rFonts w:ascii="Arial" w:cs="Arial" w:eastAsia="Arial" w:hAnsi="Arial"/>
                <w:sz w:val="14"/>
                <w:szCs w:val="14"/>
                <w:b w:val="1"/>
                <w:bCs w:val="1"/>
                <w:color w:val="auto"/>
                <w:w w:val="96"/>
              </w:rPr>
              <w:t>2021</w:t>
            </w:r>
          </w:p>
        </w:tc>
        <w:tc>
          <w:tcPr>
            <w:tcW w:w="12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2020</w:t>
            </w:r>
          </w:p>
        </w:tc>
        <w:tc>
          <w:tcPr>
            <w:tcW w:w="12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$ 44,942,937</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$ 39,518,000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$ 40,651,335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capital gain</w:t>
            </w:r>
          </w:p>
        </w:tc>
        <w:tc>
          <w:tcPr>
            <w:tcW w:w="2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191,233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stockholders who are deemed “Affected Investors” as a result of the Company not being a publicly traded Regulated Investment Company may have additional taxable income.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U.S. federal income tax purposes, the tax cost of investments as of December 31, 2021, 2020 and 2019 was $726,968,588, $619,496,230, and $480,118,372, respectively. The net unrealized appreciation (depreciation) on investments owned at December 31, 2021, 2020 and 2019 was $2,547,686, $2,330,420, and $(12,136,672), respectively. For the year ended December 31, 2021, gross unrealized appreciation and depreciation was $23,598,138 and $(21,050,452), respectively. For the year ended December 31, 2020, gross unrealized appreciation and depreciation was $21,395,985 and $(19,065,565), respectively. For the year ended December 31, 2019, gross unrealized appreciation and depreciation was $6,121,374 and $(18,258,046), respectively.</w:t>
      </w:r>
    </w:p>
    <w:p>
      <w:pPr>
        <w:spacing w:after="0" w:line="17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At December 31, 2021, 2020 and 2019, the components of distributable earnings on a tax basis detailed below differ from the amounts reflected in the Company’s Statements of Assets and Liabilities by temporary and other book/tax differences, primarily relating to the tax treatment of debt modifications,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45,618,710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46,979,900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27,646,400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3,045,344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(14,257,592)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9,416,462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book to tax differences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(7,644,771)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2,940,608</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Taxable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41,019,283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32,490,479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40,003,470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the year</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43,621,131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35,527,183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35,821,420</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Accumulated undistributed earnings on a tax basis</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(2,601,848)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4,182,050</w:t>
            </w:r>
          </w:p>
        </w:tc>
      </w:tr>
      <w:tr>
        <w:trPr>
          <w:trHeight w:val="20"/>
        </w:trPr>
        <w:tc>
          <w:tcPr>
            <w:tcW w:w="5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For the years ended December 31, 2021 and 2020, the Company had a long-term capital loss carryforward of $2,930,579 and $4,358,511, respectively. The Company had no long-term capital loss carryforward for the year ended December 31, 2019.</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utilized capital loss carryforward in the amount of $1,427,932, $0, and $0, respectively, to offset realized capital gains.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December 31, 2021, December 31, 2020 or December 31, 2019. Although we file federal and state tax returns, our major tax jurisdiction is federal. The previous three year-ends and the interim tax period since then remain subject to examination by the Internal Revenue Service.</w:t>
      </w:r>
    </w:p>
    <w:p>
      <w:pPr>
        <w:spacing w:after="0" w:line="1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U.S. federal income tax at corporate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and diluted earnings/(loss) per common share is calculated using the weighted-average number of common shares outstanding for the period presented. For the years ended December 31, 2021, 2020 and 2019, basic and diluted earnings/(loss) per share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year ended December 31, 2021, the Company declared and paid dividends in the amount of $44,942,937 of which $17,948,131 was distributed in cash and the remainder distributed in shares to stockholders pursuant to the Company’s dividend reinvestment plan. For the year ended December 31, 2020, the Company declared and paid dividends in the amount of $39,709,233 of which $7,265,785 was distributed in cash and the remainder distributed in shares to stockholders pursuant to the Company’s dividend reinvestment plan. For the year ended December 31, 2019, the Company declared and paid dividends in the amount of $40,651,334 of which $8,192,547 was distributed in cash and the remainder distributed in shares to stockholders pursuant to the Company’s dividend reinvestment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below),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costs incurred in connection with the Initial Private Offering. As a result, for the years ended December 31, 2021, December 31, 2020 and December 31, 2019, the Company did not incur any organization or offering expenses in connection with the Initial Private Offering.</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December 31, 2021 and December 31, 2020, the Company had accumulated and recorded $651,991 and $608,989, respectively, of offering costs related to the Second Private Offering. As of December 31, 2021 and December 31, 2020, $186,198 and $154,738, respectively, in placement agent fees had been incurred. Under the terms of the Second Private Offering, offering costs in excess of $600,000, excluding placement agent fees, will be reimbursed by RGC.</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Offering costs related to the IPO were accumulated and charged to additional paid in capital at the time of closing in 2021. As of December 31, 2021 and December 31, 2020, respectively, we had accumulated and recorded $6,970,599 and $0 of offering costs related to the Company’s IPO. The offering costs are fully born by the Company and include underwriting fees, legal fees, and other costs pertaining to the preparation of the Company’s offering materials as well as travel-related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the discounting transition. ASU 2020-04 and ASU 2021-01 are effective for all entities through December 31, 2022. ASU No. 2021-01 provides increased clarity as the Company continues to evaluate the transition of reference rates and is currently evaluating the impact of adopting ASU No. 2020-04 and 2021-01 on the consolidated financial statements. The Company did not utilize the optional expedients and exceptions provided in this guidance during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its portfolio companies. The balance of unfunded commitments to extend financing as of December 31, 2021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Borders>
              <w:bottom w:val="single" w:sz="8" w:color="CCEEFF"/>
            </w:tcBorders>
          </w:tcPr>
          <w:p>
            <w:pPr>
              <w:spacing w:after="0"/>
              <w:rPr>
                <w:sz w:val="14"/>
                <w:szCs w:val="14"/>
                <w:color w:val="auto"/>
              </w:rPr>
            </w:pPr>
          </w:p>
        </w:tc>
        <w:tc>
          <w:tcPr>
            <w:tcW w:w="27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CloudPay,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CrossRoads Extremity Systems, LLC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Dtex Systems,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INRIX,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Intellisite Holdings, Inc. (dba Epic IO Technologies,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Marley Spoon AG</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Route 92 Medical,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SetPoint Medical Corporation</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ShareThis,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Snagajob.com,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6,784,615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186,984,615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2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management believes that its available cash balances and/or availability under the Credit Agreement provides sufficient funds to cover its unfunded commitments as of December 31, 2021. The Company has evaluated the expected net future cash flows related to unfunded commitments and determined the fair value to be zero as of December 31, 2021 and December 31, 2020.</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Increase/(Decrease) in Net Assets Resulting from Operations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2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4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45,618,710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27,646,400</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Weighted-average shares outstanding for the period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34,183,358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27,617,425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18,701,021</w:t>
            </w:r>
          </w:p>
        </w:tc>
      </w:tr>
      <w:tr>
        <w:trPr>
          <w:trHeight w:val="216"/>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34,183,358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27,617,425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18,701,021</w:t>
            </w:r>
          </w:p>
        </w:tc>
      </w:tr>
      <w:tr>
        <w:trPr>
          <w:trHeight w:val="216"/>
        </w:trPr>
        <w:tc>
          <w:tcPr>
            <w:tcW w:w="4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Basic and diluted income per common share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ind w:left="660" w:hanging="328"/>
        <w:spacing w:after="0" w:line="229" w:lineRule="auto"/>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4"/>
          <w:szCs w:val="14"/>
          <w:color w:val="auto"/>
        </w:rPr>
        <w:t>Per share data is based on average weighted shares outstanding</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On October 25, 2021, the Company closed its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October 25, 2021, the Company entered into subscription agreements (the “Subscription Agreements”) with investors providing for the private placement of the Company’s common shares. Under the terms of the Subscription Agreements, investors were required to fund drawdowns to purchase the Company’s common shares up to the amount of their respective capital commitment on an as-needed basis each time the Company delivered a drawdown notice to its investors. Concurrent with the IPO, all undrawn commitments under the Second Private Offering were cancelled.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Initial Private Offering, the Company issued 18,241,157 shares of our common stock to stockholders for a total purchase price of $275,000,000. Between June 14, 2019 and December 31, 2021, the Company accepted $181,673,500 in capital commitments under its Second Private Offering. As of December 31, 2021 and December 31, 2020, respectively, the Company issued 9,617,379 and 8,352,251 shares of common stock for aggregate proceeds of $144,260,683 and $125,283,766 under the Second Private Offering.</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the Company has issued 22,564 shares as an additional direct investment by Runway Growth Holdings LLC, an affiliate of RGC, at $15.00 per share for total proceeds of $338,453 in a private offering pursuant to an exemption from registration under Regulation D of the Securities Act.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2021, the Company issued 1,830,974 shares for $26,994,806 in connection with the reinvestment of dividends. The following table summarizes capital activity during the year ended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Distributable</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6"/>
              </w:rPr>
              <w:t>(Losses)</w:t>
            </w:r>
          </w:p>
        </w:tc>
        <w:tc>
          <w:tcPr>
            <w:tcW w:w="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$ 466,243,685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8,135,589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81,356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119,212,472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119,293,828</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26,976,496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26,994,806</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(7,013,601)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(7,013,601)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44,491,688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44,491,688</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4,172,366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4,172,366</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(3,045,344)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(3,045,344)</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(44,942,937)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(44,942,937)</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41,380,614</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$ 413,806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$ 606,047,671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$ 606,194,491</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5"/>
        </w:trPr>
        <w:tc>
          <w:tcPr>
            <w:tcW w:w="44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year ended December 31, 2020, the Company issued 2,248,483 shares for $32,443,448 in connection with the reinvestment of dividends. The following table summarizes capital activity during the year ended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$ 258,112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$ 376,313,221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3,354,354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33,543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50,281,765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50,315,308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2,248,483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32,420,963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32,443,448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(98,959)</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38,069,717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38,069,717</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(5,347,409)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(5,347,409)</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14,257,592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14,257,592</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(39,709,233)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$ 466,243,685</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2019, the Company issued 2,177,466 shares for $32,458,787 in connection with the reinvestment of dividends. The following table summarizes capital activity during the year ended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Distributable</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0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11,056,595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$ 110,566</w:t>
            </w: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$ 162,568,188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4,690,641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$ 167,369,395</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12,577,153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189,874,229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190,000,000</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32,437,012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32,458,787</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(510,027)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(510,027)</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36,453,831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36,453,831</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609,031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609,031</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(9,416,462)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(9,416,462)</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(40,651,334)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$ 258,112</w:t>
            </w:r>
          </w:p>
        </w:tc>
        <w:tc>
          <w:tcPr>
            <w:tcW w:w="4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$ 376,313,221</w:t>
            </w: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common shares issued, the price per share and the proceeds raised, since inception, are detailed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Price Per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24, 2021</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29,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25,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100,010,000</w:t>
            </w:r>
          </w:p>
        </w:tc>
        <w:tc>
          <w:tcPr>
            <w:tcW w:w="0" w:type="dxa"/>
            <w:vAlign w:val="bottom"/>
          </w:tcPr>
          <w:p>
            <w:pPr>
              <w:spacing w:after="0"/>
              <w:rPr>
                <w:sz w:val="1"/>
                <w:szCs w:val="1"/>
                <w:color w:val="auto"/>
              </w:rPr>
            </w:pPr>
          </w:p>
        </w:tc>
      </w:tr>
      <w:tr>
        <w:trPr>
          <w:trHeight w:val="210"/>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41,380,614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617,386,489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72"/>
        </w:numPr>
        <w:rPr>
          <w:rFonts w:ascii="Arial" w:cs="Arial" w:eastAsia="Arial" w:hAnsi="Arial"/>
          <w:sz w:val="27"/>
          <w:szCs w:val="27"/>
          <w:color w:val="auto"/>
          <w:vertAlign w:val="superscript"/>
        </w:rPr>
      </w:pPr>
      <w:r>
        <w:rPr>
          <w:rFonts w:ascii="Arial" w:cs="Arial" w:eastAsia="Arial" w:hAnsi="Arial"/>
          <w:sz w:val="14"/>
          <w:szCs w:val="14"/>
          <w:color w:val="auto"/>
        </w:rPr>
        <w:t>Shares were issued as part of the dividend reinvestment plan</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Advisory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Under the terms of the Advisory Agreement, RGC:</w:t>
      </w:r>
    </w:p>
    <w:p>
      <w:pPr>
        <w:spacing w:after="0" w:line="188" w:lineRule="exact"/>
        <w:rPr>
          <w:sz w:val="20"/>
          <w:szCs w:val="20"/>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RGC earned base management fees of $8,988,920, $6,831,566 and $5,105,009 for the years ended December 31, 2021,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Until the consummation of a Spin-Off transaction,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RGC earned incentive fees for the year ended December 31, 2021 of $9,231,830. $7,384,498 of the incentive fees for the year ended December 31, 2021 were earned, payable in cash, and $1,847,332 of the incentive fees for the year ended December 31, 2021 were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accrued and generated from deferred interest (i.e., PIK and certain discount accretion) and are not payable pending receipt of cash by the Company. RGC earned incentive fees for the year ended December 31, 2020 of $7,260,656. $5,407,305 of the incentive fees for the year ended December 31, 2020 were earned, payable in cash, and $1,853,351 of the incentive fees for the year ended December 31, 2020 were accrued and generated from deferred interest (i.e., PIK and certain discount accretion) and are not payable pending receipt of cash by the Company. RGC earned incentive fees for the year ended December 31, 2019 of $8,349,449. $6,500,502 of the incentive fees for the year ended December 31, 2019 were earned, payable in cash, and $1,848,947 of the incentive fees for the year ended December 31, 2019 were accrued and generated from deferred interest (i.e., PIK and certain discount accretion) and are not payable pending receipt of cash by the Company. Both currently payable in cash, $2,493,508 and $1,892,430, and deferred incentive fees, $3,516,742 and $3,114,635, are included in accrued incentive fees on the Statements of Assets and Liabilities as of December 31, 2021 and December 31, 2020, respectively.</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December 31, 2021 and December 31, 2020, there was no capital gains incentive fee accrued, earned or payable to RGC under the Advisory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reimbursed the Administrator $942,320 during the year ended December 31, 2021. As of December 31, 2021, the Company had accrued a net payable to the Administrator of $221,243. Of the total amount reimbursed to the Administrator, $810,054 was related to overhead allocation expense for the year ended December 31, 2021. The Company reimbursed the Administrator $546,073 during the year ended December 31, 2020. As of December 31, 2020, the Company had accrued a net payable to the Administrator of $143,515. Of the total amount reimbursed to the Administrator, $532,879 was related to overhead allocation expense for the year ended December 31, 2020. The Company reimbursed the Administrator $1,168,188 during the year ended December 31, 2019. As of December 31, 2019, the Company had accrued a net payable to the Administrator of $81,537. Of the total amount reimbursed to the Administrator, $827,464 was related to overhead allocation expense for the year ended December 31, 2019. Administration fees, which include fees payable by the Administrator to third-party service providers who provide additional administration services for the Company, were $579,365, $515,891 and $490,022 for the years ended December 31, 2021, 2020 and 2019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strategic relationship, OCM purchased an aggregate of 14,571,334 shares of our common stock for an aggregate purchase price of $219.3 million in our Initial Private Offering and our Second Private Offering. As of December 31, 2021, OCM owns 19,979,688 shares of our common stock or 48% of our total issued and outstanding shares. OCM has granted a proxy to us pursuant to which the shares held by OCM will be voted in the same proportion as our other stockholders vote their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OCM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In connection with the Subsequent OCM Commitment, OCM also purchased additional equity in RGC.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December 31, 2021 and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As of December 31, 2021 (Unaudited)</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2,559,932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8,903,933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623,053,646</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15,704,705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18,264,637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684,514,774</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45,001,500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63,266,137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729,516,274</w:t>
            </w: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501,964,657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551,824,590</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621,826,650</w:t>
            </w: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transfers into and out of the levels indicated above at the end of the reporting period. During the period ended December 31, 2021, the Company had warrant investments converted to common stock investments, resulting in an asset transfer out of Level 3 and into Level 2 at the fair value of $15,305,039. There were no transfers into or out of the levels during the year ended December 31, 2020. The following table presents a rollforward of Level 3 assets measured at fair value as of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Second Lien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Term Loans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Term Loans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1,336,268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501,964,657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33,008,672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fixed income premiums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accretion of discounts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7,741,738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7,744,326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408,035,478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12,870,000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423,743,525</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(293,323,063)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(293,747,564)</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(15,305,039)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(15,305,039)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Realized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(824,936)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Change in unrealized appreciation (depreciation)</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(2,003,848)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(573,705)</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December 31, 2021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1,332,420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623,053,646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12,872,588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20,087,550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657,346,204</w:t>
            </w:r>
          </w:p>
        </w:tc>
        <w:tc>
          <w:tcPr>
            <w:tcW w:w="0" w:type="dxa"/>
            <w:vAlign w:val="bottom"/>
          </w:tcPr>
          <w:p>
            <w:pPr>
              <w:spacing w:after="0"/>
              <w:rPr>
                <w:sz w:val="1"/>
                <w:szCs w:val="1"/>
                <w:color w:val="auto"/>
              </w:rPr>
            </w:pPr>
          </w:p>
        </w:tc>
      </w:tr>
      <w:tr>
        <w:trPr>
          <w:trHeight w:val="155"/>
        </w:trPr>
        <w:tc>
          <w:tcPr>
            <w:tcW w:w="370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 (depreciation)</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Level 3 investments still held as of</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(2,003,849)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(545,142)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(2,686,635)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(5,235,626)</w:t>
            </w:r>
          </w:p>
        </w:tc>
        <w:tc>
          <w:tcPr>
            <w:tcW w:w="0" w:type="dxa"/>
            <w:vAlign w:val="bottom"/>
          </w:tcPr>
          <w:p>
            <w:pPr>
              <w:spacing w:after="0"/>
              <w:rPr>
                <w:sz w:val="1"/>
                <w:szCs w:val="1"/>
                <w:color w:val="auto"/>
              </w:rPr>
            </w:pPr>
          </w:p>
        </w:tc>
      </w:tr>
      <w:tr>
        <w:trPr>
          <w:trHeight w:val="21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2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3"/>
          <w:szCs w:val="13"/>
          <w:color w:val="auto"/>
        </w:rPr>
      </w:pPr>
      <w:r>
        <w:rPr>
          <w:rFonts w:ascii="Arial" w:cs="Arial" w:eastAsia="Arial" w:hAnsi="Arial"/>
          <w:sz w:val="14"/>
          <w:szCs w:val="14"/>
          <w:color w:val="auto"/>
        </w:rPr>
        <w:t>Includes PIK interest, net of reorganization and restructuring of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rollforward of Level 3 assets measured at fair value as of 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349,570,424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368,016,276</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Amortization of fixed income premiums or accretion of discounts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9,238,509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9,238,509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250,483,677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253,371,695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(103,716,096)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(2,874,028)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(106,590,124)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(6,629,169)</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14,579,615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18,902,410</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1,336,268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501,964,657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60" w:type="dxa"/>
            <w:vAlign w:val="bottom"/>
            <w:gridSpan w:val="2"/>
            <w:vMerge w:val="continue"/>
          </w:tcPr>
          <w:p>
            <w:pPr>
              <w:spacing w:after="0"/>
              <w:rPr>
                <w:sz w:val="13"/>
                <w:szCs w:val="1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4,526,472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9,932,673</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14,473,124</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investments still held as of December 31, 2020</w:t>
            </w: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75"/>
        </w:numPr>
        <w:rPr>
          <w:rFonts w:ascii="Arial" w:cs="Arial" w:eastAsia="Arial" w:hAnsi="Arial"/>
          <w:sz w:val="27"/>
          <w:szCs w:val="27"/>
          <w:color w:val="auto"/>
          <w:vertAlign w:val="superscript"/>
        </w:rPr>
      </w:pPr>
      <w:r>
        <w:rPr>
          <w:rFonts w:ascii="Arial" w:cs="Arial" w:eastAsia="Arial" w:hAnsi="Arial"/>
          <w:sz w:val="14"/>
          <w:szCs w:val="14"/>
          <w:color w:val="auto"/>
        </w:rPr>
        <w:t>Includes PIK interest, net of reorganization and restructuring of investments</w:t>
      </w:r>
      <w:r>
        <w:rPr>
          <w:rFonts w:ascii="Arial" w:cs="Arial" w:eastAsia="Arial" w:hAnsi="Arial"/>
          <w:sz w:val="17"/>
          <w:szCs w:val="17"/>
          <w:color w:val="auto"/>
        </w:rPr>
        <w: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594,793,670</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6.2% - 71.2% (12.9%)</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 - 100.1% (11.8%)</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28,259,976</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16.3% - 25.0% (20.8%)</w:t>
            </w: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Second Lien Term Loans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Discounted Cash Flow</w:t>
            </w: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12,872,588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 - 12.2% (12.2%)</w:t>
            </w: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13,132,780</w:t>
            </w: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0.1% - 1.2% (0.5%)</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- 75.0% (39.6%)</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0.5 - 5.7 (2.0 yrs)</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0.00x - 13.46x (6.16x)</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6,954,770</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30.0% - 46.0% (36.0%)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2.94x - 123.71x (9.53x)</w:t>
            </w:r>
          </w:p>
        </w:tc>
        <w:tc>
          <w:tcPr>
            <w:tcW w:w="0" w:type="dxa"/>
            <w:vAlign w:val="bottom"/>
          </w:tcPr>
          <w:p>
            <w:pPr>
              <w:spacing w:after="0"/>
              <w:rPr>
                <w:sz w:val="1"/>
                <w:szCs w:val="1"/>
                <w:color w:val="auto"/>
              </w:rPr>
            </w:pPr>
          </w:p>
        </w:tc>
      </w:tr>
      <w:tr>
        <w:trPr>
          <w:trHeight w:val="209"/>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657,346,204</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8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Risk-free interest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0.1%-0.8% (0.1%)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0.3-9.2 (1.5) years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48" w:lineRule="auto"/>
        <w:tabs>
          <w:tab w:leader="none" w:pos="6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72" w:lineRule="exact"/>
        <w:rPr>
          <w:rFonts w:ascii="Arial" w:cs="Arial" w:eastAsia="Arial" w:hAnsi="Arial"/>
          <w:sz w:val="13"/>
          <w:szCs w:val="13"/>
          <w:color w:val="auto"/>
        </w:rPr>
      </w:pPr>
    </w:p>
    <w:p>
      <w:pPr>
        <w:jc w:val="both"/>
        <w:ind w:left="660" w:hanging="328"/>
        <w:spacing w:after="0" w:line="247" w:lineRule="auto"/>
        <w:tabs>
          <w:tab w:leader="none" w:pos="6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years ended December 31, 2021 and December 31, 2020.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year ended December 31, 2021, the Company had realized losses of $824,936 and a net change in unrealized appreciation of $2,795,307 from its investments in warrants. For the year ended December 31, 2020, the Company had realized gains of $1,175,229 and a net change in unrealized appreciation of $14,161,969 from its investments in warrants. For the year ended December 31, 2019, the Company had realized gains of $228,171 and a net change in unrealized (depreciation) of $(609,169) from its investments in warrants. Realized gains from warrants is included in Realized gain (loss) on non-control/non-affiliate investments, including U.S. Treasury Bills on the Statement of Operations. The net change in unrealized appreciation (depreciation) from warrants is included in Net change in unrealized appreciation (depreciation) on non-control/non-affiliate investments, including U.S. Treasury Bills, except for $216,610, $358,682,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 respectively for the years ended December 31, 2021, December 31, 2020 and December 31, 2019, included in Net change in unrealized appreciation on control/affiliate investments.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Borrowings</w:t>
      </w:r>
    </w:p>
    <w:p>
      <w:pPr>
        <w:spacing w:after="0" w:line="22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of 1933, as amended (the “Securities Act”)) in a private placement. The 2026 Senior Notes were issued in two closings. The initial issuance of $20 million 2026 Senior Notes closed on December 10, 2021 and the second and final issuance of $50 million closed on February 10, 2022. See “—Subsequent Events.”</w:t>
      </w:r>
    </w:p>
    <w:p>
      <w:pPr>
        <w:spacing w:after="0" w:line="16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outstanding and future unsecured unsubordinated indebtedness issued by the Company.</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$380,606 which were capitalized and deferred. As of December 31, 2021, unamortized deferred debt costs related to the 2026 Senior Notes were $376,029 and were included in the Total debt, less unamortized deferred debt costs on the Consolidated Statements of Assets and Liabilities.</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the year ended December 31, 2021, the components of interest expense and related fees for the 2026 Senior Notes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Year Ended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December 31,</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26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51,944</w:t>
            </w: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debt costs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amortization of deferred debt costs</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56,521</w:t>
            </w:r>
          </w:p>
        </w:tc>
        <w:tc>
          <w:tcPr>
            <w:tcW w:w="2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cost of debt</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jc w:val="right"/>
              <w:ind w:right="24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0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w:t>
            </w: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10, 2020, Company entered into an amendment (the “Credit Facility Amendment”) to the Credit Agreement.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 2021, the Company further amended the fee letter (the “Second Amended and Restated Fee Letter”) to amend the first payment date of the minimum earnings fee, which will be payable annually starting on May 31, 2022. Under the Second Amended and Restated Fee Letter,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status and regulated-investment-company status; nonpayment; misrepresentation of representations and warranties; breach of covenant; and certain bankruptcy and liquidation events.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Prior to termination on May 31, 2019, the current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was based on unused capital commitments. Borrowings under the Credit Facilities bore interest, at the Company’s election at the time of drawdown, at a rate per annum equal to</w:t>
      </w:r>
    </w:p>
    <w:p>
      <w:pPr>
        <w:spacing w:after="0" w:line="1" w:lineRule="exact"/>
        <w:rPr>
          <w:sz w:val="20"/>
          <w:szCs w:val="20"/>
          <w:color w:val="auto"/>
        </w:rPr>
      </w:pPr>
    </w:p>
    <w:p>
      <w:pPr>
        <w:ind w:firstLine="8"/>
        <w:spacing w:after="0" w:line="260" w:lineRule="auto"/>
        <w:tabs>
          <w:tab w:leader="none" w:pos="2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LIBOR rate loans, the LIBOR rate for the applicable interest period plus 2.50% or (ii) in the case of prime rate loans, CIBC’s prime commercial rate at the time of the borrowing minus 0.50%.</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For the years ended December 31, 2021 and December 31, 2020, the weighted average outstanding debt balance was $71,435,616 and $27,900,273, respectively, and the weighted average effective interest rate was 3.54% and 3.54%, respectively.</w:t>
      </w:r>
    </w:p>
    <w:p>
      <w:pPr>
        <w:spacing w:after="0" w:line="14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the years ended December 31, 2021, December 31, 2020, and December 31, 2019 the components of interest expense and related fees for the KeyBank Credit Agreement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986,727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debt costs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1,201,816</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684,586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560,877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amortization of deferred debt costs</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3,694,010</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1,671,313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1,370,015</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cost of debt</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1"/>
        </w:trPr>
        <w:tc>
          <w:tcPr>
            <w:tcW w:w="50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the Company had $61,000,000 outstanding under the Credit Agreement and $20,000,000 of 2026 Senior Notes outstanding under the Note Purchase Agreement, each with maturities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Due Date</w:t>
            </w:r>
          </w:p>
        </w:tc>
        <w:tc>
          <w:tcPr>
            <w:tcW w:w="140" w:type="dxa"/>
            <w:vAlign w:val="bottom"/>
          </w:tcPr>
          <w:p>
            <w:pPr>
              <w:spacing w:after="0"/>
              <w:rPr>
                <w:sz w:val="14"/>
                <w:szCs w:val="14"/>
                <w:color w:val="auto"/>
              </w:rPr>
            </w:pP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5/31/2024</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$ 61,000,000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1"/>
              </w:rPr>
              <w:t>3.50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Series 2021A Senior Notes due 2026</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12/10/2021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12/10/2026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4.25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$ 81,000,000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2020, the Company had $99,000,000 outstanding under the Credit Agreement with a maturity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1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Due Date</w:t>
            </w:r>
          </w:p>
        </w:tc>
        <w:tc>
          <w:tcPr>
            <w:tcW w:w="9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116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vMerge w:val="restart"/>
          </w:tcPr>
          <w:p>
            <w:pPr>
              <w:jc w:val="right"/>
              <w:ind w:right="65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Information about the Company’s senior securities is shown in the following table for the fiscal years ended December 31, 2021, 2020, 2019 and 2018. No senior securities were outstanding for the fiscal years ended December 31, 2017 and prior.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Total 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Involuntary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Liquidating</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Exclusive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Coverage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Preference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Class and Period</w:t>
            </w:r>
          </w:p>
        </w:tc>
        <w:tc>
          <w:tcPr>
            <w:tcW w:w="280" w:type="dxa"/>
            <w:vAlign w:val="bottom"/>
          </w:tcPr>
          <w:p>
            <w:pPr>
              <w:spacing w:after="0"/>
              <w:rPr>
                <w:sz w:val="20"/>
                <w:szCs w:val="20"/>
                <w:color w:val="auto"/>
              </w:rPr>
            </w:pPr>
          </w:p>
        </w:tc>
        <w:tc>
          <w:tcPr>
            <w:tcW w:w="1660" w:type="dxa"/>
            <w:vAlign w:val="bottom"/>
          </w:tcPr>
          <w:p>
            <w:pPr>
              <w:jc w:val="right"/>
              <w:spacing w:after="0" w:line="235" w:lineRule="exact"/>
              <w:rPr>
                <w:sz w:val="20"/>
                <w:szCs w:val="20"/>
                <w:color w:val="auto"/>
              </w:rPr>
            </w:pPr>
            <w:r>
              <w:rPr>
                <w:rFonts w:ascii="Arial" w:cs="Arial" w:eastAsia="Arial" w:hAnsi="Arial"/>
                <w:sz w:val="18"/>
                <w:szCs w:val="18"/>
                <w:b w:val="1"/>
                <w:bCs w:val="1"/>
                <w:color w:val="auto"/>
                <w:w w:val="87"/>
              </w:rPr>
              <w:t>Treasury Securities</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0"/>
                <w:szCs w:val="20"/>
                <w:color w:val="auto"/>
              </w:rPr>
            </w:pPr>
          </w:p>
        </w:tc>
        <w:tc>
          <w:tcPr>
            <w:tcW w:w="1160" w:type="dxa"/>
            <w:vAlign w:val="bottom"/>
            <w:gridSpan w:val="3"/>
          </w:tcPr>
          <w:p>
            <w:pPr>
              <w:jc w:val="center"/>
              <w:ind w:right="200"/>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(2)</w:t>
            </w:r>
          </w:p>
        </w:tc>
        <w:tc>
          <w:tcPr>
            <w:tcW w:w="1180" w:type="dxa"/>
            <w:vAlign w:val="bottom"/>
            <w:gridSpan w:val="2"/>
          </w:tcPr>
          <w:p>
            <w:pPr>
              <w:jc w:val="center"/>
              <w:ind w:right="200"/>
              <w:spacing w:after="0" w:line="235" w:lineRule="exact"/>
              <w:rPr>
                <w:sz w:val="20"/>
                <w:szCs w:val="20"/>
                <w:color w:val="auto"/>
              </w:rPr>
            </w:pPr>
            <w:r>
              <w:rPr>
                <w:rFonts w:ascii="Arial" w:cs="Arial" w:eastAsia="Arial" w:hAnsi="Arial"/>
                <w:sz w:val="18"/>
                <w:szCs w:val="18"/>
                <w:b w:val="1"/>
                <w:bCs w:val="1"/>
                <w:color w:val="auto"/>
                <w:w w:val="91"/>
              </w:rPr>
              <w:t>per Unit</w:t>
            </w:r>
            <w:r>
              <w:rPr>
                <w:rFonts w:ascii="Arial" w:cs="Arial" w:eastAsia="Arial" w:hAnsi="Arial"/>
                <w:sz w:val="26"/>
                <w:szCs w:val="26"/>
                <w:b w:val="1"/>
                <w:bCs w:val="1"/>
                <w:color w:val="auto"/>
                <w:w w:val="91"/>
                <w:vertAlign w:val="superscript"/>
              </w:rPr>
              <w:t>(3)</w:t>
            </w:r>
          </w:p>
        </w:tc>
        <w:tc>
          <w:tcPr>
            <w:tcW w:w="980" w:type="dxa"/>
            <w:vAlign w:val="bottom"/>
          </w:tcPr>
          <w:p>
            <w:pPr>
              <w:jc w:val="center"/>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(4)</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2026 Senior Notes</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Credit Agreement</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Credit Facilities</w:t>
            </w:r>
            <w:r>
              <w:rPr>
                <w:rFonts w:ascii="Arial" w:cs="Arial" w:eastAsia="Arial" w:hAnsi="Arial"/>
                <w:sz w:val="25"/>
                <w:szCs w:val="25"/>
                <w:b w:val="1"/>
                <w:bCs w:val="1"/>
                <w:color w:val="auto"/>
                <w:vertAlign w:val="superscript"/>
              </w:rPr>
              <w:t>(5)</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7"/>
          <w:szCs w:val="27"/>
          <w:color w:val="auto"/>
          <w:vertAlign w:val="superscript"/>
        </w:rPr>
      </w:pPr>
      <w:r>
        <w:rPr>
          <w:rFonts w:ascii="Arial" w:cs="Arial" w:eastAsia="Arial" w:hAnsi="Arial"/>
          <w:sz w:val="14"/>
          <w:szCs w:val="14"/>
          <w:color w:val="auto"/>
        </w:rPr>
        <w:t>Total amount of each class of senior securities outstanding at the end of the period presented</w:t>
      </w:r>
      <w:r>
        <w:rPr>
          <w:rFonts w:ascii="Arial" w:cs="Arial" w:eastAsia="Arial" w:hAnsi="Arial"/>
          <w:sz w:val="17"/>
          <w:szCs w:val="17"/>
          <w:color w:val="auto"/>
        </w:rPr>
        <w:t>.</w:t>
      </w:r>
    </w:p>
    <w:p>
      <w:pPr>
        <w:spacing w:after="0" w:line="125" w:lineRule="exact"/>
        <w:rPr>
          <w:rFonts w:ascii="Arial" w:cs="Arial" w:eastAsia="Arial" w:hAnsi="Arial"/>
          <w:sz w:val="27"/>
          <w:szCs w:val="27"/>
          <w:color w:val="auto"/>
          <w:vertAlign w:val="superscript"/>
        </w:rPr>
      </w:pPr>
    </w:p>
    <w:p>
      <w:pPr>
        <w:jc w:val="both"/>
        <w:ind w:left="660" w:hanging="328"/>
        <w:spacing w:after="0" w:line="197" w:lineRule="auto"/>
        <w:tabs>
          <w:tab w:leader="none" w:pos="66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A</w:t>
      </w:r>
      <w:r>
        <w:rPr>
          <w:rFonts w:ascii="Arial" w:cs="Arial" w:eastAsia="Arial" w:hAnsi="Arial"/>
          <w:sz w:val="14"/>
          <w:szCs w:val="14"/>
          <w:color w:val="auto"/>
        </w:rPr>
        <w:t>sset coverage per unit is the ratio of the carrying value of total assets, less all liabilities excluding indebtedness represented by senior securities in this table to</w:t>
      </w:r>
      <w:r>
        <w:rPr>
          <w:rFonts w:ascii="Arial" w:cs="Arial" w:eastAsia="Arial" w:hAnsi="Arial"/>
          <w:sz w:val="18"/>
          <w:szCs w:val="18"/>
          <w:color w:val="auto"/>
        </w:rPr>
        <w:t xml:space="preserve"> </w:t>
      </w:r>
      <w:r>
        <w:rPr>
          <w:rFonts w:ascii="Arial" w:cs="Arial" w:eastAsia="Arial" w:hAnsi="Arial"/>
          <w:sz w:val="14"/>
          <w:szCs w:val="14"/>
          <w:color w:val="auto"/>
        </w:rPr>
        <w:t>the aggregate amount of senior securities representing indebtedness. Asset coverage per unit is express in terms of dollar amounts per $1,000 of indebtedness and is calculated on a consolidated basis.</w:t>
      </w:r>
    </w:p>
    <w:p>
      <w:pPr>
        <w:spacing w:after="0" w:line="74" w:lineRule="exact"/>
        <w:rPr>
          <w:rFonts w:ascii="Arial" w:cs="Arial" w:eastAsia="Arial" w:hAnsi="Arial"/>
          <w:sz w:val="22"/>
          <w:szCs w:val="22"/>
          <w:color w:val="auto"/>
          <w:vertAlign w:val="superscript"/>
        </w:rPr>
      </w:pPr>
    </w:p>
    <w:p>
      <w:pPr>
        <w:ind w:left="660" w:hanging="328"/>
        <w:spacing w:after="0" w:line="253" w:lineRule="auto"/>
        <w:tabs>
          <w:tab w:leader="none" w:pos="660" w:val="left"/>
        </w:tabs>
        <w:numPr>
          <w:ilvl w:val="0"/>
          <w:numId w:val="78"/>
        </w:numPr>
        <w:rPr>
          <w:rFonts w:ascii="Arial" w:cs="Arial" w:eastAsia="Arial" w:hAnsi="Arial"/>
          <w:sz w:val="11"/>
          <w:szCs w:val="11"/>
          <w:color w:val="auto"/>
        </w:rPr>
      </w:pPr>
      <w:r>
        <w:rPr>
          <w:rFonts w:ascii="Arial" w:cs="Arial" w:eastAsia="Arial" w:hAnsi="Arial"/>
          <w:sz w:val="14"/>
          <w:szCs w:val="14"/>
          <w:color w:val="auto"/>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78"/>
        </w:numPr>
        <w:rPr>
          <w:rFonts w:ascii="Arial" w:cs="Arial" w:eastAsia="Arial" w:hAnsi="Arial"/>
          <w:sz w:val="11"/>
          <w:szCs w:val="11"/>
          <w:color w:val="auto"/>
        </w:rPr>
      </w:pPr>
      <w:r>
        <w:rPr>
          <w:rFonts w:ascii="Arial" w:cs="Arial" w:eastAsia="Arial" w:hAnsi="Arial"/>
          <w:sz w:val="14"/>
          <w:szCs w:val="14"/>
          <w:color w:val="auto"/>
        </w:rPr>
        <w:t>Not applicable because the senior securities are not registered for public trading.</w:t>
      </w:r>
    </w:p>
    <w:p>
      <w:pPr>
        <w:spacing w:after="0" w:line="95" w:lineRule="exact"/>
        <w:rPr>
          <w:rFonts w:ascii="Arial" w:cs="Arial" w:eastAsia="Arial" w:hAnsi="Arial"/>
          <w:sz w:val="11"/>
          <w:szCs w:val="11"/>
          <w:color w:val="auto"/>
        </w:rPr>
      </w:pPr>
    </w:p>
    <w:p>
      <w:pPr>
        <w:ind w:left="660" w:hanging="328"/>
        <w:spacing w:after="0" w:line="272" w:lineRule="auto"/>
        <w:tabs>
          <w:tab w:leader="none" w:pos="660" w:val="left"/>
        </w:tabs>
        <w:numPr>
          <w:ilvl w:val="0"/>
          <w:numId w:val="78"/>
        </w:numPr>
        <w:rPr>
          <w:rFonts w:ascii="Arial" w:cs="Arial" w:eastAsia="Arial" w:hAnsi="Arial"/>
          <w:sz w:val="13"/>
          <w:szCs w:val="13"/>
          <w:color w:val="auto"/>
        </w:rPr>
      </w:pPr>
      <w:r>
        <w:rPr>
          <w:rFonts w:ascii="Arial" w:cs="Arial" w:eastAsia="Arial" w:hAnsi="Arial"/>
          <w:sz w:val="14"/>
          <w:szCs w:val="14"/>
          <w:color w:val="auto"/>
        </w:rPr>
        <w:t>On June 22, 2018, the Company entered into the Credit Facilities with CIBC. On May 31, 2019, in conjunction with securing and entering into the new Credit Agreement, the Company terminated the Credit Facilities</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rPr>
              <w:t>Net asset value at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beginning of period</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14.58</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15.14</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14.66</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10.38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investment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income</w:t>
            </w:r>
            <w:r>
              <w:rPr>
                <w:rFonts w:ascii="Arial" w:cs="Arial" w:eastAsia="Arial" w:hAnsi="Arial"/>
                <w:sz w:val="25"/>
                <w:szCs w:val="25"/>
                <w:color w:val="auto"/>
                <w:vertAlign w:val="superscript"/>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7"/>
                <w:szCs w:val="17"/>
                <w:color w:val="auto"/>
              </w:rPr>
              <w:t>Realized gain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Change in unrealized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appreciation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rPr>
              <w:t>Issuance of common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Dividends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7"/>
                <w:szCs w:val="17"/>
                <w:color w:val="auto"/>
              </w:rPr>
              <w:t>Offering costs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line="165" w:lineRule="exact"/>
              <w:rPr>
                <w:sz w:val="20"/>
                <w:szCs w:val="20"/>
                <w:color w:val="auto"/>
              </w:rPr>
            </w:pPr>
            <w:r>
              <w:rPr>
                <w:rFonts w:ascii="Arial" w:cs="Arial" w:eastAsia="Arial" w:hAnsi="Arial"/>
                <w:sz w:val="17"/>
                <w:szCs w:val="17"/>
                <w:color w:val="auto"/>
                <w:w w:val="95"/>
              </w:rPr>
              <w:t>Net asset value at end</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14.65</w:t>
            </w:r>
          </w:p>
        </w:tc>
        <w:tc>
          <w:tcPr>
            <w:tcW w:w="180" w:type="dxa"/>
            <w:vAlign w:val="bottom"/>
          </w:tcPr>
          <w:p>
            <w:pPr>
              <w:spacing w:after="0"/>
              <w:rPr>
                <w:sz w:val="14"/>
                <w:szCs w:val="1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14.84</w:t>
            </w:r>
          </w:p>
        </w:tc>
        <w:tc>
          <w:tcPr>
            <w:tcW w:w="200" w:type="dxa"/>
            <w:vAlign w:val="bottom"/>
          </w:tcPr>
          <w:p>
            <w:pPr>
              <w:spacing w:after="0"/>
              <w:rPr>
                <w:sz w:val="14"/>
                <w:szCs w:val="1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14.58</w:t>
            </w:r>
          </w:p>
        </w:tc>
        <w:tc>
          <w:tcPr>
            <w:tcW w:w="200" w:type="dxa"/>
            <w:vAlign w:val="bottom"/>
          </w:tcPr>
          <w:p>
            <w:pPr>
              <w:spacing w:after="0"/>
              <w:rPr>
                <w:sz w:val="14"/>
                <w:szCs w:val="14"/>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15.14</w:t>
            </w:r>
          </w:p>
        </w:tc>
        <w:tc>
          <w:tcPr>
            <w:tcW w:w="200" w:type="dxa"/>
            <w:vAlign w:val="bottom"/>
          </w:tcPr>
          <w:p>
            <w:pPr>
              <w:spacing w:after="0"/>
              <w:rPr>
                <w:sz w:val="14"/>
                <w:szCs w:val="1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14.66</w:t>
            </w:r>
          </w:p>
        </w:tc>
        <w:tc>
          <w:tcPr>
            <w:tcW w:w="16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10.38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1640" w:type="dxa"/>
            <w:vAlign w:val="bottom"/>
          </w:tcPr>
          <w:p>
            <w:pPr>
              <w:spacing w:after="0"/>
              <w:rPr>
                <w:sz w:val="20"/>
                <w:szCs w:val="20"/>
                <w:color w:val="auto"/>
              </w:rPr>
            </w:pPr>
            <w:r>
              <w:rPr>
                <w:rFonts w:ascii="Arial" w:cs="Arial" w:eastAsia="Arial" w:hAnsi="Arial"/>
                <w:sz w:val="17"/>
                <w:szCs w:val="17"/>
                <w:color w:val="auto"/>
              </w:rPr>
              <w:t>of period</w:t>
            </w:r>
          </w:p>
        </w:tc>
        <w:tc>
          <w:tcPr>
            <w:tcW w:w="14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6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6"/>
                <w:szCs w:val="16"/>
                <w:color w:val="auto"/>
              </w:rPr>
              <w:t>Total return based on</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net asset value</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1.79 %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3.27 %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41.23 %</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(30.80)%</w:t>
            </w: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rPr>
              <w:t>Weighted-average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7"/>
                <w:szCs w:val="17"/>
                <w:color w:val="auto"/>
                <w:w w:val="96"/>
              </w:rPr>
              <w:t>shares outstanding for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period, 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34,183,358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27,617,425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18,701,021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9,300,960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2,795,274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Ratio/Supplemental</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Data: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rPr>
              <w:t>Net assets at end of</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period</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606,194,491</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466,243,685</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376,313,221</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167,369,395</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127,040,377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3,476,672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40" w:type="dxa"/>
            <w:vAlign w:val="bottom"/>
            <w:shd w:val="clear" w:color="auto" w:fill="CCEEFF"/>
          </w:tcPr>
          <w:p>
            <w:pPr>
              <w:spacing w:after="0" w:line="207"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508,835,560</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403,188,386</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283,773,605</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141,046,177</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40,388,772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w w:val="99"/>
              </w:rPr>
              <w:t>Ratio of net operating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7"/>
                <w:szCs w:val="17"/>
                <w:color w:val="auto"/>
                <w:w w:val="86"/>
              </w:rPr>
              <w:t>expenses to average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line="220" w:lineRule="exact"/>
              <w:rPr>
                <w:sz w:val="20"/>
                <w:szCs w:val="20"/>
                <w:color w:val="auto"/>
              </w:rPr>
            </w:pPr>
            <w:r>
              <w:rPr>
                <w:rFonts w:ascii="Arial" w:cs="Arial" w:eastAsia="Arial" w:hAnsi="Arial"/>
                <w:sz w:val="17"/>
                <w:szCs w:val="17"/>
                <w:color w:val="auto"/>
              </w:rPr>
              <w:t>assets</w:t>
            </w:r>
            <w:r>
              <w:rPr>
                <w:rFonts w:ascii="Arial" w:cs="Arial" w:eastAsia="Arial" w:hAnsi="Arial"/>
                <w:sz w:val="25"/>
                <w:szCs w:val="25"/>
                <w:color w:val="auto"/>
                <w:vertAlign w:val="superscript"/>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5.28 %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4.84 %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6.58 %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6.42 %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12.46 %</w:t>
            </w: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595.90 %</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Ratio of net increase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w w:val="89"/>
              </w:rPr>
              <w:t>(decrease) in net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resulting from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w w:val="98"/>
              </w:rPr>
              <w:t>operations to average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net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8.97 %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11.62 %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9.74 %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8.34 %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(3.56)%</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(595.90)%</w:t>
            </w:r>
          </w:p>
        </w:tc>
        <w:tc>
          <w:tcPr>
            <w:tcW w:w="0" w:type="dxa"/>
            <w:vAlign w:val="bottom"/>
          </w:tcPr>
          <w:p>
            <w:pPr>
              <w:spacing w:after="0"/>
              <w:rPr>
                <w:sz w:val="1"/>
                <w:szCs w:val="1"/>
                <w:color w:val="auto"/>
              </w:rPr>
            </w:pPr>
          </w:p>
        </w:tc>
      </w:tr>
      <w:tr>
        <w:trPr>
          <w:trHeight w:val="185"/>
        </w:trPr>
        <w:tc>
          <w:tcPr>
            <w:tcW w:w="1640" w:type="dxa"/>
            <w:vAlign w:val="bottom"/>
          </w:tcPr>
          <w:p>
            <w:pPr>
              <w:spacing w:after="0" w:line="185" w:lineRule="exact"/>
              <w:rPr>
                <w:sz w:val="20"/>
                <w:szCs w:val="20"/>
                <w:color w:val="auto"/>
              </w:rPr>
            </w:pPr>
            <w:r>
              <w:rPr>
                <w:rFonts w:ascii="Arial" w:cs="Arial" w:eastAsia="Arial" w:hAnsi="Arial"/>
                <w:sz w:val="17"/>
                <w:szCs w:val="17"/>
                <w:color w:val="auto"/>
              </w:rPr>
              <w:t>Portfolio turnover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1640" w:type="dxa"/>
            <w:vAlign w:val="bottom"/>
          </w:tcPr>
          <w:p>
            <w:pPr>
              <w:spacing w:after="0"/>
              <w:rPr>
                <w:sz w:val="20"/>
                <w:szCs w:val="20"/>
                <w:color w:val="auto"/>
              </w:rPr>
            </w:pPr>
            <w:r>
              <w:rPr>
                <w:rFonts w:ascii="Arial" w:cs="Arial" w:eastAsia="Arial" w:hAnsi="Arial"/>
                <w:sz w:val="17"/>
                <w:szCs w:val="17"/>
                <w:color w:val="auto"/>
              </w:rPr>
              <w:t>rate</w:t>
            </w:r>
            <w:r>
              <w:rPr>
                <w:rFonts w:ascii="Arial" w:cs="Arial" w:eastAsia="Arial" w:hAnsi="Arial"/>
                <w:sz w:val="25"/>
                <w:szCs w:val="25"/>
                <w:color w:val="auto"/>
                <w:vertAlign w:val="superscript"/>
              </w:rPr>
              <w:t>(7)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49.61 %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25.14 %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32.99 %</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11.66 %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227.09 %</w:t>
            </w:r>
          </w:p>
        </w:tc>
        <w:tc>
          <w:tcPr>
            <w:tcW w:w="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5684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49"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Financial highlights are based on weighted-average shares outstanding.</w:t>
      </w:r>
    </w:p>
    <w:p>
      <w:pPr>
        <w:spacing w:after="0" w:line="95" w:lineRule="exact"/>
        <w:rPr>
          <w:rFonts w:ascii="Arial" w:cs="Arial" w:eastAsia="Arial" w:hAnsi="Arial"/>
          <w:sz w:val="13"/>
          <w:szCs w:val="13"/>
          <w:color w:val="auto"/>
        </w:rPr>
      </w:pPr>
    </w:p>
    <w:p>
      <w:pPr>
        <w:ind w:left="660" w:hanging="328"/>
        <w:spacing w:after="0"/>
        <w:tabs>
          <w:tab w:leader="none" w:pos="660" w:val="left"/>
        </w:tabs>
        <w:numPr>
          <w:ilvl w:val="0"/>
          <w:numId w:val="79"/>
        </w:numPr>
        <w:rPr>
          <w:rFonts w:ascii="Arial" w:cs="Arial" w:eastAsia="Arial" w:hAnsi="Arial"/>
          <w:sz w:val="11"/>
          <w:szCs w:val="11"/>
          <w:color w:val="auto"/>
        </w:rPr>
      </w:pPr>
      <w:r>
        <w:rPr>
          <w:rFonts w:ascii="Arial" w:cs="Arial" w:eastAsia="Arial" w:hAnsi="Arial"/>
          <w:sz w:val="12"/>
          <w:szCs w:val="12"/>
          <w:color w:val="auto"/>
        </w:rPr>
        <w:t>Total return based on net asset value is based upon the change in net asset value per share between the opening and ending net asset values per share in the year.</w:t>
      </w:r>
    </w:p>
    <w:p>
      <w:pPr>
        <w:spacing w:after="0" w:line="118"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Return from investment operations was 8.76%, 9.47%, 12.88%, 8.59%, (6.36)% and (30.80)% for the years ended December 31, 2021, 2020, 2019, 2018, 2017, and 2016, respectively. Return from investment operations represents returns on net investment income from operations.</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Return from accretion (dilution) was 0.00%, (0.06)%, 0.88%, (0.07)%, 46.24%, and 0.00% for the years ended December 31, 2021, 2020, 2019, 2018, 2017, and 2016,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Ratio of net investment income to average net assets was 8.74%, 9.47%, 12.88%, 8.30%, (4.56)%, and (595.90)% for the years ended December 31, 2021, 2020, 2019, 2018, 2017, and 2016, respectively.</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Ratio of net operating expenses excluding incentive fees, to average net assets was 3.47%, 3.04%, 3.64%, 5.42%, 12.46%, and 595.95% for the years ended December 31, 2021, 2020, 2019, 2018,2017, and 2016, respectively.</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The portfolio turnover rate for the years ended December 31, 2021, 2020, 2019, 2018 and 2017 equals the lesser of investment portfolio purchases or sales during the period, divided by the average investment portfolio value during the period. As such, portfolio turnover rate is not annualized.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Selected Quarterly Financial Data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16,422,773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18,745,602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18,610,066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17,580,014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4,941,041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7,405,125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7,868,942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6,651,659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11,481,732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11,340,477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10,928,355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(199,223)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(4,595,853)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8,249,132</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change in unrealized appreciation (depreciation) on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(1,911,181)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(1,228,382)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9,371,328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6,711,343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10,231,052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19,304,987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Increase in net assets resulting from operations per share</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341"/>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14,820,857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11,801,054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16,788,669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5,177,270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3,927,213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4,693,143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5,758,960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9,643,587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7,873,841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11,029,709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(6,717,262)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203,854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23,293</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change in unrealized appreciation (depreciation) on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(1,179,081)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5,496,594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9,696,337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1,747,244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13,574,289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10,909,028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20,749,339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Increase in net assets resulting from operations per share</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14.25</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14.84</w:t>
            </w:r>
          </w:p>
        </w:tc>
      </w:tr>
    </w:tbl>
    <w:p>
      <w:pPr>
        <w:spacing w:after="0"/>
        <w:rPr>
          <w:sz w:val="20"/>
          <w:szCs w:val="20"/>
          <w:color w:val="auto"/>
        </w:rPr>
      </w:pPr>
      <w:r>
        <w:rPr>
          <w:rFonts w:ascii="Arial" w:cs="Arial" w:eastAsia="Arial" w:hAnsi="Arial"/>
          <w:sz w:val="18"/>
          <w:szCs w:val="18"/>
          <w:b w:val="1"/>
          <w:bCs w:val="1"/>
          <w:color w:val="auto"/>
        </w:rPr>
        <w:t>Note 13 — Subsequent Events</w:t>
      </w: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evaluated events subsequent to December 31, 2021 through March 3, 2022, the date the financial statements were issued.</w:t>
      </w:r>
    </w:p>
    <w:p>
      <w:pPr>
        <w:spacing w:after="0" w:line="170" w:lineRule="exact"/>
        <w:rPr>
          <w:sz w:val="20"/>
          <w:szCs w:val="20"/>
          <w:color w:val="auto"/>
        </w:rPr>
      </w:pPr>
    </w:p>
    <w:p>
      <w:pPr>
        <w:jc w:val="both"/>
        <w:ind w:left="80" w:firstLine="259"/>
        <w:spacing w:after="0" w:line="263" w:lineRule="auto"/>
        <w:rPr>
          <w:sz w:val="20"/>
          <w:szCs w:val="20"/>
          <w:color w:val="auto"/>
        </w:rPr>
      </w:pPr>
      <w:r>
        <w:rPr>
          <w:rFonts w:ascii="Arial" w:cs="Arial" w:eastAsia="Arial" w:hAnsi="Arial"/>
          <w:sz w:val="18"/>
          <w:szCs w:val="18"/>
          <w:color w:val="auto"/>
        </w:rPr>
        <w:t>On February 9, 2022, in conjunction with its sale to Johnson &amp; Johnson, CrossRoads Extremity Systems, LLC prepaid its outstanding principal balance of $7,562,722 on the senior secured loan. In addition, the Company received cash proceeds of $805,188 in consideration of its warrants, interest, and fees for total proceeds $8,367,910</w:t>
      </w:r>
    </w:p>
    <w:p>
      <w:pPr>
        <w:spacing w:after="0" w:line="18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On February 10, 2022, the Company issued the remaining $50 million 2026 Senior Notes pursuant to the Note Purchase Agreement. The initial issuance of $20 million 2026 Senior Notes closed on December 10, 2021. The 2026 Senior Notes bear an interest rate of 4.25% per year and are due on December 10, 2026, unless redeemed, purchased, or prepaid prior to such date by the Company or its affiliates in accordance with their terms. Interest on the 2026 Senior Notes will be due semiannually. For more information, see “Note 10 — Borrowings.”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24, 2022, the Board of Directors declared a distribution of $0.27 per share for stockholders of record on March 8, 2022 payable on or before March 22, 2022.</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February 24, 2022, the Board of Directors approved a repurchase program (the “Repurchase Program”) under which the Company may repurchase up to $25 million of our outstanding common stock . Under the Repurchase Program, purchases may be made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2022, the Company funded an investment of $3,000,000 to Intellisite Holdings, Inc. (dba Epic IO Technologies,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Management conducted an evaluation of the effectiveness of the Company’s internal control over financial reporting as of December 31, 2021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concluded that the Company’s internal control over financial reporting as of December 31, 2021 was effective.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an exemption for emerging growth companies under the JOBS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year ended December 31, 2021 that have materially affected, or are reasonably likely to materially affect, our internal control over financial reporting.</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table is being provided to update as of December 31, 2021, certain information in our registration statement on Form N-2 (File No. 333-262146). The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Annual Report on Form 10-K contains a reference to fees or expenses paid by “you,” “us,” or “the Company,” or that “we” will pay for expenses, stockholders will indirectly bear such fees or expenses as investors in 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20" w:hanging="328"/>
        <w:spacing w:after="0" w:line="253" w:lineRule="auto"/>
        <w:tabs>
          <w:tab w:leader="none" w:pos="660" w:val="left"/>
        </w:tabs>
        <w:numPr>
          <w:ilvl w:val="0"/>
          <w:numId w:val="81"/>
        </w:numPr>
        <w:rPr>
          <w:rFonts w:ascii="Arial" w:cs="Arial" w:eastAsia="Arial" w:hAnsi="Arial"/>
          <w:sz w:val="13"/>
          <w:szCs w:val="13"/>
          <w:color w:val="auto"/>
        </w:rPr>
      </w:pPr>
      <w:r>
        <w:rPr>
          <w:rFonts w:ascii="Arial" w:cs="Arial" w:eastAsia="Arial" w:hAnsi="Arial"/>
          <w:sz w:val="14"/>
          <w:szCs w:val="14"/>
          <w:color w:val="auto"/>
        </w:rPr>
        <w:t>In the event that the securities are sold to or through underwriters, a related prospectus will disclose the applicable sales load (underwriting discount or commission).</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81"/>
        </w:numPr>
        <w:rPr>
          <w:rFonts w:ascii="Arial" w:cs="Arial" w:eastAsia="Arial" w:hAnsi="Arial"/>
          <w:sz w:val="13"/>
          <w:szCs w:val="13"/>
          <w:color w:val="auto"/>
        </w:rPr>
      </w:pPr>
      <w:r>
        <w:rPr>
          <w:rFonts w:ascii="Arial" w:cs="Arial" w:eastAsia="Arial" w:hAnsi="Arial"/>
          <w:sz w:val="14"/>
          <w:szCs w:val="14"/>
          <w:color w:val="auto"/>
        </w:rPr>
        <w:t>A related prospectus will disclose the estimated amount of offering expenses, the offering price and the estimated amount of offering expenses borne by the Company as a percentage of the offering price.</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81"/>
        </w:numPr>
        <w:rPr>
          <w:rFonts w:ascii="Arial" w:cs="Arial" w:eastAsia="Arial" w:hAnsi="Arial"/>
          <w:sz w:val="13"/>
          <w:szCs w:val="13"/>
          <w:color w:val="auto"/>
        </w:rPr>
      </w:pPr>
      <w:r>
        <w:rPr>
          <w:rFonts w:ascii="Arial" w:cs="Arial" w:eastAsia="Arial" w:hAnsi="Arial"/>
          <w:sz w:val="14"/>
          <w:szCs w:val="14"/>
          <w:color w:val="auto"/>
        </w:rPr>
        <w:t xml:space="preserve">The expenses of the dividend reinvestment plan are included in “other expenses” in the table above. For additional information, see </w:t>
      </w:r>
      <w:r>
        <w:rPr>
          <w:rFonts w:ascii="Arial" w:cs="Arial" w:eastAsia="Arial" w:hAnsi="Arial"/>
          <w:sz w:val="14"/>
          <w:szCs w:val="14"/>
          <w:i w:val="1"/>
          <w:iCs w:val="1"/>
          <w:color w:val="auto"/>
        </w:rPr>
        <w:t>“Dividend</w:t>
      </w:r>
      <w:r>
        <w:rPr>
          <w:rFonts w:ascii="Arial" w:cs="Arial" w:eastAsia="Arial" w:hAnsi="Arial"/>
          <w:sz w:val="14"/>
          <w:szCs w:val="14"/>
          <w:color w:val="auto"/>
        </w:rPr>
        <w:t xml:space="preserve"> </w:t>
      </w:r>
      <w:r>
        <w:rPr>
          <w:rFonts w:ascii="Arial" w:cs="Arial" w:eastAsia="Arial" w:hAnsi="Arial"/>
          <w:sz w:val="14"/>
          <w:szCs w:val="14"/>
          <w:i w:val="1"/>
          <w:iCs w:val="1"/>
          <w:color w:val="auto"/>
        </w:rPr>
        <w:t>Reinvestment Plan.”</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81"/>
        </w:numPr>
        <w:rPr>
          <w:rFonts w:ascii="Arial" w:cs="Arial" w:eastAsia="Arial" w:hAnsi="Arial"/>
          <w:sz w:val="13"/>
          <w:szCs w:val="13"/>
          <w:color w:val="auto"/>
        </w:rPr>
      </w:pPr>
      <w:r>
        <w:rPr>
          <w:rFonts w:ascii="Arial" w:cs="Arial" w:eastAsia="Arial" w:hAnsi="Arial"/>
          <w:sz w:val="14"/>
          <w:szCs w:val="14"/>
          <w:color w:val="auto"/>
        </w:rPr>
        <w:t xml:space="preserve">Assumes the base management fee will be an amount equal to 0.40% (1.60% annualized) of our average daily Gross Assets during the most recently completed calendar quarter. See </w:t>
      </w:r>
      <w:r>
        <w:rPr>
          <w:rFonts w:ascii="Arial" w:cs="Arial" w:eastAsia="Arial" w:hAnsi="Arial"/>
          <w:sz w:val="14"/>
          <w:szCs w:val="14"/>
          <w:i w:val="1"/>
          <w:iCs w:val="1"/>
          <w:color w:val="auto"/>
        </w:rPr>
        <w:t>“Management and Other Agreements - Compensation of Adviser.”</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81"/>
        </w:numPr>
        <w:rPr>
          <w:rFonts w:ascii="Arial" w:cs="Arial" w:eastAsia="Arial" w:hAnsi="Arial"/>
          <w:sz w:val="13"/>
          <w:szCs w:val="13"/>
          <w:color w:val="auto"/>
        </w:rPr>
      </w:pPr>
      <w:r>
        <w:rPr>
          <w:rFonts w:ascii="Arial" w:cs="Arial" w:eastAsia="Arial" w:hAnsi="Arial"/>
          <w:sz w:val="14"/>
          <w:szCs w:val="14"/>
          <w:color w:val="auto"/>
        </w:rPr>
        <w:t>The incentive fee, which provides RGC with a share of the income that RGC generates for us, consists of an Investment Income Fee and a Capital Gains Fee.</w:t>
      </w:r>
    </w:p>
    <w:p>
      <w:pPr>
        <w:spacing w:after="0" w:line="218" w:lineRule="exact"/>
        <w:rPr>
          <w:sz w:val="20"/>
          <w:szCs w:val="20"/>
          <w:color w:val="auto"/>
        </w:rPr>
      </w:pPr>
    </w:p>
    <w:p>
      <w:pPr>
        <w:jc w:val="both"/>
        <w:ind w:left="660" w:right="20" w:firstLine="405"/>
        <w:spacing w:after="0" w:line="267" w:lineRule="auto"/>
        <w:rPr>
          <w:sz w:val="20"/>
          <w:szCs w:val="20"/>
          <w:color w:val="auto"/>
        </w:rPr>
      </w:pPr>
      <w:r>
        <w:rPr>
          <w:rFonts w:ascii="Arial" w:cs="Arial" w:eastAsia="Arial" w:hAnsi="Arial"/>
          <w:sz w:val="17"/>
          <w:szCs w:val="17"/>
          <w:color w:val="auto"/>
        </w:rPr>
        <w:t>Under the Income Incentive Fee, we pay RGC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RGC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RGC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RGC (once the hurdle is reached and the catch-up is achieved, 20.0% of all Pre-Incentive Fee net investment income thereafter is allocated to RGC).</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firstLine="401"/>
        <w:spacing w:after="0" w:line="257" w:lineRule="auto"/>
        <w:rPr>
          <w:sz w:val="20"/>
          <w:szCs w:val="20"/>
          <w:color w:val="auto"/>
        </w:rPr>
      </w:pPr>
      <w:r>
        <w:rPr>
          <w:rFonts w:ascii="Arial" w:cs="Arial" w:eastAsia="Arial" w:hAnsi="Arial"/>
          <w:sz w:val="18"/>
          <w:szCs w:val="18"/>
          <w:color w:val="auto"/>
        </w:rPr>
        <w:t>Under the Capital Gains Fee, we will pay RGC,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“Management and Other Agreements - Compensation of Adviser.”</w:t>
      </w:r>
    </w:p>
    <w:p>
      <w:pPr>
        <w:spacing w:after="0" w:line="188" w:lineRule="exact"/>
        <w:rPr>
          <w:sz w:val="20"/>
          <w:szCs w:val="20"/>
          <w:color w:val="auto"/>
        </w:rPr>
      </w:pPr>
    </w:p>
    <w:p>
      <w:pPr>
        <w:jc w:val="both"/>
        <w:ind w:left="660" w:hanging="328"/>
        <w:spacing w:after="0" w:line="233" w:lineRule="auto"/>
        <w:tabs>
          <w:tab w:leader="none" w:pos="660" w:val="left"/>
        </w:tabs>
        <w:numPr>
          <w:ilvl w:val="0"/>
          <w:numId w:val="82"/>
        </w:numPr>
        <w:rPr>
          <w:rFonts w:ascii="Arial" w:cs="Arial" w:eastAsia="Arial" w:hAnsi="Arial"/>
          <w:sz w:val="26"/>
          <w:szCs w:val="26"/>
          <w:color w:val="auto"/>
          <w:vertAlign w:val="superscript"/>
        </w:rPr>
      </w:pPr>
      <w:r>
        <w:rPr>
          <w:rFonts w:ascii="Arial" w:cs="Arial" w:eastAsia="Arial" w:hAnsi="Arial"/>
          <w:sz w:val="18"/>
          <w:szCs w:val="18"/>
          <w:color w:val="auto"/>
        </w:rPr>
        <w:t>Interest payments on borrowed funds represents an estimate of our annualized interest expense based on borrowings under the Credit Agreement. The assumed weighted average interest rate on our total debt outstanding was 3.5%. We may borrow additional funds from time to time to make investments to the extent we determine that the economic situation is conducive to doing so. We may also issue debt securities or preferred stock, subject to our compliance with applicable requirements under the 1940 Act.</w:t>
      </w:r>
    </w:p>
    <w:p>
      <w:pPr>
        <w:spacing w:after="0" w:line="201" w:lineRule="exact"/>
        <w:rPr>
          <w:rFonts w:ascii="Arial" w:cs="Arial" w:eastAsia="Arial" w:hAnsi="Arial"/>
          <w:sz w:val="26"/>
          <w:szCs w:val="26"/>
          <w:color w:val="auto"/>
          <w:vertAlign w:val="superscript"/>
        </w:rPr>
      </w:pPr>
    </w:p>
    <w:p>
      <w:pPr>
        <w:jc w:val="both"/>
        <w:ind w:left="660" w:hanging="328"/>
        <w:spacing w:after="0" w:line="222" w:lineRule="auto"/>
        <w:tabs>
          <w:tab w:leader="none" w:pos="660" w:val="left"/>
        </w:tabs>
        <w:numPr>
          <w:ilvl w:val="0"/>
          <w:numId w:val="82"/>
        </w:numPr>
        <w:rPr>
          <w:rFonts w:ascii="Arial" w:cs="Arial" w:eastAsia="Arial" w:hAnsi="Arial"/>
          <w:sz w:val="26"/>
          <w:szCs w:val="26"/>
          <w:color w:val="auto"/>
          <w:vertAlign w:val="superscript"/>
        </w:rPr>
      </w:pPr>
      <w:r>
        <w:rPr>
          <w:rFonts w:ascii="Arial" w:cs="Arial" w:eastAsia="Arial" w:hAnsi="Arial"/>
          <w:sz w:val="18"/>
          <w:szCs w:val="18"/>
          <w:color w:val="auto"/>
        </w:rPr>
        <w:t xml:space="preserve">Includes our overhead expenses, such as payments under the Administration Agreement for certain expenses incurred by the Adviser. See </w:t>
      </w:r>
      <w:r>
        <w:rPr>
          <w:rFonts w:ascii="Arial" w:cs="Arial" w:eastAsia="Arial" w:hAnsi="Arial"/>
          <w:sz w:val="18"/>
          <w:szCs w:val="18"/>
          <w:i w:val="1"/>
          <w:iCs w:val="1"/>
          <w:color w:val="auto"/>
        </w:rPr>
        <w:t>“Management and Other Agreements - Investment Advisory Agreement; Administration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License Agreement.” </w:t>
      </w:r>
      <w:r>
        <w:rPr>
          <w:rFonts w:ascii="Arial" w:cs="Arial" w:eastAsia="Arial" w:hAnsi="Arial"/>
          <w:sz w:val="18"/>
          <w:szCs w:val="18"/>
          <w:color w:val="auto"/>
        </w:rPr>
        <w:t>We based these expenses on estimated amounts for the current fiscal year.</w:t>
      </w:r>
    </w:p>
    <w:p>
      <w:pPr>
        <w:spacing w:after="0" w:line="135" w:lineRule="exact"/>
        <w:rPr>
          <w:rFonts w:ascii="Arial" w:cs="Arial" w:eastAsia="Arial" w:hAnsi="Arial"/>
          <w:sz w:val="26"/>
          <w:szCs w:val="26"/>
          <w:color w:val="auto"/>
          <w:vertAlign w:val="superscript"/>
        </w:rPr>
      </w:pPr>
    </w:p>
    <w:p>
      <w:pPr>
        <w:ind w:left="660" w:hanging="328"/>
        <w:spacing w:after="0"/>
        <w:tabs>
          <w:tab w:leader="none" w:pos="660" w:val="left"/>
        </w:tabs>
        <w:numPr>
          <w:ilvl w:val="0"/>
          <w:numId w:val="82"/>
        </w:numPr>
        <w:rPr>
          <w:rFonts w:ascii="Arial" w:cs="Arial" w:eastAsia="Arial" w:hAnsi="Arial"/>
          <w:sz w:val="26"/>
          <w:szCs w:val="26"/>
          <w:color w:val="auto"/>
          <w:vertAlign w:val="superscript"/>
        </w:rPr>
      </w:pPr>
      <w:r>
        <w:rPr>
          <w:rFonts w:ascii="Arial" w:cs="Arial" w:eastAsia="Arial" w:hAnsi="Arial"/>
          <w:sz w:val="18"/>
          <w:szCs w:val="18"/>
          <w:color w:val="auto"/>
        </w:rPr>
        <w:t>Estimated.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 Year</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3 Years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5 Years</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10 Years</w:t>
            </w:r>
          </w:p>
        </w:tc>
      </w:tr>
      <w:tr>
        <w:trPr>
          <w:trHeight w:val="182"/>
        </w:trPr>
        <w:tc>
          <w:tcPr>
            <w:tcW w:w="4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You would pay the following expenses on a $1,000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2"/>
              </w:rPr>
              <w:t>investment, assuming a 5% annual return from realized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bl>
    <w:p>
      <w:pPr>
        <w:spacing w:after="0" w:line="25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7"/>
          <w:szCs w:val="17"/>
          <w:color w:val="auto"/>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Arial" w:cs="Arial" w:eastAsia="Arial" w:hAnsi="Arial"/>
          <w:sz w:val="17"/>
          <w:szCs w:val="17"/>
          <w:i w:val="1"/>
          <w:iCs w:val="1"/>
          <w:color w:val="auto"/>
        </w:rPr>
        <w:t>“Item 1. Business—Dividend Reinvestment Plan”</w:t>
      </w:r>
      <w:r>
        <w:rPr>
          <w:rFonts w:ascii="Arial" w:cs="Arial" w:eastAsia="Arial" w:hAnsi="Arial"/>
          <w:sz w:val="17"/>
          <w:szCs w:val="17"/>
          <w:color w:val="auto"/>
        </w:rPr>
        <w:t xml:space="preserve"> for additional information regarding our dividend reinvestment plan.</w:t>
      </w:r>
    </w:p>
    <w:p>
      <w:pPr>
        <w:spacing w:after="0" w:line="180" w:lineRule="exact"/>
        <w:rPr>
          <w:sz w:val="20"/>
          <w:szCs w:val="20"/>
          <w:color w:val="auto"/>
        </w:rPr>
      </w:pPr>
    </w:p>
    <w:p>
      <w:pPr>
        <w:jc w:val="both"/>
        <w:ind w:firstLine="363"/>
        <w:spacing w:after="0" w:line="312"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r>
        <w:rPr>
          <w:rFonts w:ascii="Arial" w:cs="Arial" w:eastAsia="Arial" w:hAnsi="Arial"/>
          <w:sz w:val="17"/>
          <w:szCs w:val="17"/>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https://runwaygrowth.com/wp-content/uploads/2020/02/Runway-Growth-Credit-Fund-SOX-Code-of-Business-Conduct-and-Ethics-March-2018.pdf.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3" w:name="page144"/>
    <w:bookmarkEnd w:id="143"/>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(a)Financial Statements</w:t>
      </w:r>
    </w:p>
    <w:p>
      <w:pPr>
        <w:spacing w:after="0" w:line="229" w:lineRule="exact"/>
        <w:rPr>
          <w:sz w:val="20"/>
          <w:szCs w:val="20"/>
          <w:color w:val="auto"/>
        </w:rPr>
      </w:pPr>
    </w:p>
    <w:p>
      <w:pPr>
        <w:ind w:left="800" w:hanging="448"/>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Statements — Refer to Part II, Item 8 of this Form 10-K, which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2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Report of Independent Registered Public Accounting Firm</w:t>
              </w:r>
            </w:hyperlink>
          </w:p>
        </w:tc>
        <w:tc>
          <w:tcPr>
            <w:tcW w:w="4780" w:type="dxa"/>
            <w:vAlign w:val="bottom"/>
            <w:tcBorders>
              <w:bottom w:val="single" w:sz="8" w:color="CCEEFF"/>
            </w:tcBorders>
            <w:gridSpan w:val="6"/>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40" w:type="dxa"/>
            <w:vAlign w:val="bottom"/>
          </w:tcPr>
          <w:p>
            <w:pPr>
              <w:spacing w:after="0"/>
              <w:rPr>
                <w:sz w:val="21"/>
                <w:szCs w:val="21"/>
                <w:color w:val="auto"/>
              </w:rPr>
            </w:pPr>
          </w:p>
        </w:tc>
        <w:tc>
          <w:tcPr>
            <w:tcW w:w="900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Statements of Assets and Liabilities as of December 31, 2021 and 2020</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48"/>
        </w:trPr>
        <w:tc>
          <w:tcPr>
            <w:tcW w:w="4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90"/>
        </w:trPr>
        <w:tc>
          <w:tcPr>
            <w:tcW w:w="40" w:type="dxa"/>
            <w:vAlign w:val="bottom"/>
            <w:tcBorders>
              <w:bottom w:val="single" w:sz="8" w:color="CCEEFF"/>
            </w:tcBorders>
            <w:shd w:val="clear" w:color="auto" w:fill="CCEEFF"/>
          </w:tcPr>
          <w:p>
            <w:pPr>
              <w:spacing w:after="0"/>
              <w:rPr>
                <w:sz w:val="24"/>
                <w:szCs w:val="24"/>
                <w:color w:val="auto"/>
              </w:rPr>
            </w:pPr>
          </w:p>
        </w:tc>
        <w:tc>
          <w:tcPr>
            <w:tcW w:w="58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Statements of Operations for the years ended December 31, 2021, 2020 and 2019</w:t>
              </w:r>
            </w:hyperlink>
          </w:p>
        </w:tc>
        <w:tc>
          <w:tcPr>
            <w:tcW w:w="3140" w:type="dxa"/>
            <w:vAlign w:val="bottom"/>
            <w:tcBorders>
              <w:bottom w:val="single" w:sz="8" w:color="CCEEFF"/>
            </w:tcBorders>
            <w:gridSpan w:val="3"/>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w:t>
            </w:r>
          </w:p>
        </w:tc>
      </w:tr>
      <w:tr>
        <w:trPr>
          <w:trHeight w:val="216"/>
        </w:trPr>
        <w:tc>
          <w:tcPr>
            <w:tcW w:w="40" w:type="dxa"/>
            <w:vAlign w:val="bottom"/>
          </w:tcPr>
          <w:p>
            <w:pPr>
              <w:spacing w:after="0"/>
              <w:rPr>
                <w:sz w:val="18"/>
                <w:szCs w:val="18"/>
                <w:color w:val="auto"/>
              </w:rPr>
            </w:pPr>
          </w:p>
        </w:tc>
        <w:tc>
          <w:tcPr>
            <w:tcW w:w="9000" w:type="dxa"/>
            <w:vAlign w:val="bottom"/>
            <w:gridSpan w:val="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Statements of Changes in Net Assets for the years ended December 31, 2021, 2020 and 2019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34"/>
        </w:trPr>
        <w:tc>
          <w:tcPr>
            <w:tcW w:w="40" w:type="dxa"/>
            <w:vAlign w:val="bottom"/>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9000" w:type="dxa"/>
            <w:vAlign w:val="bottom"/>
            <w:gridSpan w:val="8"/>
            <w:shd w:val="clear" w:color="auto" w:fill="CCEEFF"/>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Statements of Cash Flows for the years ended December 31, 2021, 2020 and 2019</w:t>
              </w:r>
            </w:hyperlink>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w:t>
            </w:r>
          </w:p>
        </w:tc>
      </w:tr>
      <w:tr>
        <w:trPr>
          <w:trHeight w:val="243"/>
        </w:trPr>
        <w:tc>
          <w:tcPr>
            <w:tcW w:w="40" w:type="dxa"/>
            <w:vAlign w:val="bottom"/>
            <w:tcBorders>
              <w:top w:val="single" w:sz="8" w:color="CCEEFF"/>
            </w:tcBorders>
          </w:tcPr>
          <w:p>
            <w:pPr>
              <w:spacing w:after="0"/>
              <w:rPr>
                <w:sz w:val="21"/>
                <w:szCs w:val="21"/>
                <w:color w:val="auto"/>
              </w:rPr>
            </w:pPr>
          </w:p>
        </w:tc>
        <w:tc>
          <w:tcPr>
            <w:tcW w:w="5900" w:type="dxa"/>
            <w:vAlign w:val="bottom"/>
            <w:tcBorders>
              <w:top w:val="single" w:sz="8" w:color="0000EE"/>
            </w:tcBorders>
            <w:gridSpan w:val="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Schedules of Investments as of December 31, 2021 and 2020</w:t>
              </w:r>
            </w:hyperlink>
          </w:p>
        </w:tc>
        <w:tc>
          <w:tcPr>
            <w:tcW w:w="3100" w:type="dxa"/>
            <w:vAlign w:val="bottom"/>
            <w:tcBorders>
              <w:top w:val="single" w:sz="8" w:color="CCEEFF"/>
            </w:tcBorders>
            <w:gridSpan w:val="2"/>
          </w:tcPr>
          <w:p>
            <w:pPr>
              <w:spacing w:after="0"/>
              <w:rPr>
                <w:sz w:val="21"/>
                <w:szCs w:val="21"/>
                <w:color w:val="auto"/>
              </w:rPr>
            </w:pPr>
          </w:p>
        </w:tc>
        <w:tc>
          <w:tcPr>
            <w:tcW w:w="9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96</w:t>
            </w:r>
          </w:p>
        </w:tc>
      </w:tr>
      <w:tr>
        <w:trPr>
          <w:trHeight w:val="48"/>
        </w:trPr>
        <w:tc>
          <w:tcPr>
            <w:tcW w:w="4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40" w:type="dxa"/>
            <w:vAlign w:val="bottom"/>
            <w:shd w:val="clear" w:color="auto" w:fill="CCEEFF"/>
          </w:tcPr>
          <w:p>
            <w:pPr>
              <w:spacing w:after="0"/>
              <w:rPr>
                <w:sz w:val="21"/>
                <w:szCs w:val="21"/>
                <w:color w:val="auto"/>
              </w:rPr>
            </w:pPr>
          </w:p>
        </w:tc>
        <w:tc>
          <w:tcPr>
            <w:tcW w:w="9000" w:type="dxa"/>
            <w:vAlign w:val="bottom"/>
            <w:gridSpan w:val="8"/>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Notes to Financial Statements</w:t>
              </w:r>
            </w:hyperlink>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113</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357505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60" w:top="517" w:right="9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40" w:type="dxa"/>
            <w:vAlign w:val="bottom"/>
            <w:gridSpan w:val="28"/>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Borders>
              <w:top w:val="single" w:sz="8" w:color="auto"/>
              <w:bottom w:val="single" w:sz="8" w:color="auto"/>
            </w:tcBorders>
            <w:vMerge w:val="restart"/>
          </w:tcPr>
          <w:p>
            <w:pPr>
              <w:ind w:left="180"/>
              <w:spacing w:after="0" w:line="169"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tcBorders>
              <w:top w:val="single" w:sz="8" w:color="auto"/>
              <w:bottom w:val="single" w:sz="8" w:color="auto"/>
            </w:tcBorders>
            <w:gridSpan w:val="23"/>
            <w:vMerge w:val="restart"/>
          </w:tcPr>
          <w:p>
            <w:pPr>
              <w:spacing w:after="0" w:line="169"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Articles of Amendment and Restatement</w:t>
              </w:r>
            </w:hyperlink>
          </w:p>
        </w:tc>
        <w:tc>
          <w:tcPr>
            <w:tcW w:w="160" w:type="dxa"/>
            <w:vAlign w:val="bottom"/>
            <w:tcBorders>
              <w:top w:val="single" w:sz="8" w:color="auto"/>
              <w:bottom w:val="single" w:sz="8" w:color="0000EE"/>
            </w:tcBorders>
            <w:gridSpan w:val="3"/>
          </w:tcPr>
          <w:p>
            <w:pPr>
              <w:jc w:val="right"/>
              <w:spacing w:after="0" w:line="115" w:lineRule="exact"/>
              <w:rPr>
                <w:rFonts w:ascii="Arial" w:cs="Arial" w:eastAsia="Arial" w:hAnsi="Arial"/>
                <w:sz w:val="13"/>
                <w:szCs w:val="13"/>
                <w:color w:val="0000EE"/>
                <w:w w:val="87"/>
              </w:rPr>
            </w:pPr>
            <w:hyperlink r:id="rId176">
              <w:r>
                <w:rPr>
                  <w:rFonts w:ascii="Arial" w:cs="Arial" w:eastAsia="Arial" w:hAnsi="Arial"/>
                  <w:sz w:val="13"/>
                  <w:szCs w:val="13"/>
                  <w:color w:val="0000EE"/>
                  <w:w w:val="87"/>
                </w:rPr>
                <w:t>(1)</w:t>
              </w:r>
            </w:hyperlink>
          </w:p>
        </w:tc>
        <w:tc>
          <w:tcPr>
            <w:tcW w:w="30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40" w:type="dxa"/>
            <w:vAlign w:val="bottom"/>
            <w:tcBorders>
              <w:top w:val="single" w:sz="8" w:color="auto"/>
              <w:bottom w:val="single" w:sz="8" w:color="auto"/>
            </w:tcBorders>
            <w:vMerge w:val="restart"/>
          </w:tcPr>
          <w:p>
            <w:pPr>
              <w:spacing w:after="0"/>
              <w:rPr>
                <w:sz w:val="11"/>
                <w:szCs w:val="11"/>
                <w:color w:val="auto"/>
              </w:rPr>
            </w:pPr>
          </w:p>
        </w:tc>
        <w:tc>
          <w:tcPr>
            <w:tcW w:w="220" w:type="dxa"/>
            <w:vAlign w:val="bottom"/>
            <w:tcBorders>
              <w:top w:val="single" w:sz="8" w:color="auto"/>
              <w:bottom w:val="single" w:sz="8" w:color="auto"/>
            </w:tcBorders>
            <w:vMerge w:val="restart"/>
          </w:tcPr>
          <w:p>
            <w:pPr>
              <w:spacing w:after="0"/>
              <w:rPr>
                <w:sz w:val="11"/>
                <w:szCs w:val="11"/>
                <w:color w:val="auto"/>
              </w:rPr>
            </w:pPr>
          </w:p>
        </w:tc>
        <w:tc>
          <w:tcPr>
            <w:tcW w:w="240" w:type="dxa"/>
            <w:vAlign w:val="bottom"/>
            <w:tcBorders>
              <w:top w:val="single" w:sz="8" w:color="auto"/>
              <w:bottom w:val="single" w:sz="8" w:color="auto"/>
            </w:tcBorders>
            <w:vMerge w:val="restart"/>
          </w:tcPr>
          <w:p>
            <w:pPr>
              <w:spacing w:after="0"/>
              <w:rPr>
                <w:sz w:val="11"/>
                <w:szCs w:val="11"/>
                <w:color w:val="auto"/>
              </w:rPr>
            </w:pPr>
          </w:p>
        </w:tc>
        <w:tc>
          <w:tcPr>
            <w:tcW w:w="24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vMerge w:val="restart"/>
          </w:tcPr>
          <w:p>
            <w:pPr>
              <w:spacing w:after="0"/>
              <w:rPr>
                <w:sz w:val="11"/>
                <w:szCs w:val="11"/>
                <w:color w:val="auto"/>
              </w:rPr>
            </w:pPr>
          </w:p>
        </w:tc>
        <w:tc>
          <w:tcPr>
            <w:tcW w:w="560" w:type="dxa"/>
            <w:vAlign w:val="bottom"/>
            <w:tcBorders>
              <w:top w:val="single" w:sz="8" w:color="auto"/>
              <w:bottom w:val="single" w:sz="8" w:color="auto"/>
            </w:tcBorders>
            <w:vMerge w:val="restart"/>
          </w:tcPr>
          <w:p>
            <w:pPr>
              <w:spacing w:after="0"/>
              <w:rPr>
                <w:sz w:val="11"/>
                <w:szCs w:val="11"/>
                <w:color w:val="auto"/>
              </w:rPr>
            </w:pPr>
          </w:p>
        </w:tc>
        <w:tc>
          <w:tcPr>
            <w:tcW w:w="160" w:type="dxa"/>
            <w:vAlign w:val="bottom"/>
            <w:tcBorders>
              <w:top w:val="single" w:sz="8" w:color="auto"/>
              <w:bottom w:val="single" w:sz="8" w:color="auto"/>
            </w:tcBorders>
            <w:vMerge w:val="restart"/>
          </w:tcPr>
          <w:p>
            <w:pPr>
              <w:spacing w:after="0"/>
              <w:rPr>
                <w:sz w:val="11"/>
                <w:szCs w:val="11"/>
                <w:color w:val="auto"/>
              </w:rPr>
            </w:pPr>
          </w:p>
        </w:tc>
        <w:tc>
          <w:tcPr>
            <w:tcW w:w="3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0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1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4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920" w:type="dxa"/>
            <w:vAlign w:val="bottom"/>
            <w:tcBorders>
              <w:bottom w:val="single" w:sz="8" w:color="0000EE"/>
            </w:tcBorders>
            <w:gridSpan w:val="2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700" w:type="dxa"/>
            <w:vAlign w:val="bottom"/>
            <w:gridSpan w:val="8"/>
            <w:vMerge w:val="restart"/>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Articles of Amendment</w:t>
              </w:r>
            </w:hyperlink>
          </w:p>
        </w:tc>
        <w:tc>
          <w:tcPr>
            <w:tcW w:w="220" w:type="dxa"/>
            <w:vAlign w:val="bottom"/>
            <w:tcBorders>
              <w:bottom w:val="single" w:sz="8" w:color="0000EE"/>
            </w:tcBorders>
            <w:gridSpan w:val="4"/>
          </w:tcPr>
          <w:p>
            <w:pPr>
              <w:jc w:val="right"/>
              <w:spacing w:after="0"/>
              <w:rPr>
                <w:rFonts w:ascii="Arial" w:cs="Arial" w:eastAsia="Arial" w:hAnsi="Arial"/>
                <w:sz w:val="13"/>
                <w:szCs w:val="13"/>
                <w:color w:val="0000EE"/>
                <w:w w:val="86"/>
              </w:rPr>
            </w:pPr>
            <w:hyperlink r:id="rId177">
              <w:r>
                <w:rPr>
                  <w:rFonts w:ascii="Arial" w:cs="Arial" w:eastAsia="Arial" w:hAnsi="Arial"/>
                  <w:sz w:val="13"/>
                  <w:szCs w:val="13"/>
                  <w:color w:val="0000EE"/>
                  <w:w w:val="86"/>
                </w:rPr>
                <w:t>(15)</w:t>
              </w:r>
            </w:hyperlink>
          </w:p>
        </w:tc>
        <w:tc>
          <w:tcPr>
            <w:tcW w:w="100" w:type="dxa"/>
            <w:vAlign w:val="bottom"/>
            <w:vMerge w:val="restart"/>
          </w:tcPr>
          <w:p>
            <w:pPr>
              <w:spacing w:after="0"/>
              <w:rPr>
                <w:sz w:val="19"/>
                <w:szCs w:val="19"/>
                <w:color w:val="auto"/>
              </w:rPr>
            </w:pPr>
          </w:p>
        </w:tc>
        <w:tc>
          <w:tcPr>
            <w:tcW w:w="36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3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240" w:type="dxa"/>
            <w:vAlign w:val="bottom"/>
            <w:vMerge w:val="restart"/>
          </w:tcPr>
          <w:p>
            <w:pPr>
              <w:spacing w:after="0"/>
              <w:rPr>
                <w:sz w:val="19"/>
                <w:szCs w:val="19"/>
                <w:color w:val="auto"/>
              </w:rPr>
            </w:pPr>
          </w:p>
        </w:tc>
        <w:tc>
          <w:tcPr>
            <w:tcW w:w="24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0000EE"/>
            </w:tcBorders>
            <w:gridSpan w:val="8"/>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2860" w:type="dxa"/>
            <w:vAlign w:val="bottom"/>
            <w:gridSpan w:val="23"/>
            <w:vMerge w:val="restart"/>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Second Amended and Restated Bylaws</w:t>
              </w:r>
            </w:hyperlink>
          </w:p>
        </w:tc>
        <w:tc>
          <w:tcPr>
            <w:tcW w:w="200" w:type="dxa"/>
            <w:vAlign w:val="bottom"/>
            <w:tcBorders>
              <w:bottom w:val="single" w:sz="8" w:color="0000EE"/>
            </w:tcBorders>
            <w:gridSpan w:val="3"/>
          </w:tcPr>
          <w:p>
            <w:pPr>
              <w:jc w:val="right"/>
              <w:spacing w:after="0"/>
              <w:rPr>
                <w:rFonts w:ascii="Arial" w:cs="Arial" w:eastAsia="Arial" w:hAnsi="Arial"/>
                <w:sz w:val="13"/>
                <w:szCs w:val="13"/>
                <w:color w:val="0000EE"/>
                <w:w w:val="77"/>
              </w:rPr>
            </w:pPr>
            <w:hyperlink r:id="rId178">
              <w:r>
                <w:rPr>
                  <w:rFonts w:ascii="Arial" w:cs="Arial" w:eastAsia="Arial" w:hAnsi="Arial"/>
                  <w:sz w:val="13"/>
                  <w:szCs w:val="13"/>
                  <w:color w:val="0000EE"/>
                  <w:w w:val="77"/>
                </w:rPr>
                <w:t>(15)</w:t>
              </w:r>
            </w:hyperlink>
          </w:p>
        </w:tc>
        <w:tc>
          <w:tcPr>
            <w:tcW w:w="3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24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Borders>
              <w:bottom w:val="single" w:sz="8" w:color="0000EE"/>
            </w:tcBorders>
            <w:gridSpan w:val="23"/>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2380" w:type="dxa"/>
            <w:vAlign w:val="bottom"/>
            <w:gridSpan w:val="14"/>
            <w:vMerge w:val="restart"/>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Form of Subscription Agreement</w:t>
              </w:r>
            </w:hyperlink>
          </w:p>
        </w:tc>
        <w:tc>
          <w:tcPr>
            <w:tcW w:w="160" w:type="dxa"/>
            <w:vAlign w:val="bottom"/>
            <w:tcBorders>
              <w:bottom w:val="single" w:sz="8" w:color="0000EE"/>
            </w:tcBorders>
          </w:tcPr>
          <w:p>
            <w:pPr>
              <w:jc w:val="right"/>
              <w:spacing w:after="0"/>
              <w:rPr>
                <w:rFonts w:ascii="Arial" w:cs="Arial" w:eastAsia="Arial" w:hAnsi="Arial"/>
                <w:sz w:val="13"/>
                <w:szCs w:val="13"/>
                <w:color w:val="0000EE"/>
                <w:w w:val="87"/>
              </w:rPr>
            </w:pPr>
            <w:hyperlink r:id="rId179">
              <w:r>
                <w:rPr>
                  <w:rFonts w:ascii="Arial" w:cs="Arial" w:eastAsia="Arial" w:hAnsi="Arial"/>
                  <w:sz w:val="13"/>
                  <w:szCs w:val="13"/>
                  <w:color w:val="0000EE"/>
                  <w:w w:val="87"/>
                </w:rPr>
                <w:t>(3)</w:t>
              </w:r>
            </w:hyperlink>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0" w:type="dxa"/>
            <w:vAlign w:val="bottom"/>
            <w:gridSpan w:val="3"/>
            <w:vMerge w:val="restart"/>
          </w:tcPr>
          <w:p>
            <w:pPr>
              <w:spacing w:after="0"/>
              <w:rPr>
                <w:sz w:val="20"/>
                <w:szCs w:val="20"/>
                <w:color w:val="auto"/>
              </w:rPr>
            </w:pPr>
          </w:p>
        </w:tc>
        <w:tc>
          <w:tcPr>
            <w:tcW w:w="40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24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bottom w:val="single" w:sz="8" w:color="0000EE"/>
            </w:tcBorders>
            <w:gridSpan w:val="1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800" w:type="dxa"/>
            <w:vAlign w:val="bottom"/>
            <w:gridSpan w:val="10"/>
            <w:vMerge w:val="restart"/>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Description of Securities</w:t>
              </w:r>
            </w:hyperlink>
          </w:p>
        </w:tc>
        <w:tc>
          <w:tcPr>
            <w:tcW w:w="220" w:type="dxa"/>
            <w:vAlign w:val="bottom"/>
            <w:tcBorders>
              <w:bottom w:val="single" w:sz="8" w:color="0000EE"/>
            </w:tcBorders>
            <w:gridSpan w:val="3"/>
          </w:tcPr>
          <w:p>
            <w:pPr>
              <w:jc w:val="right"/>
              <w:spacing w:after="0"/>
              <w:rPr>
                <w:rFonts w:ascii="Arial" w:cs="Arial" w:eastAsia="Arial" w:hAnsi="Arial"/>
                <w:sz w:val="13"/>
                <w:szCs w:val="13"/>
                <w:color w:val="0000EE"/>
                <w:w w:val="86"/>
              </w:rPr>
            </w:pPr>
            <w:hyperlink r:id="rId180">
              <w:r>
                <w:rPr>
                  <w:rFonts w:ascii="Arial" w:cs="Arial" w:eastAsia="Arial" w:hAnsi="Arial"/>
                  <w:sz w:val="13"/>
                  <w:szCs w:val="13"/>
                  <w:color w:val="0000EE"/>
                  <w:w w:val="86"/>
                </w:rPr>
                <w:t>(11)</w:t>
              </w:r>
            </w:hyperlink>
          </w:p>
        </w:tc>
        <w:tc>
          <w:tcPr>
            <w:tcW w:w="540" w:type="dxa"/>
            <w:vAlign w:val="bottom"/>
            <w:gridSpan w:val="3"/>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0" w:type="dxa"/>
            <w:vAlign w:val="bottom"/>
            <w:gridSpan w:val="3"/>
            <w:vMerge w:val="restart"/>
          </w:tcPr>
          <w:p>
            <w:pPr>
              <w:spacing w:after="0"/>
              <w:rPr>
                <w:sz w:val="20"/>
                <w:szCs w:val="20"/>
                <w:color w:val="auto"/>
              </w:rPr>
            </w:pPr>
          </w:p>
        </w:tc>
        <w:tc>
          <w:tcPr>
            <w:tcW w:w="40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24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0000EE"/>
            </w:tcBorders>
            <w:gridSpan w:val="10"/>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0"/>
                <w:szCs w:val="20"/>
                <w:color w:val="auto"/>
              </w:rPr>
            </w:pPr>
          </w:p>
        </w:tc>
        <w:tc>
          <w:tcPr>
            <w:tcW w:w="6600" w:type="dxa"/>
            <w:vAlign w:val="bottom"/>
            <w:gridSpan w:val="35"/>
            <w:vMerge w:val="restart"/>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Voting Proxy of OCM Growth Holdings, LLC in favor of Runway Growth Credit Fund Inc.</w:t>
              </w:r>
            </w:hyperlink>
          </w:p>
        </w:tc>
        <w:tc>
          <w:tcPr>
            <w:tcW w:w="160" w:type="dxa"/>
            <w:vAlign w:val="bottom"/>
            <w:tcBorders>
              <w:bottom w:val="single" w:sz="8" w:color="0000EE"/>
            </w:tcBorders>
            <w:gridSpan w:val="3"/>
          </w:tcPr>
          <w:p>
            <w:pPr>
              <w:jc w:val="right"/>
              <w:spacing w:after="0"/>
              <w:rPr>
                <w:rFonts w:ascii="Arial" w:cs="Arial" w:eastAsia="Arial" w:hAnsi="Arial"/>
                <w:sz w:val="13"/>
                <w:szCs w:val="13"/>
                <w:color w:val="0000EE"/>
                <w:w w:val="87"/>
              </w:rPr>
            </w:pPr>
            <w:hyperlink r:id="rId181">
              <w:r>
                <w:rPr>
                  <w:rFonts w:ascii="Arial" w:cs="Arial" w:eastAsia="Arial" w:hAnsi="Arial"/>
                  <w:sz w:val="13"/>
                  <w:szCs w:val="13"/>
                  <w:color w:val="0000EE"/>
                  <w:w w:val="87"/>
                </w:rPr>
                <w:t>(4)</w:t>
              </w:r>
            </w:hyperlink>
          </w:p>
        </w:tc>
        <w:tc>
          <w:tcPr>
            <w:tcW w:w="5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tcBorders>
              <w:bottom w:val="single" w:sz="8" w:color="0000EE"/>
            </w:tcBorders>
            <w:gridSpan w:val="3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1"/>
                <w:szCs w:val="21"/>
                <w:color w:val="auto"/>
              </w:rPr>
            </w:pPr>
          </w:p>
        </w:tc>
        <w:tc>
          <w:tcPr>
            <w:tcW w:w="8720" w:type="dxa"/>
            <w:vAlign w:val="bottom"/>
            <w:tcBorders>
              <w:bottom w:val="single" w:sz="8" w:color="0000EE"/>
            </w:tcBorders>
            <w:gridSpan w:val="55"/>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Second Amended and Restated Investment Advisory Agreement between Runway Growth Credit Fund Inc. and Runway</w:t>
              </w:r>
            </w:hyperlink>
          </w:p>
        </w:tc>
        <w:tc>
          <w:tcPr>
            <w:tcW w:w="1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28"/>
            <w:vMerge w:val="restart"/>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Growth Capital LLC, as the investment adviser</w:t>
              </w:r>
            </w:hyperlink>
          </w:p>
        </w:tc>
        <w:tc>
          <w:tcPr>
            <w:tcW w:w="160" w:type="dxa"/>
            <w:vAlign w:val="bottom"/>
            <w:tcBorders>
              <w:bottom w:val="single" w:sz="8" w:color="0000EE"/>
            </w:tcBorders>
            <w:gridSpan w:val="2"/>
          </w:tcPr>
          <w:p>
            <w:pPr>
              <w:jc w:val="right"/>
              <w:spacing w:after="0" w:line="142" w:lineRule="exact"/>
              <w:rPr>
                <w:rFonts w:ascii="Arial" w:cs="Arial" w:eastAsia="Arial" w:hAnsi="Arial"/>
                <w:sz w:val="13"/>
                <w:szCs w:val="13"/>
                <w:color w:val="0000EE"/>
                <w:w w:val="87"/>
              </w:rPr>
            </w:pPr>
            <w:hyperlink r:id="rId182">
              <w:r>
                <w:rPr>
                  <w:rFonts w:ascii="Arial" w:cs="Arial" w:eastAsia="Arial" w:hAnsi="Arial"/>
                  <w:sz w:val="13"/>
                  <w:szCs w:val="13"/>
                  <w:color w:val="0000EE"/>
                  <w:w w:val="87"/>
                </w:rPr>
                <w:t>(5)</w:t>
              </w:r>
            </w:hyperlink>
          </w:p>
        </w:tc>
        <w:tc>
          <w:tcPr>
            <w:tcW w:w="2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24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gridSpan w:val="3"/>
            <w:vMerge w:val="restart"/>
          </w:tcPr>
          <w:p>
            <w:pPr>
              <w:spacing w:after="0"/>
              <w:rPr>
                <w:sz w:val="13"/>
                <w:szCs w:val="13"/>
                <w:color w:val="auto"/>
              </w:rPr>
            </w:pPr>
          </w:p>
        </w:tc>
        <w:tc>
          <w:tcPr>
            <w:tcW w:w="640" w:type="dxa"/>
            <w:vAlign w:val="bottom"/>
            <w:gridSpan w:val="2"/>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Borders>
              <w:bottom w:val="single" w:sz="8" w:color="0000EE"/>
            </w:tcBorders>
            <w:gridSpan w:val="28"/>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8860" w:type="dxa"/>
            <w:vAlign w:val="bottom"/>
            <w:gridSpan w:val="60"/>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Amended and Restated Administration Agreement between Runway Growth Credit Fund Inc. and Runway Administrator</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tcBorders>
              <w:top w:val="single" w:sz="8" w:color="0000EE"/>
              <w:bottom w:val="single" w:sz="8" w:color="0000EE"/>
            </w:tcBorders>
            <w:gridSpan w:val="16"/>
            <w:vMerge w:val="restart"/>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Services, LLC, as the administrator</w:t>
              </w:r>
            </w:hyperlink>
          </w:p>
        </w:tc>
        <w:tc>
          <w:tcPr>
            <w:tcW w:w="260" w:type="dxa"/>
            <w:vAlign w:val="bottom"/>
            <w:tcBorders>
              <w:top w:val="single" w:sz="8" w:color="0000EE"/>
              <w:bottom w:val="single" w:sz="8" w:color="0000EE"/>
            </w:tcBorders>
            <w:gridSpan w:val="5"/>
          </w:tcPr>
          <w:p>
            <w:pPr>
              <w:jc w:val="right"/>
              <w:ind w:right="40"/>
              <w:spacing w:after="0" w:line="142" w:lineRule="exact"/>
              <w:rPr>
                <w:rFonts w:ascii="Arial" w:cs="Arial" w:eastAsia="Arial" w:hAnsi="Arial"/>
                <w:sz w:val="13"/>
                <w:szCs w:val="13"/>
                <w:color w:val="0000EE"/>
                <w:w w:val="86"/>
              </w:rPr>
            </w:pPr>
            <w:hyperlink r:id="rId183">
              <w:r>
                <w:rPr>
                  <w:rFonts w:ascii="Arial" w:cs="Arial" w:eastAsia="Arial" w:hAnsi="Arial"/>
                  <w:sz w:val="13"/>
                  <w:szCs w:val="13"/>
                  <w:color w:val="0000EE"/>
                  <w:w w:val="86"/>
                </w:rPr>
                <w:t>(14)</w:t>
              </w:r>
            </w:hyperlink>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3"/>
            <w:vMerge w:val="restart"/>
          </w:tcPr>
          <w:p>
            <w:pPr>
              <w:spacing w:after="0"/>
              <w:rPr>
                <w:sz w:val="13"/>
                <w:szCs w:val="13"/>
                <w:color w:val="auto"/>
              </w:rPr>
            </w:pPr>
          </w:p>
        </w:tc>
        <w:tc>
          <w:tcPr>
            <w:tcW w:w="780" w:type="dxa"/>
            <w:vAlign w:val="bottom"/>
            <w:tcBorders>
              <w:top w:val="single" w:sz="8" w:color="0000EE"/>
              <w:bottom w:val="single" w:sz="8" w:color="0000EE"/>
            </w:tcBorders>
            <w:gridSpan w:val="6"/>
            <w:vMerge w:val="restart"/>
          </w:tcPr>
          <w:p>
            <w:pPr>
              <w:spacing w:after="0"/>
              <w:rPr>
                <w:sz w:val="13"/>
                <w:szCs w:val="13"/>
                <w:color w:val="auto"/>
              </w:rPr>
            </w:pPr>
          </w:p>
        </w:tc>
        <w:tc>
          <w:tcPr>
            <w:tcW w:w="240" w:type="dxa"/>
            <w:vAlign w:val="bottom"/>
            <w:tcBorders>
              <w:top w:val="single" w:sz="8" w:color="0000EE"/>
              <w:bottom w:val="single" w:sz="8" w:color="0000EE"/>
            </w:tcBorders>
            <w:vMerge w:val="restart"/>
          </w:tcPr>
          <w:p>
            <w:pPr>
              <w:spacing w:after="0"/>
              <w:rPr>
                <w:sz w:val="13"/>
                <w:szCs w:val="13"/>
                <w:color w:val="auto"/>
              </w:rPr>
            </w:pPr>
          </w:p>
        </w:tc>
        <w:tc>
          <w:tcPr>
            <w:tcW w:w="24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640" w:type="dxa"/>
            <w:vAlign w:val="bottom"/>
            <w:tcBorders>
              <w:top w:val="single" w:sz="8" w:color="0000EE"/>
              <w:bottom w:val="single" w:sz="8" w:color="0000EE"/>
            </w:tcBorders>
            <w:gridSpan w:val="2"/>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3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Borders>
              <w:bottom w:val="single" w:sz="8" w:color="0000EE"/>
            </w:tcBorders>
            <w:gridSpan w:val="1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780" w:type="dxa"/>
            <w:vAlign w:val="bottom"/>
            <w:gridSpan w:val="6"/>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7320" w:type="dxa"/>
            <w:vAlign w:val="bottom"/>
            <w:gridSpan w:val="39"/>
            <w:vMerge w:val="restart"/>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Stockholder Agreement between Runway Growth Credit Fund Inc. and OCM Growth Holdings, LLC</w:t>
              </w:r>
            </w:hyperlink>
          </w:p>
        </w:tc>
        <w:tc>
          <w:tcPr>
            <w:tcW w:w="160" w:type="dxa"/>
            <w:vAlign w:val="bottom"/>
            <w:tcBorders>
              <w:bottom w:val="single" w:sz="8" w:color="0000EE"/>
            </w:tcBorders>
          </w:tcPr>
          <w:p>
            <w:pPr>
              <w:jc w:val="right"/>
              <w:spacing w:after="0"/>
              <w:rPr>
                <w:rFonts w:ascii="Arial" w:cs="Arial" w:eastAsia="Arial" w:hAnsi="Arial"/>
                <w:sz w:val="13"/>
                <w:szCs w:val="13"/>
                <w:color w:val="0000EE"/>
                <w:w w:val="87"/>
              </w:rPr>
            </w:pPr>
            <w:hyperlink r:id="rId184">
              <w:r>
                <w:rPr>
                  <w:rFonts w:ascii="Arial" w:cs="Arial" w:eastAsia="Arial" w:hAnsi="Arial"/>
                  <w:sz w:val="13"/>
                  <w:szCs w:val="13"/>
                  <w:color w:val="0000EE"/>
                  <w:w w:val="87"/>
                </w:rPr>
                <w:t>(1)</w:t>
              </w:r>
            </w:hyperlink>
          </w:p>
        </w:tc>
        <w:tc>
          <w:tcPr>
            <w:tcW w:w="3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gridSpan w:val="2"/>
            <w:vMerge w:val="restart"/>
          </w:tcPr>
          <w:p>
            <w:pPr>
              <w:spacing w:after="0"/>
              <w:rPr>
                <w:sz w:val="17"/>
                <w:szCs w:val="17"/>
                <w:color w:val="auto"/>
              </w:rPr>
            </w:pPr>
          </w:p>
        </w:tc>
        <w:tc>
          <w:tcPr>
            <w:tcW w:w="8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tcBorders>
              <w:bottom w:val="single" w:sz="8" w:color="0000EE"/>
            </w:tcBorders>
            <w:gridSpan w:val="39"/>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8460" w:type="dxa"/>
            <w:vAlign w:val="bottom"/>
            <w:gridSpan w:val="50"/>
            <w:vMerge w:val="restart"/>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Custody Agreement between Runway Growth Credit Fund Inc. and U.S. Bank National Association, as the custodian</w:t>
              </w:r>
            </w:hyperlink>
          </w:p>
        </w:tc>
        <w:tc>
          <w:tcPr>
            <w:tcW w:w="160" w:type="dxa"/>
            <w:vAlign w:val="bottom"/>
            <w:tcBorders>
              <w:bottom w:val="single" w:sz="8" w:color="0000EE"/>
            </w:tcBorders>
            <w:gridSpan w:val="2"/>
          </w:tcPr>
          <w:p>
            <w:pPr>
              <w:spacing w:after="0"/>
              <w:rPr>
                <w:rFonts w:ascii="Arial" w:cs="Arial" w:eastAsia="Arial" w:hAnsi="Arial"/>
                <w:sz w:val="13"/>
                <w:szCs w:val="13"/>
                <w:color w:val="0000EE"/>
                <w:w w:val="87"/>
              </w:rPr>
            </w:pPr>
            <w:hyperlink r:id="rId185">
              <w:r>
                <w:rPr>
                  <w:rFonts w:ascii="Arial" w:cs="Arial" w:eastAsia="Arial" w:hAnsi="Arial"/>
                  <w:sz w:val="13"/>
                  <w:szCs w:val="13"/>
                  <w:color w:val="0000EE"/>
                  <w:w w:val="87"/>
                </w:rPr>
                <w:t>(1)</w:t>
              </w:r>
            </w:hyperlink>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gridSpan w:val="2"/>
            <w:vMerge w:val="restart"/>
          </w:tcPr>
          <w:p>
            <w:pPr>
              <w:spacing w:after="0"/>
              <w:rPr>
                <w:sz w:val="17"/>
                <w:szCs w:val="17"/>
                <w:color w:val="auto"/>
              </w:rPr>
            </w:pPr>
          </w:p>
        </w:tc>
        <w:tc>
          <w:tcPr>
            <w:tcW w:w="8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tcBorders>
              <w:bottom w:val="single" w:sz="8" w:color="0000EE"/>
            </w:tcBorders>
            <w:gridSpan w:val="5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3780" w:type="dxa"/>
            <w:vAlign w:val="bottom"/>
            <w:gridSpan w:val="31"/>
            <w:vMerge w:val="restart"/>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Amended and Restated Dividend Reinvestment Plan</w:t>
              </w:r>
            </w:hyperlink>
          </w:p>
        </w:tc>
        <w:tc>
          <w:tcPr>
            <w:tcW w:w="240" w:type="dxa"/>
            <w:vAlign w:val="bottom"/>
            <w:tcBorders>
              <w:bottom w:val="single" w:sz="8" w:color="0000EE"/>
            </w:tcBorders>
          </w:tcPr>
          <w:p>
            <w:pPr>
              <w:jc w:val="right"/>
              <w:spacing w:after="0"/>
              <w:rPr>
                <w:rFonts w:ascii="Arial" w:cs="Arial" w:eastAsia="Arial" w:hAnsi="Arial"/>
                <w:sz w:val="13"/>
                <w:szCs w:val="13"/>
                <w:color w:val="0000EE"/>
                <w:w w:val="94"/>
              </w:rPr>
            </w:pPr>
            <w:hyperlink r:id="rId186">
              <w:r>
                <w:rPr>
                  <w:rFonts w:ascii="Arial" w:cs="Arial" w:eastAsia="Arial" w:hAnsi="Arial"/>
                  <w:sz w:val="13"/>
                  <w:szCs w:val="13"/>
                  <w:color w:val="0000EE"/>
                  <w:w w:val="94"/>
                </w:rPr>
                <w:t>(16)</w:t>
              </w:r>
            </w:hyperlink>
          </w:p>
        </w:tc>
        <w:tc>
          <w:tcPr>
            <w:tcW w:w="24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3"/>
            <w:vMerge w:val="restart"/>
          </w:tcPr>
          <w:p>
            <w:pPr>
              <w:spacing w:after="0"/>
              <w:rPr>
                <w:sz w:val="19"/>
                <w:szCs w:val="19"/>
                <w:color w:val="auto"/>
              </w:rPr>
            </w:pPr>
          </w:p>
        </w:tc>
        <w:tc>
          <w:tcPr>
            <w:tcW w:w="112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18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Borders>
              <w:bottom w:val="single" w:sz="8" w:color="0000EE"/>
            </w:tcBorders>
            <w:gridSpan w:val="31"/>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0"/>
                <w:szCs w:val="20"/>
                <w:color w:val="auto"/>
              </w:rPr>
            </w:pPr>
          </w:p>
        </w:tc>
        <w:tc>
          <w:tcPr>
            <w:tcW w:w="2620" w:type="dxa"/>
            <w:vAlign w:val="bottom"/>
            <w:gridSpan w:val="17"/>
            <w:vMerge w:val="restart"/>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Form of Indemnification Agreement</w:t>
              </w:r>
            </w:hyperlink>
          </w:p>
        </w:tc>
        <w:tc>
          <w:tcPr>
            <w:tcW w:w="220" w:type="dxa"/>
            <w:vAlign w:val="bottom"/>
            <w:tcBorders>
              <w:bottom w:val="single" w:sz="8" w:color="0000EE"/>
            </w:tcBorders>
            <w:gridSpan w:val="5"/>
          </w:tcPr>
          <w:p>
            <w:pPr>
              <w:jc w:val="right"/>
              <w:ind w:right="60"/>
              <w:spacing w:after="0"/>
              <w:rPr>
                <w:rFonts w:ascii="Arial" w:cs="Arial" w:eastAsia="Arial" w:hAnsi="Arial"/>
                <w:sz w:val="13"/>
                <w:szCs w:val="13"/>
                <w:color w:val="0000EE"/>
                <w:w w:val="87"/>
              </w:rPr>
            </w:pPr>
            <w:hyperlink r:id="rId187">
              <w:r>
                <w:rPr>
                  <w:rFonts w:ascii="Arial" w:cs="Arial" w:eastAsia="Arial" w:hAnsi="Arial"/>
                  <w:sz w:val="13"/>
                  <w:szCs w:val="13"/>
                  <w:color w:val="0000EE"/>
                  <w:w w:val="87"/>
                </w:rPr>
                <w:t>(6)</w:t>
              </w:r>
            </w:hyperlink>
          </w:p>
        </w:tc>
        <w:tc>
          <w:tcPr>
            <w:tcW w:w="160" w:type="dxa"/>
            <w:vAlign w:val="bottom"/>
            <w:gridSpan w:val="3"/>
            <w:vMerge w:val="restart"/>
          </w:tcPr>
          <w:p>
            <w:pPr>
              <w:spacing w:after="0"/>
              <w:rPr>
                <w:sz w:val="20"/>
                <w:szCs w:val="20"/>
                <w:color w:val="auto"/>
              </w:rPr>
            </w:pPr>
          </w:p>
        </w:tc>
        <w:tc>
          <w:tcPr>
            <w:tcW w:w="3460" w:type="dxa"/>
            <w:vAlign w:val="bottom"/>
            <w:gridSpan w:val="8"/>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gridSpan w:val="3"/>
            <w:vMerge w:val="restart"/>
          </w:tcPr>
          <w:p>
            <w:pPr>
              <w:spacing w:after="0"/>
              <w:rPr>
                <w:sz w:val="20"/>
                <w:szCs w:val="20"/>
                <w:color w:val="auto"/>
              </w:rPr>
            </w:pPr>
          </w:p>
        </w:tc>
        <w:tc>
          <w:tcPr>
            <w:tcW w:w="1120" w:type="dxa"/>
            <w:vAlign w:val="bottom"/>
            <w:gridSpan w:val="4"/>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40" w:type="dxa"/>
            <w:vAlign w:val="bottom"/>
            <w:gridSpan w:val="2"/>
            <w:vMerge w:val="restart"/>
          </w:tcPr>
          <w:p>
            <w:pPr>
              <w:spacing w:after="0"/>
              <w:rPr>
                <w:sz w:val="20"/>
                <w:szCs w:val="20"/>
                <w:color w:val="auto"/>
              </w:rPr>
            </w:pPr>
          </w:p>
        </w:tc>
        <w:tc>
          <w:tcPr>
            <w:tcW w:w="180" w:type="dxa"/>
            <w:vAlign w:val="bottom"/>
            <w:gridSpan w:val="2"/>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40" w:type="dxa"/>
            <w:vAlign w:val="bottom"/>
            <w:gridSpan w:val="2"/>
            <w:vMerge w:val="restart"/>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Borders>
              <w:bottom w:val="single" w:sz="8" w:color="0000EE"/>
            </w:tcBorders>
            <w:gridSpan w:val="1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34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8480" w:type="dxa"/>
            <w:vAlign w:val="bottom"/>
            <w:gridSpan w:val="51"/>
            <w:vMerge w:val="restart"/>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Trademark License Agreement by and between Runway Growth Capital LLC and the Runway Growth Finance Corp.</w:t>
              </w:r>
            </w:hyperlink>
          </w:p>
        </w:tc>
        <w:tc>
          <w:tcPr>
            <w:tcW w:w="220" w:type="dxa"/>
            <w:vAlign w:val="bottom"/>
            <w:tcBorders>
              <w:bottom w:val="single" w:sz="8" w:color="0000EE"/>
            </w:tcBorders>
            <w:gridSpan w:val="3"/>
          </w:tcPr>
          <w:p>
            <w:pPr>
              <w:spacing w:after="0"/>
              <w:rPr>
                <w:rFonts w:ascii="Arial" w:cs="Arial" w:eastAsia="Arial" w:hAnsi="Arial"/>
                <w:sz w:val="13"/>
                <w:szCs w:val="13"/>
                <w:color w:val="0000EE"/>
                <w:w w:val="86"/>
              </w:rPr>
            </w:pPr>
            <w:hyperlink r:id="rId188">
              <w:r>
                <w:rPr>
                  <w:rFonts w:ascii="Arial" w:cs="Arial" w:eastAsia="Arial" w:hAnsi="Arial"/>
                  <w:sz w:val="13"/>
                  <w:szCs w:val="13"/>
                  <w:color w:val="0000EE"/>
                  <w:w w:val="86"/>
                </w:rPr>
                <w:t>(19)</w:t>
              </w:r>
            </w:hyperlink>
          </w:p>
        </w:tc>
        <w:tc>
          <w:tcPr>
            <w:tcW w:w="40" w:type="dxa"/>
            <w:vAlign w:val="bottom"/>
            <w:gridSpan w:val="2"/>
            <w:vMerge w:val="restart"/>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80" w:type="dxa"/>
            <w:vAlign w:val="bottom"/>
            <w:tcBorders>
              <w:bottom w:val="single" w:sz="8" w:color="0000EE"/>
            </w:tcBorders>
            <w:gridSpan w:val="51"/>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5"/>
                <w:szCs w:val="15"/>
                <w:color w:val="auto"/>
              </w:rPr>
            </w:pPr>
          </w:p>
        </w:tc>
        <w:tc>
          <w:tcPr>
            <w:tcW w:w="8080" w:type="dxa"/>
            <w:vAlign w:val="bottom"/>
            <w:gridSpan w:val="44"/>
            <w:vMerge w:val="restart"/>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Transfer Agent Agreement by and between American Stock Transfer &amp; Trust Company, LLC and the Registrant</w:t>
              </w:r>
            </w:hyperlink>
          </w:p>
        </w:tc>
        <w:tc>
          <w:tcPr>
            <w:tcW w:w="160" w:type="dxa"/>
            <w:vAlign w:val="bottom"/>
            <w:tcBorders>
              <w:bottom w:val="single" w:sz="8" w:color="0000EE"/>
            </w:tcBorders>
            <w:gridSpan w:val="3"/>
          </w:tcPr>
          <w:p>
            <w:pPr>
              <w:jc w:val="right"/>
              <w:spacing w:after="0"/>
              <w:rPr>
                <w:rFonts w:ascii="Arial" w:cs="Arial" w:eastAsia="Arial" w:hAnsi="Arial"/>
                <w:sz w:val="13"/>
                <w:szCs w:val="13"/>
                <w:color w:val="0000EE"/>
                <w:w w:val="87"/>
              </w:rPr>
            </w:pPr>
            <w:hyperlink r:id="rId189">
              <w:r>
                <w:rPr>
                  <w:rFonts w:ascii="Arial" w:cs="Arial" w:eastAsia="Arial" w:hAnsi="Arial"/>
                  <w:sz w:val="13"/>
                  <w:szCs w:val="13"/>
                  <w:color w:val="0000EE"/>
                  <w:w w:val="87"/>
                </w:rPr>
                <w:t>(8)</w:t>
              </w:r>
            </w:hyperlink>
          </w:p>
        </w:tc>
        <w:tc>
          <w:tcPr>
            <w:tcW w:w="4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80" w:type="dxa"/>
            <w:vAlign w:val="bottom"/>
            <w:gridSpan w:val="3"/>
            <w:vMerge w:val="restart"/>
          </w:tcPr>
          <w:p>
            <w:pPr>
              <w:spacing w:after="0"/>
              <w:rPr>
                <w:sz w:val="15"/>
                <w:szCs w:val="15"/>
                <w:color w:val="auto"/>
              </w:rPr>
            </w:pPr>
          </w:p>
        </w:tc>
        <w:tc>
          <w:tcPr>
            <w:tcW w:w="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80" w:type="dxa"/>
            <w:vAlign w:val="bottom"/>
            <w:tcBorders>
              <w:bottom w:val="single" w:sz="8" w:color="0000EE"/>
            </w:tcBorders>
            <w:gridSpan w:val="44"/>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8860" w:type="dxa"/>
            <w:vAlign w:val="bottom"/>
            <w:gridSpan w:val="60"/>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Marketing and Consulting Agreement by and between Pickwick Capital Partners, LLC, Runway Growth Capital LLC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0000EE"/>
              <w:bottom w:val="single" w:sz="8" w:color="0000EE"/>
            </w:tcBorders>
            <w:gridSpan w:val="5"/>
            <w:vMerge w:val="restart"/>
          </w:tcPr>
          <w:p>
            <w:pPr>
              <w:spacing w:after="0" w:line="196" w:lineRule="exact"/>
              <w:rPr>
                <w:rFonts w:ascii="Arial" w:cs="Arial" w:eastAsia="Arial" w:hAnsi="Arial"/>
                <w:sz w:val="18"/>
                <w:szCs w:val="18"/>
                <w:color w:val="0000EE"/>
                <w:w w:val="87"/>
              </w:rPr>
            </w:pPr>
            <w:hyperlink r:id="rId190">
              <w:r>
                <w:rPr>
                  <w:rFonts w:ascii="Arial" w:cs="Arial" w:eastAsia="Arial" w:hAnsi="Arial"/>
                  <w:sz w:val="18"/>
                  <w:szCs w:val="18"/>
                  <w:color w:val="0000EE"/>
                  <w:w w:val="87"/>
                </w:rPr>
                <w:t>the Registrant</w:t>
              </w:r>
            </w:hyperlink>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7"/>
              </w:rPr>
            </w:pPr>
            <w:hyperlink r:id="rId190">
              <w:r>
                <w:rPr>
                  <w:rFonts w:ascii="Arial" w:cs="Arial" w:eastAsia="Arial" w:hAnsi="Arial"/>
                  <w:sz w:val="13"/>
                  <w:szCs w:val="13"/>
                  <w:color w:val="0000EE"/>
                  <w:w w:val="87"/>
                </w:rPr>
                <w:t>(9)</w:t>
              </w:r>
            </w:hyperlink>
          </w:p>
        </w:tc>
        <w:tc>
          <w:tcPr>
            <w:tcW w:w="1620" w:type="dxa"/>
            <w:vAlign w:val="bottom"/>
            <w:tcBorders>
              <w:top w:val="single" w:sz="8" w:color="0000EE"/>
              <w:bottom w:val="single" w:sz="8" w:color="0000EE"/>
            </w:tcBorders>
            <w:gridSpan w:val="1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5"/>
            <w:vMerge w:val="restart"/>
          </w:tcPr>
          <w:p>
            <w:pPr>
              <w:spacing w:after="0"/>
              <w:rPr>
                <w:sz w:val="13"/>
                <w:szCs w:val="13"/>
                <w:color w:val="auto"/>
              </w:rPr>
            </w:pPr>
          </w:p>
        </w:tc>
        <w:tc>
          <w:tcPr>
            <w:tcW w:w="3460" w:type="dxa"/>
            <w:vAlign w:val="bottom"/>
            <w:tcBorders>
              <w:top w:val="single" w:sz="8" w:color="0000EE"/>
              <w:bottom w:val="single" w:sz="8" w:color="0000EE"/>
            </w:tcBorders>
            <w:gridSpan w:val="8"/>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1120" w:type="dxa"/>
            <w:vAlign w:val="bottom"/>
            <w:tcBorders>
              <w:top w:val="single" w:sz="8" w:color="0000EE"/>
              <w:bottom w:val="single" w:sz="8" w:color="0000EE"/>
            </w:tcBorders>
            <w:gridSpan w:val="4"/>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3"/>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220" w:type="dxa"/>
            <w:vAlign w:val="bottom"/>
            <w:tcBorders>
              <w:top w:val="single" w:sz="8" w:color="0000EE"/>
              <w:bottom w:val="single" w:sz="8" w:color="0000EE"/>
            </w:tcBorders>
            <w:gridSpan w:val="4"/>
            <w:vMerge w:val="restart"/>
          </w:tcPr>
          <w:p>
            <w:pPr>
              <w:spacing w:after="0"/>
              <w:rPr>
                <w:sz w:val="13"/>
                <w:szCs w:val="13"/>
                <w:color w:val="auto"/>
              </w:rPr>
            </w:pPr>
          </w:p>
        </w:tc>
        <w:tc>
          <w:tcPr>
            <w:tcW w:w="80" w:type="dxa"/>
            <w:vAlign w:val="bottom"/>
            <w:tcBorders>
              <w:top w:val="single" w:sz="8" w:color="0000EE"/>
              <w:bottom w:val="single" w:sz="8" w:color="0000EE"/>
            </w:tcBorders>
            <w:gridSpan w:val="3"/>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0000EE"/>
            </w:tcBorders>
            <w:gridSpan w:val="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1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34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0"/>
                <w:szCs w:val="20"/>
                <w:color w:val="auto"/>
              </w:rPr>
            </w:pPr>
          </w:p>
        </w:tc>
        <w:tc>
          <w:tcPr>
            <w:tcW w:w="8860" w:type="dxa"/>
            <w:vAlign w:val="bottom"/>
            <w:gridSpan w:val="60"/>
          </w:tcPr>
          <w:p>
            <w:pPr>
              <w:spacing w:after="0"/>
              <w:rPr>
                <w:rFonts w:ascii="Arial" w:cs="Arial" w:eastAsia="Arial" w:hAnsi="Arial"/>
                <w:sz w:val="18"/>
                <w:szCs w:val="18"/>
                <w:color w:val="0000EE"/>
                <w:w w:val="98"/>
              </w:rPr>
            </w:pPr>
            <w:hyperlink r:id="rId191">
              <w:r>
                <w:rPr>
                  <w:rFonts w:ascii="Arial" w:cs="Arial" w:eastAsia="Arial" w:hAnsi="Arial"/>
                  <w:sz w:val="18"/>
                  <w:szCs w:val="18"/>
                  <w:color w:val="0000EE"/>
                  <w:w w:val="98"/>
                </w:rPr>
                <w:t>Marketing and Consulting Agreement by and between Peak Capital Limited, Runway Growth Capital LLC and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0000EE"/>
              <w:bottom w:val="single" w:sz="8" w:color="0000EE"/>
            </w:tcBorders>
            <w:gridSpan w:val="2"/>
            <w:vMerge w:val="restart"/>
          </w:tcPr>
          <w:p>
            <w:pPr>
              <w:spacing w:after="0" w:line="196" w:lineRule="exact"/>
              <w:rPr>
                <w:rFonts w:ascii="Arial" w:cs="Arial" w:eastAsia="Arial" w:hAnsi="Arial"/>
                <w:sz w:val="18"/>
                <w:szCs w:val="18"/>
                <w:color w:val="0000EE"/>
                <w:w w:val="87"/>
              </w:rPr>
            </w:pPr>
            <w:hyperlink r:id="rId191">
              <w:r>
                <w:rPr>
                  <w:rFonts w:ascii="Arial" w:cs="Arial" w:eastAsia="Arial" w:hAnsi="Arial"/>
                  <w:sz w:val="18"/>
                  <w:szCs w:val="18"/>
                  <w:color w:val="0000EE"/>
                  <w:w w:val="87"/>
                </w:rPr>
                <w:t>Registrant</w:t>
              </w:r>
            </w:hyperlink>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7"/>
              </w:rPr>
            </w:pPr>
            <w:hyperlink r:id="rId191">
              <w:r>
                <w:rPr>
                  <w:rFonts w:ascii="Arial" w:cs="Arial" w:eastAsia="Arial" w:hAnsi="Arial"/>
                  <w:sz w:val="13"/>
                  <w:szCs w:val="13"/>
                  <w:color w:val="0000EE"/>
                  <w:w w:val="87"/>
                </w:rPr>
                <w:t>(9)</w:t>
              </w:r>
            </w:hyperlink>
          </w:p>
        </w:tc>
        <w:tc>
          <w:tcPr>
            <w:tcW w:w="1880" w:type="dxa"/>
            <w:vAlign w:val="bottom"/>
            <w:tcBorders>
              <w:top w:val="single" w:sz="8" w:color="0000EE"/>
              <w:bottom w:val="single" w:sz="8" w:color="0000EE"/>
            </w:tcBorders>
            <w:gridSpan w:val="15"/>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5"/>
            <w:vMerge w:val="restart"/>
          </w:tcPr>
          <w:p>
            <w:pPr>
              <w:spacing w:after="0"/>
              <w:rPr>
                <w:sz w:val="13"/>
                <w:szCs w:val="13"/>
                <w:color w:val="auto"/>
              </w:rPr>
            </w:pPr>
          </w:p>
        </w:tc>
        <w:tc>
          <w:tcPr>
            <w:tcW w:w="3460" w:type="dxa"/>
            <w:vAlign w:val="bottom"/>
            <w:tcBorders>
              <w:top w:val="single" w:sz="8" w:color="0000EE"/>
              <w:bottom w:val="single" w:sz="8" w:color="0000EE"/>
            </w:tcBorders>
            <w:gridSpan w:val="8"/>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1120" w:type="dxa"/>
            <w:vAlign w:val="bottom"/>
            <w:tcBorders>
              <w:top w:val="single" w:sz="8" w:color="0000EE"/>
              <w:bottom w:val="single" w:sz="8" w:color="0000EE"/>
            </w:tcBorders>
            <w:gridSpan w:val="4"/>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3"/>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220" w:type="dxa"/>
            <w:vAlign w:val="bottom"/>
            <w:gridSpan w:val="4"/>
            <w:vMerge w:val="restart"/>
          </w:tcPr>
          <w:p>
            <w:pPr>
              <w:spacing w:after="0"/>
              <w:rPr>
                <w:sz w:val="13"/>
                <w:szCs w:val="13"/>
                <w:color w:val="auto"/>
              </w:rPr>
            </w:pPr>
          </w:p>
        </w:tc>
        <w:tc>
          <w:tcPr>
            <w:tcW w:w="80" w:type="dxa"/>
            <w:vAlign w:val="bottom"/>
            <w:gridSpan w:val="3"/>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1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34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0"/>
                <w:szCs w:val="20"/>
                <w:color w:val="auto"/>
              </w:rPr>
            </w:pPr>
          </w:p>
        </w:tc>
        <w:tc>
          <w:tcPr>
            <w:tcW w:w="8860" w:type="dxa"/>
            <w:vAlign w:val="bottom"/>
            <w:gridSpan w:val="60"/>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Credit Agreement, dated as of May 31, 2019, by and among the Company, as borrower, KeyBank National Association,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1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34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60" w:type="dxa"/>
            <w:vAlign w:val="bottom"/>
            <w:gridSpan w:val="60"/>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administrative agent and syndication agent, CIBC Bank USA, as documentation agent, U.S. Bank National Association, as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0" w:type="dxa"/>
            <w:vAlign w:val="bottom"/>
            <w:tcBorders>
              <w:top w:val="single" w:sz="8" w:color="0000EE"/>
              <w:bottom w:val="single" w:sz="8" w:color="0000EE"/>
            </w:tcBorders>
            <w:gridSpan w:val="41"/>
            <w:vMerge w:val="restart"/>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paying agent, the guarantors from time to time party thereto, and the lenders from time to time party thereto.</w:t>
              </w:r>
            </w:hyperlink>
          </w:p>
        </w:tc>
        <w:tc>
          <w:tcPr>
            <w:tcW w:w="22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6"/>
              </w:rPr>
            </w:pPr>
            <w:hyperlink r:id="rId192">
              <w:r>
                <w:rPr>
                  <w:rFonts w:ascii="Arial" w:cs="Arial" w:eastAsia="Arial" w:hAnsi="Arial"/>
                  <w:sz w:val="13"/>
                  <w:szCs w:val="13"/>
                  <w:color w:val="0000EE"/>
                  <w:w w:val="86"/>
                </w:rPr>
                <w:t>(10)</w:t>
              </w:r>
            </w:hyperlink>
          </w:p>
        </w:tc>
        <w:tc>
          <w:tcPr>
            <w:tcW w:w="180" w:type="dxa"/>
            <w:vAlign w:val="bottom"/>
            <w:tcBorders>
              <w:top w:val="single" w:sz="8" w:color="0000EE"/>
              <w:bottom w:val="single" w:sz="8" w:color="0000EE"/>
            </w:tcBorders>
            <w:gridSpan w:val="3"/>
            <w:vMerge w:val="restart"/>
          </w:tcPr>
          <w:p>
            <w:pPr>
              <w:spacing w:after="0"/>
              <w:rPr>
                <w:sz w:val="13"/>
                <w:szCs w:val="13"/>
                <w:color w:val="auto"/>
              </w:rPr>
            </w:pPr>
          </w:p>
        </w:tc>
        <w:tc>
          <w:tcPr>
            <w:tcW w:w="240" w:type="dxa"/>
            <w:vAlign w:val="bottom"/>
            <w:tcBorders>
              <w:top w:val="single" w:sz="8" w:color="0000EE"/>
              <w:bottom w:val="single" w:sz="8" w:color="0000EE"/>
            </w:tcBorders>
            <w:gridSpan w:val="3"/>
            <w:vMerge w:val="restart"/>
          </w:tcPr>
          <w:p>
            <w:pPr>
              <w:spacing w:after="0"/>
              <w:rPr>
                <w:sz w:val="13"/>
                <w:szCs w:val="13"/>
                <w:color w:val="auto"/>
              </w:rPr>
            </w:pPr>
          </w:p>
        </w:tc>
        <w:tc>
          <w:tcPr>
            <w:tcW w:w="220" w:type="dxa"/>
            <w:vAlign w:val="bottom"/>
            <w:tcBorders>
              <w:top w:val="single" w:sz="8" w:color="0000EE"/>
              <w:bottom w:val="single" w:sz="8" w:color="0000EE"/>
            </w:tcBorders>
            <w:gridSpan w:val="4"/>
            <w:vMerge w:val="restart"/>
          </w:tcPr>
          <w:p>
            <w:pPr>
              <w:spacing w:after="0"/>
              <w:rPr>
                <w:sz w:val="13"/>
                <w:szCs w:val="13"/>
                <w:color w:val="auto"/>
              </w:rPr>
            </w:pPr>
          </w:p>
        </w:tc>
        <w:tc>
          <w:tcPr>
            <w:tcW w:w="80" w:type="dxa"/>
            <w:vAlign w:val="bottom"/>
            <w:tcBorders>
              <w:top w:val="single" w:sz="8" w:color="0000EE"/>
              <w:bottom w:val="single" w:sz="8" w:color="0000EE"/>
            </w:tcBorders>
            <w:gridSpan w:val="3"/>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tcBorders>
              <w:bottom w:val="single" w:sz="8" w:color="0000EE"/>
            </w:tcBorders>
            <w:gridSpan w:val="41"/>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0"/>
                <w:szCs w:val="20"/>
                <w:color w:val="auto"/>
              </w:rPr>
            </w:pPr>
          </w:p>
        </w:tc>
        <w:tc>
          <w:tcPr>
            <w:tcW w:w="8660" w:type="dxa"/>
            <w:vAlign w:val="bottom"/>
            <w:tcBorders>
              <w:bottom w:val="single" w:sz="8" w:color="0000EE"/>
            </w:tcBorders>
            <w:gridSpan w:val="53"/>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First Amendment to Credit Agreement, dated as of November 10, 2020, among the Company, as borrower; the financial</w:t>
              </w:r>
            </w:hyperlink>
          </w:p>
        </w:tc>
        <w:tc>
          <w:tcPr>
            <w:tcW w:w="2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60" w:type="dxa"/>
            <w:vAlign w:val="bottom"/>
            <w:gridSpan w:val="60"/>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institutions party thereto as lenders; KeyBank National Association, as administrative agent and lender; CIBC Bank USA,</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60" w:type="dxa"/>
            <w:vAlign w:val="bottom"/>
            <w:tcBorders>
              <w:top w:val="single" w:sz="8" w:color="0000EE"/>
              <w:bottom w:val="single" w:sz="8" w:color="0000EE"/>
            </w:tcBorders>
            <w:gridSpan w:val="33"/>
            <w:vMerge w:val="restart"/>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as documentation agent and lender; and U.S. Bank National Association, as paying agent.</w:t>
              </w:r>
            </w:hyperlink>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3"/>
                <w:szCs w:val="13"/>
                <w:color w:val="0000EE"/>
                <w:w w:val="86"/>
              </w:rPr>
            </w:pPr>
            <w:hyperlink r:id="rId193">
              <w:r>
                <w:rPr>
                  <w:rFonts w:ascii="Arial" w:cs="Arial" w:eastAsia="Arial" w:hAnsi="Arial"/>
                  <w:sz w:val="13"/>
                  <w:szCs w:val="13"/>
                  <w:color w:val="0000EE"/>
                  <w:w w:val="86"/>
                </w:rPr>
                <w:t>(12)</w:t>
              </w:r>
            </w:hyperlink>
          </w:p>
        </w:tc>
        <w:tc>
          <w:tcPr>
            <w:tcW w:w="1520" w:type="dxa"/>
            <w:vAlign w:val="bottom"/>
            <w:tcBorders>
              <w:top w:val="single" w:sz="8" w:color="0000EE"/>
              <w:bottom w:val="single" w:sz="8" w:color="0000EE"/>
            </w:tcBorders>
            <w:gridSpan w:val="9"/>
            <w:vMerge w:val="restart"/>
          </w:tcPr>
          <w:p>
            <w:pPr>
              <w:spacing w:after="0"/>
              <w:rPr>
                <w:sz w:val="13"/>
                <w:szCs w:val="13"/>
                <w:color w:val="auto"/>
              </w:rPr>
            </w:pPr>
          </w:p>
        </w:tc>
        <w:tc>
          <w:tcPr>
            <w:tcW w:w="240" w:type="dxa"/>
            <w:vAlign w:val="bottom"/>
            <w:tcBorders>
              <w:top w:val="single" w:sz="8" w:color="0000EE"/>
              <w:bottom w:val="single" w:sz="8" w:color="0000EE"/>
            </w:tcBorders>
            <w:gridSpan w:val="3"/>
            <w:vMerge w:val="restart"/>
          </w:tcPr>
          <w:p>
            <w:pPr>
              <w:spacing w:after="0"/>
              <w:rPr>
                <w:sz w:val="13"/>
                <w:szCs w:val="13"/>
                <w:color w:val="auto"/>
              </w:rPr>
            </w:pPr>
          </w:p>
        </w:tc>
        <w:tc>
          <w:tcPr>
            <w:tcW w:w="300" w:type="dxa"/>
            <w:vAlign w:val="bottom"/>
            <w:tcBorders>
              <w:top w:val="single" w:sz="8" w:color="0000EE"/>
              <w:bottom w:val="single" w:sz="8" w:color="0000EE"/>
            </w:tcBorders>
            <w:gridSpan w:val="7"/>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60" w:type="dxa"/>
            <w:vAlign w:val="bottom"/>
            <w:tcBorders>
              <w:bottom w:val="single" w:sz="8" w:color="0000EE"/>
            </w:tcBorders>
            <w:gridSpan w:val="3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520" w:type="dxa"/>
            <w:vAlign w:val="bottom"/>
            <w:gridSpan w:val="9"/>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300" w:type="dxa"/>
            <w:vAlign w:val="bottom"/>
            <w:gridSpan w:val="7"/>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0"/>
                <w:szCs w:val="20"/>
                <w:color w:val="auto"/>
              </w:rPr>
            </w:pPr>
          </w:p>
        </w:tc>
        <w:tc>
          <w:tcPr>
            <w:tcW w:w="8740" w:type="dxa"/>
            <w:vAlign w:val="bottom"/>
            <w:tcBorders>
              <w:bottom w:val="single" w:sz="8" w:color="0000EE"/>
            </w:tcBorders>
            <w:gridSpan w:val="56"/>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Second Amendment to Credit Agreement, dated as of December 2, 2020, among the Company, as borrower; the financial</w:t>
              </w:r>
            </w:hyperlink>
          </w:p>
        </w:tc>
        <w:tc>
          <w:tcPr>
            <w:tcW w:w="1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20" w:type="dxa"/>
            <w:vAlign w:val="bottom"/>
            <w:tcBorders>
              <w:bottom w:val="single" w:sz="8" w:color="0000EE"/>
            </w:tcBorders>
            <w:gridSpan w:val="58"/>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tcBorders>
              <w:bottom w:val="single" w:sz="8" w:color="0000EE"/>
            </w:tcBorders>
            <w:gridSpan w:val="49"/>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as documentation agent and lender; MUFG Union Bank, N.A., as co-documentation agent and lender; and U.S. Bank</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19"/>
            <w:vMerge w:val="restart"/>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National Association, as paying agent.</w:t>
              </w:r>
            </w:hyperlink>
          </w:p>
        </w:tc>
        <w:tc>
          <w:tcPr>
            <w:tcW w:w="220" w:type="dxa"/>
            <w:vAlign w:val="bottom"/>
            <w:tcBorders>
              <w:bottom w:val="single" w:sz="8" w:color="0000EE"/>
            </w:tcBorders>
            <w:gridSpan w:val="6"/>
          </w:tcPr>
          <w:p>
            <w:pPr>
              <w:jc w:val="right"/>
              <w:spacing w:after="0" w:line="142" w:lineRule="exact"/>
              <w:rPr>
                <w:rFonts w:ascii="Arial" w:cs="Arial" w:eastAsia="Arial" w:hAnsi="Arial"/>
                <w:sz w:val="13"/>
                <w:szCs w:val="13"/>
                <w:color w:val="0000EE"/>
                <w:w w:val="86"/>
              </w:rPr>
            </w:pPr>
            <w:hyperlink r:id="rId194">
              <w:r>
                <w:rPr>
                  <w:rFonts w:ascii="Arial" w:cs="Arial" w:eastAsia="Arial" w:hAnsi="Arial"/>
                  <w:sz w:val="13"/>
                  <w:szCs w:val="13"/>
                  <w:color w:val="0000EE"/>
                  <w:w w:val="86"/>
                </w:rPr>
                <w:t>(13)</w:t>
              </w:r>
            </w:hyperlink>
          </w:p>
        </w:tc>
        <w:tc>
          <w:tcPr>
            <w:tcW w:w="5200" w:type="dxa"/>
            <w:vAlign w:val="bottom"/>
            <w:gridSpan w:val="21"/>
            <w:vMerge w:val="restart"/>
          </w:tcPr>
          <w:p>
            <w:pPr>
              <w:spacing w:after="0"/>
              <w:rPr>
                <w:sz w:val="13"/>
                <w:szCs w:val="13"/>
                <w:color w:val="auto"/>
              </w:rPr>
            </w:pPr>
          </w:p>
        </w:tc>
        <w:tc>
          <w:tcPr>
            <w:tcW w:w="620" w:type="dxa"/>
            <w:vAlign w:val="bottom"/>
            <w:gridSpan w:val="1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Borders>
              <w:bottom w:val="single" w:sz="8" w:color="0000EE"/>
            </w:tcBorders>
            <w:gridSpan w:val="19"/>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200" w:type="dxa"/>
            <w:vAlign w:val="bottom"/>
            <w:gridSpan w:val="21"/>
            <w:vMerge w:val="continue"/>
          </w:tcPr>
          <w:p>
            <w:pPr>
              <w:spacing w:after="0" w:line="20" w:lineRule="exact"/>
              <w:rPr>
                <w:sz w:val="1"/>
                <w:szCs w:val="1"/>
                <w:color w:val="auto"/>
              </w:rPr>
            </w:pPr>
          </w:p>
        </w:tc>
        <w:tc>
          <w:tcPr>
            <w:tcW w:w="620" w:type="dxa"/>
            <w:vAlign w:val="bottom"/>
            <w:gridSpan w:val="1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0"/>
                <w:szCs w:val="20"/>
                <w:color w:val="auto"/>
              </w:rPr>
            </w:pPr>
          </w:p>
        </w:tc>
        <w:tc>
          <w:tcPr>
            <w:tcW w:w="8860" w:type="dxa"/>
            <w:vAlign w:val="bottom"/>
            <w:gridSpan w:val="60"/>
          </w:tcPr>
          <w:p>
            <w:pPr>
              <w:spacing w:after="0"/>
              <w:rPr>
                <w:rFonts w:ascii="Arial" w:cs="Arial" w:eastAsia="Arial" w:hAnsi="Arial"/>
                <w:sz w:val="18"/>
                <w:szCs w:val="18"/>
                <w:color w:val="0000EE"/>
                <w:w w:val="97"/>
              </w:rPr>
            </w:pPr>
            <w:hyperlink r:id="rId195">
              <w:r>
                <w:rPr>
                  <w:rFonts w:ascii="Arial" w:cs="Arial" w:eastAsia="Arial" w:hAnsi="Arial"/>
                  <w:sz w:val="18"/>
                  <w:szCs w:val="18"/>
                  <w:color w:val="0000EE"/>
                  <w:w w:val="97"/>
                </w:rPr>
                <w:t>Third Amendment to Credit Agreement, dated as of June 1, 2021, among the Company, as borrower; the financial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0" w:type="dxa"/>
            <w:vAlign w:val="bottom"/>
            <w:gridSpan w:val="46"/>
            <w:shd w:val="clear" w:color="auto" w:fill="0000EE"/>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20" w:type="dxa"/>
            <w:vAlign w:val="bottom"/>
            <w:tcBorders>
              <w:bottom w:val="single" w:sz="8" w:color="0000EE"/>
            </w:tcBorders>
            <w:gridSpan w:val="58"/>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60" w:right="420"/>
        <w:spacing w:after="0" w:line="293" w:lineRule="auto"/>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as documentation agent and lender; MUFG Union Bank, N.A., as co-documentation agent and lender; and U.S. Bank</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National Association, as paying agent</w:t>
        </w:r>
        <w:r>
          <w:rPr>
            <w:rFonts w:ascii="Arial" w:cs="Arial" w:eastAsia="Arial" w:hAnsi="Arial"/>
            <w:sz w:val="26"/>
            <w:szCs w:val="26"/>
            <w:u w:val="single" w:color="auto"/>
            <w:color w:val="0000EE"/>
            <w:vertAlign w:val="superscript"/>
          </w:rPr>
          <w:t>(17)</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60" w:right="220" w:hanging="858"/>
        <w:spacing w:after="0"/>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97">
        <w:r>
          <w:rPr>
            <w:rFonts w:ascii="Arial" w:cs="Arial" w:eastAsia="Arial" w:hAnsi="Arial"/>
            <w:sz w:val="18"/>
            <w:szCs w:val="18"/>
            <w:u w:val="single" w:color="auto"/>
            <w:color w:val="0000EE"/>
          </w:rPr>
          <w:t>Fourth Amendment to Credit Agreement, dated as of August 3, 2021, among Runway Growth Credit Fund Inc., as</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borrower; the financial institutions party thereto as lenders; KeyBank National Association, as administrative agent and</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lender; CIBC Bank USA, as documentation agent and lender; MUFG Union Bank, N.A. as co-documentation agent and</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lender; and U.S. Bank National Association, as paying agent</w:t>
        </w:r>
        <w:r>
          <w:rPr>
            <w:rFonts w:ascii="Arial" w:cs="Arial" w:eastAsia="Arial" w:hAnsi="Arial"/>
            <w:sz w:val="26"/>
            <w:szCs w:val="26"/>
            <w:u w:val="single" w:color="auto"/>
            <w:color w:val="0000EE"/>
            <w:vertAlign w:val="superscript"/>
          </w:rPr>
          <w:t>(14)</w:t>
        </w:r>
      </w:hyperlink>
    </w:p>
    <w:p>
      <w:pPr>
        <w:spacing w:after="0" w:line="1" w:lineRule="exact"/>
        <w:rPr>
          <w:rFonts w:ascii="Arial" w:cs="Arial" w:eastAsia="Arial" w:hAnsi="Arial"/>
          <w:sz w:val="18"/>
          <w:szCs w:val="18"/>
          <w:u w:val="single" w:color="auto"/>
          <w:color w:val="0000EE"/>
        </w:rPr>
      </w:pPr>
    </w:p>
    <w:p>
      <w:pPr>
        <w:ind w:left="1060" w:right="500" w:hanging="858"/>
        <w:spacing w:after="0" w:line="224"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98">
        <w:r>
          <w:rPr>
            <w:rFonts w:ascii="Arial" w:cs="Arial" w:eastAsia="Arial" w:hAnsi="Arial"/>
            <w:sz w:val="18"/>
            <w:szCs w:val="18"/>
            <w:u w:val="single" w:color="auto"/>
            <w:color w:val="0000EE"/>
          </w:rPr>
          <w:t>Master Note Purchase Agreement, dated December 10, 2021, by and among Runway Growth Finance Corp. and the</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Purchasers signatory thereto</w:t>
        </w:r>
        <w:r>
          <w:rPr>
            <w:rFonts w:ascii="Arial" w:cs="Arial" w:eastAsia="Arial" w:hAnsi="Arial"/>
            <w:sz w:val="26"/>
            <w:szCs w:val="26"/>
            <w:u w:val="single" w:color="auto"/>
            <w:color w:val="0000EE"/>
            <w:vertAlign w:val="superscript"/>
          </w:rPr>
          <w:t>(18)</w:t>
        </w:r>
      </w:hyperlink>
    </w:p>
    <w:p>
      <w:pPr>
        <w:jc w:val="both"/>
        <w:ind w:left="1060" w:hanging="858"/>
        <w:spacing w:after="0" w:line="253"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99">
        <w:r>
          <w:rPr>
            <w:rFonts w:ascii="Arial" w:cs="Arial" w:eastAsia="Arial" w:hAnsi="Arial"/>
            <w:sz w:val="18"/>
            <w:szCs w:val="18"/>
            <w:u w:val="single" w:color="auto"/>
            <w:color w:val="0000EE"/>
          </w:rPr>
          <w:t>Fifth Amendment to Credit Agreement, dated as of October 19, 2021, among Runway Growth Finance Corp., as borrower;</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the financial institutions party thereto as lenders; KeyBank National Association, as administrative agent and lender; CIBC</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Bank USA, as documentation agent and lender; MUFG Union Bank, N.A. as co-documentation agent and lender; and U.S.</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Bank National Association, as paying agent*</w:t>
        </w:r>
      </w:hyperlink>
    </w:p>
    <w:p>
      <w:pPr>
        <w:spacing w:after="0" w:line="16" w:lineRule="exact"/>
        <w:rPr>
          <w:rFonts w:ascii="Arial" w:cs="Arial" w:eastAsia="Arial" w:hAnsi="Arial"/>
          <w:sz w:val="18"/>
          <w:szCs w:val="18"/>
          <w:u w:val="single" w:color="auto"/>
          <w:color w:val="0000EE"/>
        </w:rPr>
      </w:pPr>
    </w:p>
    <w:p>
      <w:pPr>
        <w:ind w:left="200"/>
        <w:spacing w:after="0"/>
        <w:tabs>
          <w:tab w:leader="none" w:pos="10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Computation of Per Share Earnings (Included in the notes to the financial statements contained in this report)</w:t>
      </w:r>
    </w:p>
    <w:p>
      <w:pPr>
        <w:spacing w:after="0" w:line="50"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200">
        <w:r>
          <w:rPr>
            <w:rFonts w:ascii="Arial" w:cs="Arial" w:eastAsia="Arial" w:hAnsi="Arial"/>
            <w:sz w:val="16"/>
            <w:szCs w:val="16"/>
            <w:u w:val="single" w:color="auto"/>
            <w:color w:val="0000EE"/>
          </w:rPr>
          <w:t>Joint Code of Ethics</w:t>
        </w:r>
        <w:r>
          <w:rPr>
            <w:rFonts w:ascii="Arial" w:cs="Arial" w:eastAsia="Arial" w:hAnsi="Arial"/>
            <w:sz w:val="23"/>
            <w:szCs w:val="23"/>
            <w:u w:val="single" w:color="auto"/>
            <w:color w:val="0000EE"/>
            <w:vertAlign w:val="superscript"/>
          </w:rPr>
          <w:t>(14)</w:t>
        </w:r>
      </w:hyperlink>
    </w:p>
    <w:p>
      <w:pPr>
        <w:spacing w:after="0" w:line="35" w:lineRule="exact"/>
        <w:rPr>
          <w:rFonts w:ascii="Arial" w:cs="Arial" w:eastAsia="Arial" w:hAnsi="Arial"/>
          <w:sz w:val="18"/>
          <w:szCs w:val="18"/>
          <w:u w:val="single" w:color="auto"/>
          <w:color w:val="0000EE"/>
        </w:rPr>
      </w:pPr>
    </w:p>
    <w:p>
      <w:pPr>
        <w:ind w:left="200"/>
        <w:spacing w:after="0"/>
        <w:tabs>
          <w:tab w:leader="none" w:pos="10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RWAY IP Holdings LLC - Delaware</w:t>
      </w:r>
    </w:p>
    <w:p>
      <w:pPr>
        <w:spacing w:after="0" w:line="74"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r:id="rId201">
        <w:r>
          <w:rPr>
            <w:rFonts w:ascii="Arial" w:cs="Arial" w:eastAsia="Arial" w:hAnsi="Arial"/>
            <w:sz w:val="16"/>
            <w:szCs w:val="16"/>
            <w:u w:val="single" w:color="auto"/>
            <w:color w:val="0000EE"/>
          </w:rPr>
          <w:t>Consent of RSM US LLP*</w:t>
        </w:r>
      </w:hyperlink>
    </w:p>
    <w:p>
      <w:pPr>
        <w:spacing w:after="0" w:line="63"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9">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50"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50">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50"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51">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50" w:lineRule="exact"/>
        <w:rPr>
          <w:rFonts w:ascii="Arial" w:cs="Arial" w:eastAsia="Arial" w:hAnsi="Arial"/>
          <w:sz w:val="18"/>
          <w:szCs w:val="18"/>
          <w:u w:val="single" w:color="auto"/>
          <w:color w:val="0000EE"/>
        </w:rPr>
      </w:pPr>
    </w:p>
    <w:p>
      <w:pPr>
        <w:ind w:left="20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52">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92075</wp:posOffset>
            </wp:positionV>
            <wp:extent cx="15684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9"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19, 2016.</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June 14,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August 10,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29,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May 28, 2021.</w:t>
      </w:r>
    </w:p>
    <w:p>
      <w:pPr>
        <w:spacing w:after="0" w:line="184"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10 (File No. 000-55544) filed with the SEC on February 12, 2016.</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November 9,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28, 2018.</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28, 2019.</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June 6, 2019.</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20, 2020.</w:t>
      </w:r>
    </w:p>
    <w:p>
      <w:pPr>
        <w:spacing w:after="0" w:line="198"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with the SEC on November 12, 2020.</w:t>
      </w:r>
    </w:p>
    <w:p>
      <w:pPr>
        <w:spacing w:after="0" w:line="196" w:lineRule="exact"/>
        <w:rPr>
          <w:rFonts w:ascii="Arial" w:cs="Arial" w:eastAsia="Arial" w:hAnsi="Arial"/>
          <w:sz w:val="17"/>
          <w:szCs w:val="17"/>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4, 2020.</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August 5, 2021.</w:t>
      </w:r>
    </w:p>
    <w:p>
      <w:pPr>
        <w:spacing w:after="0" w:line="198" w:lineRule="exact"/>
        <w:rPr>
          <w:rFonts w:ascii="Arial" w:cs="Arial" w:eastAsia="Arial" w:hAnsi="Arial"/>
          <w:sz w:val="18"/>
          <w:szCs w:val="18"/>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August 19, 2021.</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October 27, 2021.</w:t>
      </w:r>
    </w:p>
    <w:p>
      <w:pPr>
        <w:spacing w:after="0" w:line="184" w:lineRule="exact"/>
        <w:rPr>
          <w:rFonts w:ascii="Arial" w:cs="Arial" w:eastAsia="Arial" w:hAnsi="Arial"/>
          <w:sz w:val="18"/>
          <w:szCs w:val="18"/>
          <w:color w:val="auto"/>
        </w:rPr>
      </w:pPr>
    </w:p>
    <w:p>
      <w:pPr>
        <w:ind w:left="340" w:hanging="332"/>
        <w:spacing w:after="0" w:line="277" w:lineRule="auto"/>
        <w:tabs>
          <w:tab w:leader="none" w:pos="3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N-2 (File No. 333-259824) filed with the SEC on September 27, 2021.</w:t>
      </w:r>
    </w:p>
    <w:p>
      <w:pPr>
        <w:spacing w:after="0" w:line="143" w:lineRule="exact"/>
        <w:rPr>
          <w:rFonts w:ascii="Arial" w:cs="Arial" w:eastAsia="Arial" w:hAnsi="Arial"/>
          <w:sz w:val="18"/>
          <w:szCs w:val="18"/>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13, 2021.</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as an exhibit otto the Company’s Current report on Form 8-K filed with the SEC on September 23, 2021.</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Gary Kovacs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Brian Laibow</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Julie Persily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Lewis W. Solimene,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Lewis W. Solimene, Jr.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231F20"/>
        </w:rPr>
        <w:t>Exhibit 31.1</w:t>
      </w:r>
    </w:p>
    <w:p>
      <w:pPr>
        <w:spacing w:after="0" w:line="225" w:lineRule="exact"/>
        <w:rPr>
          <w:sz w:val="20"/>
          <w:szCs w:val="20"/>
          <w:color w:val="auto"/>
        </w:rPr>
      </w:pPr>
    </w:p>
    <w:p>
      <w:pPr>
        <w:jc w:val="center"/>
        <w:ind w:left="1000" w:right="2100"/>
        <w:spacing w:after="0" w:line="289" w:lineRule="auto"/>
        <w:rPr>
          <w:sz w:val="20"/>
          <w:szCs w:val="20"/>
          <w:color w:val="auto"/>
        </w:rPr>
      </w:pPr>
      <w:r>
        <w:rPr>
          <w:rFonts w:ascii="Arial" w:cs="Arial" w:eastAsia="Arial" w:hAnsi="Arial"/>
          <w:sz w:val="17"/>
          <w:szCs w:val="17"/>
          <w:b w:val="1"/>
          <w:bCs w:val="1"/>
          <w:color w:val="231F20"/>
        </w:rPr>
        <w:t>Certification of Chief Executive Officer of Runway Growth Finance Corp. pursuant to Rule 13a-14(a) under the Exchange Act,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31F20"/>
        </w:rPr>
        <w:t>I, R. David Spreng, as Chief Executive Officer, certify that:</w:t>
      </w:r>
    </w:p>
    <w:p>
      <w:pPr>
        <w:spacing w:after="0" w:line="18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7"/>
          <w:szCs w:val="17"/>
          <w:color w:val="231F20"/>
        </w:rPr>
      </w:pPr>
      <w:r>
        <w:rPr>
          <w:rFonts w:ascii="Arial" w:cs="Arial" w:eastAsia="Arial" w:hAnsi="Arial"/>
          <w:sz w:val="17"/>
          <w:szCs w:val="17"/>
          <w:color w:val="231F20"/>
        </w:rPr>
        <w:t>I have reviewed this annual report on Form 10-K of Runway Growth Finance Corp. for the year ended December 31, 2021;</w:t>
      </w:r>
    </w:p>
    <w:p>
      <w:pPr>
        <w:spacing w:after="0" w:line="196" w:lineRule="exact"/>
        <w:rPr>
          <w:rFonts w:ascii="Arial" w:cs="Arial" w:eastAsia="Arial" w:hAnsi="Arial"/>
          <w:sz w:val="17"/>
          <w:szCs w:val="17"/>
          <w:color w:val="231F20"/>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7"/>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87"/>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87"/>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7"/>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87"/>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87"/>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231F20"/>
        </w:rPr>
        <w:t>Exhibit 31.2</w:t>
      </w:r>
    </w:p>
    <w:p>
      <w:pPr>
        <w:spacing w:after="0" w:line="225" w:lineRule="exact"/>
        <w:rPr>
          <w:sz w:val="20"/>
          <w:szCs w:val="20"/>
          <w:color w:val="auto"/>
        </w:rPr>
      </w:pPr>
    </w:p>
    <w:p>
      <w:pPr>
        <w:jc w:val="center"/>
        <w:ind w:left="1000" w:right="2120"/>
        <w:spacing w:after="0" w:line="289" w:lineRule="auto"/>
        <w:rPr>
          <w:sz w:val="20"/>
          <w:szCs w:val="20"/>
          <w:color w:val="auto"/>
        </w:rPr>
      </w:pPr>
      <w:r>
        <w:rPr>
          <w:rFonts w:ascii="Arial" w:cs="Arial" w:eastAsia="Arial" w:hAnsi="Arial"/>
          <w:sz w:val="17"/>
          <w:szCs w:val="17"/>
          <w:b w:val="1"/>
          <w:bCs w:val="1"/>
          <w:color w:val="231F20"/>
        </w:rPr>
        <w:t>Certification of Chief Financial Officer of Runway Growth Finance Corp. pursuant to Rule 13a-14(a) under the Exchange Act,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31F20"/>
        </w:rPr>
        <w:t>I, Thomas B. Raterman, as Financial Officer, certify that:</w:t>
      </w:r>
    </w:p>
    <w:p>
      <w:pPr>
        <w:spacing w:after="0" w:line="185"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7"/>
          <w:szCs w:val="17"/>
          <w:color w:val="231F20"/>
        </w:rPr>
      </w:pPr>
      <w:r>
        <w:rPr>
          <w:rFonts w:ascii="Arial" w:cs="Arial" w:eastAsia="Arial" w:hAnsi="Arial"/>
          <w:sz w:val="17"/>
          <w:szCs w:val="17"/>
          <w:color w:val="231F20"/>
        </w:rPr>
        <w:t>I have reviewed this annual report on Form 10-K of Runway Growth Finance Corp. for the year ended December 31, 2021;</w:t>
      </w:r>
    </w:p>
    <w:p>
      <w:pPr>
        <w:spacing w:after="0" w:line="196" w:lineRule="exact"/>
        <w:rPr>
          <w:rFonts w:ascii="Arial" w:cs="Arial" w:eastAsia="Arial" w:hAnsi="Arial"/>
          <w:sz w:val="17"/>
          <w:szCs w:val="17"/>
          <w:color w:val="231F20"/>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8"/>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88"/>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88"/>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8"/>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88"/>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88"/>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231F20"/>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2021 (the “Report”) of Runway Growth Finance Corp. (the “Registrant”), as filed with the Securities and Exchange Commission on the date hereof, I, R. David Spreng, the Chief Executive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 David Spreng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231F20"/>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2021 (the “Report”) of Runway Growth Finance Corp. (the “Registrant”), as filed with the Securities and Exchange Commission on the date hereof, I, Thomas B. Raterman, the Chief Financial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90"/>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90"/>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231F20"/>
        </w:rPr>
        <w:t>Thomas B. Raterman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lvl w:ilvl="1">
      <w:lvlJc w:val="left"/>
      <w:lvlText w:val="(%2)"/>
      <w:numFmt w:val="lowerLetter"/>
      <w:start w:val="2"/>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Roman"/>
      <w:start w:val="2"/>
    </w:lvl>
  </w:abstractNum>
  <w:abstractNum w:abstractNumId="17">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4F4EF005"/>
    <w:multiLevelType w:val="hybridMultilevel"/>
    <w:lvl w:ilvl="0">
      <w:lvlJc w:val="left"/>
      <w:lvlText w:val="(%1)"/>
      <w:numFmt w:val="decimal"/>
      <w:start w:val="4"/>
    </w:lvl>
  </w:abstractNum>
  <w:abstractNum w:abstractNumId="19">
    <w:nsid w:val="23F9C13C"/>
    <w:multiLevelType w:val="hybridMultilevel"/>
    <w:lvl w:ilvl="0">
      <w:lvlJc w:val="left"/>
      <w:lvlText w:val="(%1)"/>
      <w:numFmt w:val="lowerRoman"/>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lowerRoman"/>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decimal"/>
      <w:start w:val="3"/>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lowerRoman"/>
      <w:start w:val="1"/>
    </w:lvl>
  </w:abstractNum>
  <w:abstractNum w:abstractNumId="43">
    <w:nsid w:val="1F48EAA1"/>
    <w:multiLevelType w:val="hybridMultilevel"/>
    <w:lvl w:ilvl="0">
      <w:lvlJc w:val="left"/>
      <w:lvlText w:val="(%1)"/>
      <w:numFmt w:val="decimal"/>
      <w:start w:val="1"/>
    </w:lvl>
    <w:lvl w:ilvl="1">
      <w:lvlJc w:val="left"/>
      <w:lvlText w:val="(%2)"/>
      <w:numFmt w:val="lowerLetter"/>
      <w:start w:val="2"/>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bullet"/>
      <w:start w:val="1"/>
    </w:lvl>
  </w:abstractNum>
  <w:abstractNum w:abstractNumId="46">
    <w:nsid w:val="100F8FCA"/>
    <w:multiLevelType w:val="hybridMultilevel"/>
    <w:lvl w:ilvl="0">
      <w:lvlJc w:val="left"/>
      <w:lvlText w:val="2"/>
      <w:numFmt w:val="bullet"/>
      <w:start w:val="1"/>
    </w:lvl>
  </w:abstractNum>
  <w:abstractNum w:abstractNumId="47">
    <w:nsid w:val="6590700B"/>
    <w:multiLevelType w:val="hybridMultilevel"/>
    <w:lvl w:ilvl="0">
      <w:lvlJc w:val="left"/>
      <w:lvlText w:val="3"/>
      <w:numFmt w:val="bullet"/>
      <w:start w:val="1"/>
    </w:lvl>
  </w:abstractNum>
  <w:abstractNum w:abstractNumId="48">
    <w:nsid w:val="15014ACB"/>
    <w:multiLevelType w:val="hybridMultilevel"/>
    <w:lvl w:ilvl="0">
      <w:lvlJc w:val="left"/>
      <w:lvlText w:val="4"/>
      <w:numFmt w:val="bullet"/>
      <w:start w:val="1"/>
    </w:lvl>
  </w:abstractNum>
  <w:abstractNum w:abstractNumId="49">
    <w:nsid w:val="5F5E7FD0"/>
    <w:multiLevelType w:val="hybridMultilevel"/>
    <w:lvl w:ilvl="0">
      <w:lvlJc w:val="left"/>
      <w:lvlText w:val="5"/>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lowerRoman"/>
      <w:start w:val="2"/>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6"/>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lowerRoman"/>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5"/>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6"/>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4"/>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6"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176" Type="http://schemas.openxmlformats.org/officeDocument/2006/relationships/hyperlink" Target="https://www.sec.gov/Archives/edgar/data/1653384/000114420416140270/v454968_ex3-1.htm" TargetMode="External"/><Relationship Id="rId177" Type="http://schemas.openxmlformats.org/officeDocument/2006/relationships/hyperlink" Target="https://www.sec.gov/Archives/edgar/data/0001653384/000165338421000016/rgc-20210819ex31cb84ffa.htm" TargetMode="External"/><Relationship Id="rId178" Type="http://schemas.openxmlformats.org/officeDocument/2006/relationships/hyperlink" Target="https://www.sec.gov/Archives/edgar/data/0001653384/000165338421000016/rgc-20210819ex32804659c.htm" TargetMode="External"/><Relationship Id="rId179" Type="http://schemas.openxmlformats.org/officeDocument/2006/relationships/hyperlink" Target="https://www.sec.gov/Archives/edgar/data/1653384/000114420417042059/v472784_ex4-1.htm" TargetMode="External"/><Relationship Id="rId180" Type="http://schemas.openxmlformats.org/officeDocument/2006/relationships/hyperlink" Target="https://www.sec.gov/Archives/edgar/data/1653384/000110465920036153/tm2013025-2_ex4x2.htm" TargetMode="External"/><Relationship Id="rId181" Type="http://schemas.openxmlformats.org/officeDocument/2006/relationships/hyperlink" Target="https://www.sec.gov/Archives/edgar/data/1653384/000114420417017282/v462699_ex9-1.htm" TargetMode="External"/><Relationship Id="rId182" Type="http://schemas.openxmlformats.org/officeDocument/2006/relationships/hyperlink" Target="https://www.sec.gov/Archives/edgar/data/0001653384/000110465921074326/tm2118010_ex10-1.htm" TargetMode="External"/><Relationship Id="rId183" Type="http://schemas.openxmlformats.org/officeDocument/2006/relationships/hyperlink" Target="https://www.sec.gov/Archives/edgar/data/0001653384/000155837021010525/rgc-20210630ex1036bb6e0.htm" TargetMode="External"/><Relationship Id="rId184" Type="http://schemas.openxmlformats.org/officeDocument/2006/relationships/hyperlink" Target="https://www.sec.gov/Archives/edgar/data/1653384/000114420416140270/v454968_ex10-3.htm" TargetMode="External"/><Relationship Id="rId185" Type="http://schemas.openxmlformats.org/officeDocument/2006/relationships/hyperlink" Target="https://www.sec.gov/Archives/edgar/data/1653384/000114420416140270/v454968_ex10-4.htm" TargetMode="External"/><Relationship Id="rId186" Type="http://schemas.openxmlformats.org/officeDocument/2006/relationships/hyperlink" Target="https://www.sec.gov/Archives/edgar/data/0001653384/000165338421000025/rgc-20211027xex10.htm" TargetMode="External"/><Relationship Id="rId187" Type="http://schemas.openxmlformats.org/officeDocument/2006/relationships/hyperlink" Target="https://www.sec.gov/Archives/edgar/data/1653384/000114420416081404/v428811_ex10-5.htm" TargetMode="External"/><Relationship Id="rId188" Type="http://schemas.openxmlformats.org/officeDocument/2006/relationships/hyperlink" Target="https://www.sec.gov/Archives/edgar/data/0001653384/000165338421000019/rgc-20210923xex10.htm" TargetMode="External"/><Relationship Id="rId189" Type="http://schemas.openxmlformats.org/officeDocument/2006/relationships/hyperlink" Target="https://www.sec.gov/Archives/edgar/data/1653384/000114420418066500/tv509942_ex10-1.htm" TargetMode="External"/><Relationship Id="rId190" Type="http://schemas.openxmlformats.org/officeDocument/2006/relationships/hyperlink" Target="https://www.sec.gov/Archives/edgar/data/1653384/000114420419016757/tv517233_ex10x9.htm" TargetMode="External"/><Relationship Id="rId191" Type="http://schemas.openxmlformats.org/officeDocument/2006/relationships/hyperlink" Target="https://www.sec.gov/Archives/edgar/data/1653384/000114420419016757/tv517233_ex10x10.htm" TargetMode="External"/><Relationship Id="rId192" Type="http://schemas.openxmlformats.org/officeDocument/2006/relationships/hyperlink" Target="https://www.sec.gov/Archives/edgar/data/1653384/000114420419030106/tv523088_ex10-1.htm" TargetMode="External"/><Relationship Id="rId193" Type="http://schemas.openxmlformats.org/officeDocument/2006/relationships/hyperlink" Target="https://www.sec.gov/Archives/edgar/data/1653384/000155837020013679/rgc-20200930xex10d1.htm" TargetMode="External"/><Relationship Id="rId194" Type="http://schemas.openxmlformats.org/officeDocument/2006/relationships/hyperlink" Target="https://www.sec.gov/Archives/edgar/data/1653384/000165338420000004/rgc-20201202ex1019c880b.htm" TargetMode="External"/><Relationship Id="rId195" Type="http://schemas.openxmlformats.org/officeDocument/2006/relationships/hyperlink" Target="https://www.sec.gov/Archives/edgar/data/0001653384/000110465921119827/tm2120547d5_ex99-k11.htm" TargetMode="External"/><Relationship Id="rId197" Type="http://schemas.openxmlformats.org/officeDocument/2006/relationships/hyperlink" Target="https://www.sec.gov/Archives/edgar/data/0001653384/000155837021010525/rgc-20210630ex102799fdc.htm" TargetMode="External"/><Relationship Id="rId198" Type="http://schemas.openxmlformats.org/officeDocument/2006/relationships/hyperlink" Target="https://www.sec.gov/Archives/edgar/data/0001653384/000165338421000028/rgc-20211213xex10.htm" TargetMode="External"/><Relationship Id="rId199" Type="http://schemas.openxmlformats.org/officeDocument/2006/relationships/hyperlink" Target="https://www.sec.gov/Archives/edgar/data/1653384/000155837022002804/rgc-20211231xex10d17.htm" TargetMode="External"/><Relationship Id="rId200" Type="http://schemas.openxmlformats.org/officeDocument/2006/relationships/hyperlink" Target="https://www.sec.gov/Archives/edgar/data/0001653384/000155837021010525/rgc-20210630ex14128472e.htm" TargetMode="External"/><Relationship Id="rId201" Type="http://schemas.openxmlformats.org/officeDocument/2006/relationships/hyperlink" Target="https://www.sec.gov/Archives/edgar/data/1653384/000155837022002804/rgc-20211231xex2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2022-03-14T15:47:24Z</dcterms:created>
  <dcterms:modified xsi:type="dcterms:W3CDTF">2022-03-14T15:47:24Z</dcterms:modified>
</cp:coreProperties>
</file>