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way-20260806.htm"/>
      <w:bookmarkStart w:id="1" w:name="ksrway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Runway Growth Finance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814-01180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47-5049745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205 N. Michigan Ave.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(312)</w:t>
            </w:r>
            <w:r>
              <w:rPr>
                <w:rFonts w:ascii="Times New Roman" w:hAnsi="Times New Roman"/>
                <w:color w:val="000000"/>
                <w:sz w:val="20"/>
              </w:rPr>
              <w:t xml:space="preserve"> </w:t>
            </w:r>
            <w:r>
              <w:rPr>
                <w:rFonts w:ascii="Times New Roman" w:hAnsi="Times New Roman"/>
                <w:b/>
                <w:color w:val="000000"/>
                <w:sz w:val="20"/>
              </w:rPr>
              <w:t>698-6902</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 Notes due 2031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RWAYI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9.00% Notes due 2027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SWKHL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6, 2026, Runway Growth Finance Corp. (the “Company”) issued a press release announcing its financial results for the quarter ended June 30, 2026. The text of the press release is included as Exhibit 99.1 to this Current Report on Form 8-K and is incorporated herein by reference.</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under this Item 2.02, including the information set forth in Exhibit 99.1 hereto, is being “furnished” and shall not be deemed “filed” for purposes of Section 18 of the Securities Exchange Act of 1934, as amended (the “Exchange Act”), or otherwise. The information set forth under this Item 2.02, including Exhibit 99.1, shall not be incorporated by reference into any registration statement or other document pursuant to the Securities Act of 1933, as amended, or into any filing or other document pursuant to the Exchange Act, except as otherwise expressly stated in any such filing.</w:t>
      </w:r>
    </w:p>
    <w:p>
      <w:pPr>
        <w:pStyle w:val="Heading2"/>
        <w:bidi w:val="0"/>
        <w:spacing w:before="480" w:after="240"/>
        <w:jc w:val="left"/>
        <w:rPr>
          <w:rFonts w:ascii="Times New Roman" w:hAnsi="Times New Roman"/>
          <w:color w:val="000000"/>
          <w:sz w:val="20"/>
        </w:rPr>
      </w:pPr>
      <w:r>
        <w:rPr>
          <w:rFonts w:ascii="Times New Roman" w:hAnsi="Times New Roman"/>
          <w:color w:val="000000"/>
          <w:sz w:val="20"/>
        </w:rPr>
        <w:t>Item 9.01 Financial Statements and Exhibits.</w:t>
      </w:r>
    </w:p>
    <w:tbl>
      <w:tblPr>
        <w:tblW w:w="8233" w:type="dxa"/>
        <w:jc w:val="left"/>
        <w:tblInd w:w="0" w:type="dxa"/>
        <w:tblLayout w:type="fixed"/>
        <w:tblCellMar>
          <w:top w:w="28" w:type="dxa"/>
          <w:left w:w="28" w:type="dxa"/>
          <w:bottom w:w="28" w:type="dxa"/>
          <w:right w:w="28" w:type="dxa"/>
        </w:tblCellMar>
      </w:tblPr>
      <w:tblGrid>
        <w:gridCol w:w="1486"/>
        <w:gridCol w:w="146"/>
        <w:gridCol w:w="660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pPr>
            <w:hyperlink w:anchor="rway-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rway-ex99_1.htm">
              <w:r>
                <w:rPr>
                  <w:rStyle w:val="InternetLink"/>
                  <w:rFonts w:ascii="Times New Roman" w:hAnsi="Times New Roman"/>
                  <w:color w:val="0000FF"/>
                  <w:sz w:val="20"/>
                  <w:u w:val="single"/>
                </w:rPr>
                <w:t>Press Release, dated August 6, 2026</w:t>
              </w:r>
            </w:hyperlink>
            <w:r>
              <w:rPr>
                <w:rFonts w:ascii="Times New Roman" w:hAnsi="Times New Roman"/>
                <w:color w:val="000000"/>
                <w:sz w:val="20"/>
              </w:rPr>
              <w:t>.</w:t>
            </w:r>
          </w:p>
        </w:tc>
      </w:tr>
      <w:tr>
        <w:trPr/>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14" w:type="dxa"/>
        <w:jc w:val="left"/>
        <w:tblInd w:w="0" w:type="dxa"/>
        <w:tblLayout w:type="fixed"/>
        <w:tblCellMar>
          <w:top w:w="28" w:type="dxa"/>
          <w:left w:w="28" w:type="dxa"/>
          <w:bottom w:w="28" w:type="dxa"/>
          <w:right w:w="28" w:type="dxa"/>
        </w:tblCellMar>
      </w:tblPr>
      <w:tblGrid>
        <w:gridCol w:w="556"/>
        <w:gridCol w:w="1351"/>
        <w:gridCol w:w="451"/>
        <w:gridCol w:w="265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Runway Growth Finance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Carmela Thomson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rway-ex99_1.htm"/>
      <w:bookmarkStart w:id="3" w:name="ksrwayex99_1"/>
      <w:bookmarkEnd w:id="2"/>
      <w:bookmarkEnd w:id="3"/>
      <w:r>
        <w:rPr/>
        <w:drawing>
          <wp:inline distT="0" distB="0" distL="0" distR="0">
            <wp:extent cx="16383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14350"/>
                    </a:xfrm>
                    <a:prstGeom prst="rect">
                      <a:avLst/>
                    </a:prstGeom>
                  </pic:spPr>
                </pic:pic>
              </a:graphicData>
            </a:graphic>
          </wp:inline>
        </w:drawing>
      </w:r>
      <w:r>
        <w:br w:type="page"/>
      </w:r>
    </w:p>
    <w:p>
      <w:pPr>
        <w:pStyle w:val="TextBody"/>
        <w:bidi w:val="0"/>
        <w:jc w:val="right"/>
        <w:rPr/>
      </w:pPr>
      <w:r>
        <w:rPr/>
        <w:t> </w:t>
      </w:r>
    </w:p>
    <w:p>
      <w:pPr>
        <w:pStyle w:val="Heading1"/>
        <w:bidi w:val="0"/>
        <w:spacing w:before="160" w:after="240"/>
        <w:jc w:val="center"/>
        <w:rPr>
          <w:rFonts w:ascii="Times New Roman" w:hAnsi="Times New Roman"/>
          <w:color w:val="222222"/>
          <w:sz w:val="28"/>
        </w:rPr>
      </w:pPr>
      <w:r>
        <w:rPr>
          <w:rFonts w:ascii="Times New Roman" w:hAnsi="Times New Roman"/>
          <w:color w:val="222222"/>
          <w:sz w:val="28"/>
        </w:rPr>
        <w:t>Runway Growth Finance Corp. Reports Second Quarter 2026 Financial Results</w:t>
      </w:r>
    </w:p>
    <w:p>
      <w:pPr>
        <w:pStyle w:val="TextBody"/>
        <w:bidi w:val="0"/>
        <w:jc w:val="center"/>
        <w:rPr>
          <w:rFonts w:ascii="Times New Roman" w:hAnsi="Times New Roman"/>
          <w:i/>
          <w:color w:val="222222"/>
          <w:sz w:val="20"/>
        </w:rPr>
      </w:pPr>
      <w:r>
        <w:rPr>
          <w:rFonts w:ascii="Times New Roman" w:hAnsi="Times New Roman"/>
          <w:i/>
          <w:color w:val="222222"/>
          <w:sz w:val="20"/>
        </w:rPr>
        <w:t>Delivered Total and Net Investment Income of $37.0 million and $18.2 million, Respectively</w:t>
      </w:r>
    </w:p>
    <w:p>
      <w:pPr>
        <w:pStyle w:val="TextBody"/>
        <w:bidi w:val="0"/>
        <w:spacing w:before="120" w:after="283"/>
        <w:jc w:val="center"/>
        <w:rPr>
          <w:rFonts w:ascii="Times New Roman" w:hAnsi="Times New Roman"/>
          <w:i/>
          <w:color w:val="222222"/>
          <w:sz w:val="20"/>
        </w:rPr>
      </w:pPr>
      <w:r>
        <w:rPr>
          <w:rFonts w:ascii="Times New Roman" w:hAnsi="Times New Roman"/>
          <w:i/>
          <w:color w:val="222222"/>
          <w:sz w:val="20"/>
        </w:rPr>
        <w:t>Investment Portfolio of $1.2 billion</w:t>
      </w:r>
    </w:p>
    <w:p>
      <w:pPr>
        <w:pStyle w:val="TextBody"/>
        <w:bidi w:val="0"/>
        <w:spacing w:before="120" w:after="283"/>
        <w:jc w:val="center"/>
        <w:rPr>
          <w:rFonts w:ascii="Times New Roman" w:hAnsi="Times New Roman"/>
          <w:i/>
          <w:color w:val="222222"/>
          <w:sz w:val="20"/>
        </w:rPr>
      </w:pPr>
      <w:r>
        <w:rPr>
          <w:rFonts w:ascii="Times New Roman" w:hAnsi="Times New Roman"/>
          <w:i/>
          <w:color w:val="222222"/>
          <w:sz w:val="20"/>
        </w:rPr>
        <w:t>Conference Call on Friday, August 7, 2026 at 10:00 a.m. ET</w:t>
      </w:r>
    </w:p>
    <w:p>
      <w:pPr>
        <w:pStyle w:val="TextBody"/>
        <w:bidi w:val="0"/>
        <w:spacing w:before="240" w:after="240"/>
        <w:jc w:val="both"/>
        <w:rPr>
          <w:rFonts w:ascii="Times New Roman" w:hAnsi="Times New Roman"/>
          <w:sz w:val="20"/>
        </w:rPr>
      </w:pPr>
      <w:r>
        <w:rPr>
          <w:rFonts w:ascii="Times New Roman" w:hAnsi="Times New Roman"/>
          <w:color w:val="222222"/>
          <w:sz w:val="20"/>
        </w:rPr>
        <w:t xml:space="preserve">MENLO PARK, Calif., August 6, 2026—Runway Growth Finance Corp. (Nasdaq: RWAY) </w:t>
      </w:r>
      <w:r>
        <w:rPr>
          <w:rFonts w:ascii="Times New Roman" w:hAnsi="Times New Roman"/>
          <w:color w:val="000000"/>
          <w:sz w:val="20"/>
        </w:rPr>
        <w:t>(“Runway Growth” or the “Company”),</w:t>
      </w:r>
      <w:r>
        <w:rPr>
          <w:rFonts w:ascii="Times New Roman" w:hAnsi="Times New Roman"/>
          <w:color w:val="222222"/>
          <w:sz w:val="20"/>
        </w:rPr>
        <w:t xml:space="preserve"> a leading provider of flexible capital solutions to late- and growth-stage companies seeking an alternative to raising equity, today announced its financial results for the second quarter ended June 30, 2026.</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Second Quarter 2026 Highlights</w:t>
      </w:r>
    </w:p>
    <w:p>
      <w:pPr>
        <w:pStyle w:val="TextBody"/>
        <w:bidi w:val="0"/>
        <w:spacing w:before="0" w:after="80"/>
        <w:jc w:val="left"/>
        <w:rPr>
          <w:color w:val="222222"/>
        </w:rPr>
      </w:pPr>
      <w:r>
        <w:rPr>
          <w:color w:val="222222"/>
        </w:rPr>
        <w:t>•</w:t>
      </w:r>
    </w:p>
    <w:p>
      <w:pPr>
        <w:pStyle w:val="TextBody"/>
        <w:bidi w:val="0"/>
        <w:spacing w:before="0" w:after="80"/>
        <w:jc w:val="left"/>
        <w:rPr>
          <w:rFonts w:ascii="Times New Roman" w:hAnsi="Times New Roman"/>
          <w:color w:val="222222"/>
          <w:sz w:val="20"/>
        </w:rPr>
      </w:pPr>
      <w:r>
        <w:rPr>
          <w:rFonts w:ascii="Times New Roman" w:hAnsi="Times New Roman"/>
          <w:color w:val="222222"/>
          <w:sz w:val="20"/>
        </w:rPr>
        <w:t>Total investment portfolio of $1.2 billion at fair value</w:t>
      </w:r>
    </w:p>
    <w:p>
      <w:pPr>
        <w:pStyle w:val="TextBody"/>
        <w:bidi w:val="0"/>
        <w:spacing w:before="0" w:after="80"/>
        <w:jc w:val="left"/>
        <w:rPr>
          <w:color w:val="222222"/>
        </w:rPr>
      </w:pPr>
      <w:r>
        <w:rPr>
          <w:color w:val="222222"/>
        </w:rPr>
        <w:t>•</w:t>
      </w:r>
    </w:p>
    <w:p>
      <w:pPr>
        <w:pStyle w:val="TextBody"/>
        <w:bidi w:val="0"/>
        <w:spacing w:before="0" w:after="80"/>
        <w:jc w:val="left"/>
        <w:rPr>
          <w:rFonts w:ascii="Times New Roman" w:hAnsi="Times New Roman"/>
          <w:color w:val="222222"/>
          <w:sz w:val="20"/>
        </w:rPr>
      </w:pPr>
      <w:r>
        <w:rPr>
          <w:rFonts w:ascii="Times New Roman" w:hAnsi="Times New Roman"/>
          <w:color w:val="222222"/>
          <w:sz w:val="20"/>
        </w:rPr>
        <w:t xml:space="preserve">Total investment income of $37.0 million </w:t>
      </w:r>
    </w:p>
    <w:p>
      <w:pPr>
        <w:pStyle w:val="TextBody"/>
        <w:bidi w:val="0"/>
        <w:spacing w:before="0" w:after="80"/>
        <w:jc w:val="left"/>
        <w:rPr>
          <w:color w:val="222222"/>
        </w:rPr>
      </w:pPr>
      <w:r>
        <w:rPr>
          <w:color w:val="222222"/>
        </w:rPr>
        <w:t>•</w:t>
      </w:r>
    </w:p>
    <w:p>
      <w:pPr>
        <w:pStyle w:val="TextBody"/>
        <w:bidi w:val="0"/>
        <w:spacing w:before="0" w:after="80"/>
        <w:jc w:val="left"/>
        <w:rPr>
          <w:rFonts w:ascii="Times New Roman" w:hAnsi="Times New Roman"/>
          <w:color w:val="222222"/>
          <w:sz w:val="20"/>
        </w:rPr>
      </w:pPr>
      <w:r>
        <w:rPr>
          <w:rFonts w:ascii="Times New Roman" w:hAnsi="Times New Roman"/>
          <w:color w:val="222222"/>
          <w:sz w:val="20"/>
        </w:rPr>
        <w:t>Net investment income of $18.2 million, or $0.43 per share</w:t>
      </w:r>
    </w:p>
    <w:p>
      <w:pPr>
        <w:pStyle w:val="TextBody"/>
        <w:bidi w:val="0"/>
        <w:spacing w:before="0" w:after="80"/>
        <w:jc w:val="left"/>
        <w:rPr>
          <w:color w:val="222222"/>
        </w:rPr>
      </w:pPr>
      <w:r>
        <w:rPr>
          <w:color w:val="222222"/>
        </w:rPr>
        <w:t>•</w:t>
      </w:r>
    </w:p>
    <w:p>
      <w:pPr>
        <w:pStyle w:val="TextBody"/>
        <w:bidi w:val="0"/>
        <w:spacing w:before="0" w:after="80"/>
        <w:jc w:val="left"/>
        <w:rPr>
          <w:rFonts w:ascii="Times New Roman" w:hAnsi="Times New Roman"/>
          <w:color w:val="222222"/>
          <w:sz w:val="20"/>
        </w:rPr>
      </w:pPr>
      <w:r>
        <w:rPr>
          <w:rFonts w:ascii="Times New Roman" w:hAnsi="Times New Roman"/>
          <w:color w:val="222222"/>
          <w:sz w:val="20"/>
        </w:rPr>
        <w:t>Net asset value of $502.6 million, or $11.91 per share</w:t>
      </w:r>
    </w:p>
    <w:p>
      <w:pPr>
        <w:pStyle w:val="TextBody"/>
        <w:bidi w:val="0"/>
        <w:spacing w:before="0" w:after="80"/>
        <w:jc w:val="left"/>
        <w:rPr>
          <w:color w:val="222222"/>
        </w:rPr>
      </w:pPr>
      <w:r>
        <w:rPr>
          <w:color w:val="222222"/>
        </w:rPr>
        <w:t>•</w:t>
      </w:r>
    </w:p>
    <w:p>
      <w:pPr>
        <w:pStyle w:val="TextBody"/>
        <w:bidi w:val="0"/>
        <w:spacing w:before="0" w:after="80"/>
        <w:jc w:val="left"/>
        <w:rPr>
          <w:rFonts w:ascii="Times New Roman" w:hAnsi="Times New Roman"/>
          <w:color w:val="222222"/>
          <w:sz w:val="20"/>
        </w:rPr>
      </w:pPr>
      <w:r>
        <w:rPr>
          <w:rFonts w:ascii="Times New Roman" w:hAnsi="Times New Roman"/>
          <w:color w:val="222222"/>
          <w:sz w:val="20"/>
        </w:rPr>
        <w:t>Dollar-weighted annualized yield on debt investments of 14.2%</w:t>
      </w:r>
    </w:p>
    <w:p>
      <w:pPr>
        <w:pStyle w:val="TextBody"/>
        <w:bidi w:val="0"/>
        <w:spacing w:before="0" w:after="80"/>
        <w:jc w:val="both"/>
        <w:rPr>
          <w:color w:val="222222"/>
        </w:rPr>
      </w:pPr>
      <w:r>
        <w:rPr>
          <w:color w:val="222222"/>
        </w:rPr>
        <w:t>•</w:t>
      </w:r>
    </w:p>
    <w:p>
      <w:pPr>
        <w:pStyle w:val="TextBody"/>
        <w:bidi w:val="0"/>
        <w:spacing w:before="0" w:after="80"/>
        <w:jc w:val="both"/>
        <w:rPr>
          <w:rFonts w:ascii="Times New Roman" w:hAnsi="Times New Roman"/>
          <w:color w:val="222222"/>
          <w:sz w:val="20"/>
        </w:rPr>
      </w:pPr>
      <w:r>
        <w:rPr>
          <w:rFonts w:ascii="Times New Roman" w:hAnsi="Times New Roman"/>
          <w:color w:val="222222"/>
          <w:sz w:val="20"/>
        </w:rPr>
        <w:t>Funded approximately $239.6 million of investments acquired in connection with the Company's acquisition of SWK Holdings, including $216.2 million across 13 acquired loan positions and $23.4 million in acquired equity positions, with a combination of cash and the Company's common stock as consideration</w:t>
      </w:r>
    </w:p>
    <w:p>
      <w:pPr>
        <w:pStyle w:val="TextBody"/>
        <w:bidi w:val="0"/>
        <w:spacing w:before="0" w:after="80"/>
        <w:jc w:val="both"/>
        <w:rPr>
          <w:color w:val="222222"/>
        </w:rPr>
      </w:pPr>
      <w:r>
        <w:rPr>
          <w:color w:val="222222"/>
        </w:rPr>
        <w:t>•</w:t>
      </w:r>
    </w:p>
    <w:p>
      <w:pPr>
        <w:pStyle w:val="TextBody"/>
        <w:bidi w:val="0"/>
        <w:spacing w:before="0" w:after="80"/>
        <w:jc w:val="both"/>
        <w:rPr>
          <w:rFonts w:ascii="Times New Roman" w:hAnsi="Times New Roman"/>
          <w:color w:val="222222"/>
          <w:sz w:val="20"/>
        </w:rPr>
      </w:pPr>
      <w:r>
        <w:rPr>
          <w:rFonts w:ascii="Times New Roman" w:hAnsi="Times New Roman"/>
          <w:color w:val="222222"/>
          <w:sz w:val="20"/>
        </w:rPr>
        <w:t>Ten investments completed in new and existing portfolio companies, representing $101.7 million in funded investments, which net of assignments was $85.8 million</w:t>
      </w:r>
    </w:p>
    <w:p>
      <w:pPr>
        <w:pStyle w:val="TextBody"/>
        <w:bidi w:val="0"/>
        <w:spacing w:before="0" w:after="80"/>
        <w:jc w:val="both"/>
        <w:rPr>
          <w:color w:val="222222"/>
        </w:rPr>
      </w:pPr>
      <w:r>
        <w:rPr>
          <w:color w:val="222222"/>
        </w:rPr>
        <w:t>•</w:t>
      </w:r>
    </w:p>
    <w:p>
      <w:pPr>
        <w:pStyle w:val="TextBody"/>
        <w:bidi w:val="0"/>
        <w:spacing w:before="0" w:after="80"/>
        <w:jc w:val="both"/>
        <w:rPr>
          <w:rFonts w:ascii="Times New Roman" w:hAnsi="Times New Roman"/>
          <w:color w:val="222222"/>
          <w:sz w:val="20"/>
        </w:rPr>
      </w:pPr>
      <w:r>
        <w:rPr>
          <w:rFonts w:ascii="Times New Roman" w:hAnsi="Times New Roman"/>
          <w:color w:val="222222"/>
          <w:sz w:val="20"/>
        </w:rPr>
        <w:t xml:space="preserve">Aggregate proceeds of $36.5 million, representing $15.9 million in assignments, $10.5 million from scheduled repayments, and $10.1 million in sale proceeds from equity </w:t>
      </w:r>
    </w:p>
    <w:p>
      <w:pPr>
        <w:pStyle w:val="TextBody"/>
        <w:bidi w:val="0"/>
        <w:spacing w:before="0" w:after="80"/>
        <w:jc w:val="left"/>
        <w:rPr>
          <w:color w:val="222222"/>
        </w:rPr>
      </w:pPr>
      <w:r>
        <w:rPr>
          <w:color w:val="222222"/>
        </w:rPr>
        <w:t>•</w:t>
      </w:r>
    </w:p>
    <w:p>
      <w:pPr>
        <w:pStyle w:val="TextBody"/>
        <w:bidi w:val="0"/>
        <w:spacing w:before="0" w:after="80"/>
        <w:jc w:val="left"/>
        <w:rPr>
          <w:rFonts w:ascii="Times New Roman" w:hAnsi="Times New Roman"/>
          <w:color w:val="222222"/>
          <w:sz w:val="20"/>
        </w:rPr>
      </w:pPr>
      <w:r>
        <w:rPr>
          <w:rFonts w:ascii="Times New Roman" w:hAnsi="Times New Roman"/>
          <w:color w:val="222222"/>
          <w:sz w:val="20"/>
        </w:rPr>
        <w:t>Repurchased 249,169 shares during the quarter for an aggregate purchase price of $1.4 million</w:t>
      </w:r>
    </w:p>
    <w:p>
      <w:pPr>
        <w:pStyle w:val="TextBody"/>
        <w:bidi w:val="0"/>
        <w:spacing w:before="160" w:after="120"/>
        <w:jc w:val="left"/>
        <w:rPr>
          <w:rFonts w:ascii="Times New Roman" w:hAnsi="Times New Roman"/>
          <w:b/>
          <w:color w:val="222222"/>
          <w:sz w:val="20"/>
        </w:rPr>
      </w:pPr>
      <w:r>
        <w:rPr>
          <w:rFonts w:ascii="Times New Roman" w:hAnsi="Times New Roman"/>
          <w:b/>
          <w:color w:val="222222"/>
          <w:sz w:val="20"/>
        </w:rPr>
        <w:t>Third Quarter 2026 Distributions</w:t>
      </w:r>
    </w:p>
    <w:p>
      <w:pPr>
        <w:pStyle w:val="TextBody"/>
        <w:bidi w:val="0"/>
        <w:spacing w:before="0" w:after="120"/>
        <w:jc w:val="left"/>
        <w:rPr>
          <w:color w:val="222222"/>
        </w:rPr>
      </w:pPr>
      <w:r>
        <w:rPr>
          <w:color w:val="222222"/>
        </w:rPr>
        <w:t>•</w:t>
      </w:r>
    </w:p>
    <w:p>
      <w:pPr>
        <w:pStyle w:val="TextBody"/>
        <w:bidi w:val="0"/>
        <w:spacing w:before="0" w:after="120"/>
        <w:jc w:val="left"/>
        <w:rPr>
          <w:rFonts w:ascii="Times New Roman" w:hAnsi="Times New Roman"/>
          <w:color w:val="222222"/>
          <w:sz w:val="20"/>
        </w:rPr>
      </w:pPr>
      <w:r>
        <w:rPr>
          <w:rFonts w:ascii="Times New Roman" w:hAnsi="Times New Roman"/>
          <w:color w:val="222222"/>
          <w:sz w:val="20"/>
        </w:rPr>
        <w:t>Declared third quarter 2026 dividend of $0.33 per share</w:t>
      </w:r>
    </w:p>
    <w:p>
      <w:pPr>
        <w:pStyle w:val="TextBody"/>
        <w:bidi w:val="0"/>
        <w:spacing w:before="0" w:after="240"/>
        <w:jc w:val="both"/>
        <w:rPr>
          <w:color w:val="000000"/>
        </w:rPr>
      </w:pPr>
      <w:r>
        <w:rPr>
          <w:color w:val="000000"/>
        </w:rPr>
        <w:t>“</w:t>
      </w:r>
      <w:r>
        <w:rPr>
          <w:rFonts w:ascii="Times New Roman" w:hAnsi="Times New Roman"/>
          <w:color w:val="000000"/>
          <w:sz w:val="20"/>
        </w:rPr>
        <w:t>During the second quarter, we made meaningful progress executing our strategy while further strengthening the foundation of the business,” said David Spreng, Founder and Co-Chief Executive Officer of Runway Growth. “The successful integration of the SWK portfolio has enhanced our diversification, increased our earnings capacity and broadened our opportunity set. At the same time, we remain disciplined in our capital allocation, balancing new investments with opportunistic share repurchases. Complementing these efforts, our investment adviser and its affiliates recently announced their commitment to purchase up to 10% of our outstanding shares. Together, these actions reflect strong alignment with our shareholders and confidence in Runway’s long-term value.”</w:t>
      </w:r>
    </w:p>
    <w:p>
      <w:pPr>
        <w:pStyle w:val="TextBody"/>
        <w:bidi w:val="0"/>
        <w:jc w:val="both"/>
        <w:rPr>
          <w:color w:val="000000"/>
        </w:rPr>
      </w:pPr>
      <w:r>
        <w:rPr>
          <w:color w:val="000000"/>
        </w:rPr>
        <w:t>“</w:t>
      </w:r>
      <w:r>
        <w:rPr>
          <w:rFonts w:ascii="Times New Roman" w:hAnsi="Times New Roman"/>
          <w:color w:val="000000"/>
          <w:sz w:val="20"/>
        </w:rPr>
        <w:t>I also want to welcome Mike Rovner, who has been appointed Co-Chief Executive Officer of Runway Growth Finance and Co-Chief Investment Officer of Runway Growth Capital,” continued Mr. Spreng. “Mike brings more than 30 years of experience spanning technology, venture capital, private credit and growth lending. His experience building and leading investment platforms, together with his connectivity across the BC Partners platform, further strengthens our leadership team and investment capabilities. Mike's disciplined investment philosophy and deep understanding of the innovation economy closely align with the culture we've built at Runway, and I look forward to partnering with him as we remain focused on maximizing shareholder returns.”</w:t>
      </w:r>
    </w:p>
    <w:p>
      <w:pPr>
        <w:pStyle w:val="TextBody"/>
        <w:bidi w:val="0"/>
        <w:spacing w:before="240" w:after="160"/>
        <w:jc w:val="both"/>
        <w:rPr>
          <w:rFonts w:ascii="Times New Roman" w:hAnsi="Times New Roman"/>
          <w:sz w:val="20"/>
        </w:rPr>
      </w:pPr>
      <w:r>
        <w:rPr>
          <w:rFonts w:ascii="Times New Roman" w:hAnsi="Times New Roman"/>
          <w:b/>
          <w:color w:val="000000"/>
          <w:sz w:val="20"/>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63830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38300" cy="514350"/>
                    </a:xfrm>
                    <a:prstGeom prst="rect">
                      <a:avLst/>
                    </a:prstGeom>
                  </pic:spPr>
                </pic:pic>
              </a:graphicData>
            </a:graphic>
          </wp:inline>
        </w:drawing>
      </w:r>
    </w:p>
    <w:p>
      <w:pPr>
        <w:pStyle w:val="TextBody"/>
        <w:bidi w:val="0"/>
        <w:jc w:val="right"/>
        <w:rPr/>
      </w:pPr>
      <w:r>
        <w:rPr/>
        <w:t> </w:t>
      </w:r>
    </w:p>
    <w:p>
      <w:pPr>
        <w:pStyle w:val="TextBody"/>
        <w:bidi w:val="0"/>
        <w:spacing w:before="240" w:after="160"/>
        <w:jc w:val="both"/>
        <w:rPr>
          <w:rFonts w:ascii="Times New Roman" w:hAnsi="Times New Roman"/>
          <w:b/>
          <w:color w:val="000000"/>
          <w:sz w:val="20"/>
        </w:rPr>
      </w:pPr>
      <w:r>
        <w:rPr>
          <w:rFonts w:ascii="Times New Roman" w:hAnsi="Times New Roman"/>
          <w:b/>
          <w:color w:val="000000"/>
          <w:sz w:val="20"/>
        </w:rPr>
        <w:t>Second Quarter 2026 Operating Results</w:t>
      </w:r>
    </w:p>
    <w:p>
      <w:pPr>
        <w:pStyle w:val="TextBody"/>
        <w:bidi w:val="0"/>
        <w:spacing w:before="80" w:after="240"/>
        <w:jc w:val="both"/>
        <w:rPr>
          <w:rFonts w:ascii="Times New Roman" w:hAnsi="Times New Roman"/>
          <w:color w:val="222222"/>
          <w:sz w:val="20"/>
        </w:rPr>
      </w:pPr>
      <w:r>
        <w:rPr>
          <w:rFonts w:ascii="Times New Roman" w:hAnsi="Times New Roman"/>
          <w:color w:val="222222"/>
          <w:sz w:val="20"/>
        </w:rPr>
        <w:t xml:space="preserve">Total investment income for the quarter ended June 30, 2026 was $37.0 million, compared to $35.1 million for the quarter ended June 30, 2025. </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The Company's dollar-weighted annualized yield on average debt investments for the quarter ended June 30, 2026 was 14.2%. The yield was modestly impacted by the transition of BlueShift and Marley Spoon to non-accrual status at the end of the first quarter. The Company calculates the yield on dollar-weighted debt investments for any period measured as (1) total investment-related income during the period divided by (2) the daily average of the fair value of debt investments, including investments on non-accrual status, outstanding during the period.</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 xml:space="preserve">Total operating expenses for the quarter ended June 30, 2026 were $18.8 million, compared to $21.2 million for the quarter ended June 30, 2025. </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Net investment income for the quarter ended June 30, 2026 was $18.2 million, or $0.43 per share, compared to $13.9 million, or $0.38 per share, for the quarter ended June 30, 2025.</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 xml:space="preserve">Net realized loss was $45.3 million for the quarter ended June 30, 2026, compared to a net realized loss of $1.5 million for the quarter ended June 30, 2025. </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For the quarter ended June 30, 2026, net change in unrealized gain was $54.3 million, compared to a net change in unrealized gain of $4.4 million for the quarter ended June 30, 2025.</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For the quarter ended June 30, 2026, our net increase in net assets resulting from operations was $27.2 million, or $0.65 per share, compared to a net increase in net assets resulting from operations of $16.8 million, or $0.45 per share, for the quarter ended June 30, 2025.</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Portfolio and Investment Activity</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As of June 30, 2026, Runway Growth’s investment portfolio had an aggregate fair value of $1.2 billion in 79 companies, comprising $1.1 billion in loans, 98.0% of which are senior secured loans, and $70.0 million in warrants and other equity-related investments.</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During the second quarter of 2026, Runway Growth funded approximately $239.6 million of investments acquired in connection with the Company's acquisition of SWK Holdings, including $216.2 million across 13 acquired loan positions and $23.4 million in acquired equity positions, with a combination of cash and the Company's common stock as consideration, which net of the purchase discount was $225.2 million. The Company also completed ten investments in new and existing portfolio companies, representing $101.7 million in funded investments, which net of assignments was $85.8 million. Total debt and equity fundings net of upfront loan origination fees and purchase discounts were $325.4 million.</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 xml:space="preserve">During the second quarter of 2026, Runway Growth received aggregate proceeds of $26.0 million in principal prepayments and equity sale proceeds. In addition, Runway Growth received proceeds of $10.5 million in scheduled amortizations. </w:t>
      </w:r>
    </w:p>
    <w:p>
      <w:pPr>
        <w:pStyle w:val="TextBody"/>
        <w:bidi w:val="0"/>
        <w:spacing w:before="0" w:after="120"/>
        <w:jc w:val="left"/>
        <w:rPr>
          <w:rFonts w:ascii="Times New Roman" w:hAnsi="Times New Roman"/>
          <w:color w:val="222222"/>
          <w:sz w:val="20"/>
        </w:rPr>
      </w:pPr>
      <w:r>
        <w:rPr>
          <w:rFonts w:ascii="Times New Roman" w:hAnsi="Times New Roman"/>
          <w:color w:val="222222"/>
          <w:sz w:val="20"/>
        </w:rPr>
        <w:t>Total portfolio investment activity for the three months ended June 30, 2026 and 2025 was as follows:</w:t>
      </w:r>
    </w:p>
    <w:tbl>
      <w:tblPr>
        <w:tblW w:w="7539" w:type="dxa"/>
        <w:jc w:val="left"/>
        <w:tblInd w:w="0" w:type="dxa"/>
        <w:tblLayout w:type="fixed"/>
        <w:tblCellMar>
          <w:top w:w="28" w:type="dxa"/>
          <w:left w:w="28" w:type="dxa"/>
          <w:bottom w:w="28" w:type="dxa"/>
          <w:right w:w="28" w:type="dxa"/>
        </w:tblCellMar>
      </w:tblPr>
      <w:tblGrid>
        <w:gridCol w:w="2452"/>
        <w:gridCol w:w="2228"/>
        <w:gridCol w:w="196"/>
        <w:gridCol w:w="146"/>
        <w:gridCol w:w="826"/>
        <w:gridCol w:w="166"/>
        <w:gridCol w:w="146"/>
        <w:gridCol w:w="196"/>
        <w:gridCol w:w="146"/>
        <w:gridCol w:w="826"/>
        <w:gridCol w:w="211"/>
      </w:tblGrid>
      <w:tr>
        <w:trPr/>
        <w:tc>
          <w:tcPr>
            <w:tcW w:w="2452"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Beginning investment portfolio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1,004,233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PIK interest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prepayments of investments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Scheduled repayments of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Amortization of fixed income premiums or accretion of discounts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68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Ending investment portfolio</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1,024,951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638300"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38300" cy="514350"/>
                    </a:xfrm>
                    <a:prstGeom prst="rect">
                      <a:avLst/>
                    </a:prstGeom>
                  </pic:spPr>
                </pic:pic>
              </a:graphicData>
            </a:graphic>
          </wp:inline>
        </w:drawing>
      </w:r>
    </w:p>
    <w:p>
      <w:pPr>
        <w:pStyle w:val="TextBody"/>
        <w:bidi w:val="0"/>
        <w:jc w:val="righ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Net Asset Value</w:t>
      </w:r>
    </w:p>
    <w:p>
      <w:pPr>
        <w:pStyle w:val="TextBody"/>
        <w:bidi w:val="0"/>
        <w:jc w:val="both"/>
        <w:rPr>
          <w:rFonts w:ascii="Times New Roman" w:hAnsi="Times New Roman"/>
          <w:color w:val="222222"/>
          <w:sz w:val="20"/>
        </w:rPr>
      </w:pPr>
      <w:r>
        <w:rPr>
          <w:rFonts w:ascii="Times New Roman" w:hAnsi="Times New Roman"/>
          <w:color w:val="222222"/>
          <w:sz w:val="20"/>
        </w:rPr>
        <w:t>As of June 30, 2026, net asset value per share was $11.91, compared to $12.13 as of March 31, 2026. Total net assets at the end of the second quarter of 2026 was $502.6 million, an increase of 15% from $438.2 million as of March 31, 2026.</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both"/>
        <w:rPr>
          <w:rFonts w:ascii="Times New Roman" w:hAnsi="Times New Roman"/>
          <w:color w:val="222222"/>
          <w:sz w:val="20"/>
        </w:rPr>
      </w:pPr>
      <w:r>
        <w:rPr>
          <w:rFonts w:ascii="Times New Roman" w:hAnsi="Times New Roman"/>
          <w:color w:val="222222"/>
          <w:sz w:val="20"/>
        </w:rPr>
        <w:t xml:space="preserve">As of June 30, 2026, the Company had approximately $210.8 million in available liquidity, including unrestricted cash and cash equivalents of $10.8 million and $200.0 million in available borrowing capacity under the Company’s credit facility, subject to existing terms, advance rates and regulatory and covenant requirements. The Company ended the quarter with a core leverage ratio of approximately 136%, compared to 98% for the quarter ended March 31, 2026.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Distributions</w:t>
      </w:r>
    </w:p>
    <w:p>
      <w:pPr>
        <w:pStyle w:val="TextBody"/>
        <w:bidi w:val="0"/>
        <w:spacing w:before="0" w:after="120"/>
        <w:jc w:val="both"/>
        <w:rPr>
          <w:rFonts w:ascii="Times New Roman" w:hAnsi="Times New Roman"/>
          <w:sz w:val="20"/>
        </w:rPr>
      </w:pPr>
      <w:r>
        <w:rPr>
          <w:rFonts w:ascii="Times New Roman" w:hAnsi="Times New Roman"/>
          <w:color w:val="222222"/>
          <w:sz w:val="20"/>
        </w:rPr>
        <w:t xml:space="preserve">On August 5, 2026, the Company’s board of directors (the "Board of Directors") declared a quarterly distribution of $0.33 per share </w:t>
      </w:r>
      <w:r>
        <w:rPr>
          <w:rFonts w:ascii="Times New Roman" w:hAnsi="Times New Roman"/>
          <w:color w:val="000000"/>
          <w:sz w:val="20"/>
        </w:rPr>
        <w:t>for stockholders of record as of August 17, 2026. Distributions</w:t>
      </w:r>
      <w:r>
        <w:rPr>
          <w:rFonts w:ascii="Times New Roman" w:hAnsi="Times New Roman"/>
          <w:color w:val="222222"/>
          <w:sz w:val="20"/>
        </w:rPr>
        <w:t xml:space="preserve"> are payable on August 31, 2026.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jc w:val="both"/>
        <w:rPr>
          <w:rFonts w:ascii="Times New Roman" w:hAnsi="Times New Roman"/>
          <w:color w:val="000000"/>
          <w:sz w:val="20"/>
        </w:rPr>
      </w:pPr>
      <w:r>
        <w:rPr>
          <w:rFonts w:ascii="Times New Roman" w:hAnsi="Times New Roman"/>
          <w:color w:val="000000"/>
          <w:sz w:val="20"/>
        </w:rPr>
        <w:t>The Company evaluated events subsequent to June 30, 2026 through August 6, 2026, the date the consolidated financial statements were issued. There have been no subsequent events that occurred during such period that would require recognition or disclosure, except as disclosed below.</w:t>
      </w:r>
    </w:p>
    <w:p>
      <w:pPr>
        <w:pStyle w:val="TextBody"/>
        <w:bidi w:val="0"/>
        <w:spacing w:before="360" w:after="240"/>
        <w:jc w:val="both"/>
        <w:rPr>
          <w:rFonts w:ascii="Times New Roman" w:hAnsi="Times New Roman"/>
          <w:i/>
          <w:color w:val="000000"/>
          <w:sz w:val="20"/>
        </w:rPr>
      </w:pPr>
      <w:r>
        <w:rPr>
          <w:rFonts w:ascii="Times New Roman" w:hAnsi="Times New Roman"/>
          <w:i/>
          <w:color w:val="000000"/>
          <w:sz w:val="20"/>
        </w:rPr>
        <w:t>Credit Facility</w:t>
      </w:r>
    </w:p>
    <w:p>
      <w:pPr>
        <w:pStyle w:val="TextBody"/>
        <w:bidi w:val="0"/>
        <w:jc w:val="both"/>
        <w:rPr>
          <w:rFonts w:ascii="Times New Roman" w:hAnsi="Times New Roman"/>
          <w:color w:val="000000"/>
          <w:sz w:val="20"/>
        </w:rPr>
      </w:pPr>
      <w:r>
        <w:rPr>
          <w:rFonts w:ascii="Times New Roman" w:hAnsi="Times New Roman"/>
          <w:color w:val="000000"/>
          <w:sz w:val="20"/>
        </w:rPr>
        <w:t>On July 13, 2026, the Company entered into the Eighth Amendment to its amended and restated credit agreement (the “Credit Facility Amendment”). The Credit Facility Amendment, (i) reduced the total commitments under the Credit Facility from $550.0 million to $425.0 million; (ii) permitted the future prepayment and termination of a certain lender’s commitments on a non-pro rata basis; (iii) amended certain financial covenants; (iv) updated certain key-person trigger events; and (v) amended certain loan eligibility criteria and borrowing-base concentration limitations.</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Appointment of Co-Chief Executive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August 5, 2026, the Board of Directors elected Michael Rovner, age 56, as the Company’s Co-Chief Executive Officer, effective as of the close of business on August 6, 2026 (the “Effective Time”), to serve alongside R. David Spreng, whose title will change from Chief Executive Officer and President to Co-Chief Executive Officer and President of the Company, as of the Effective Time. In addition, Mr. Rovner will serve as the Co-Chief Executive Officer, the Co-Chief Investment Officer and as a member of the investment committee of Runway Growth Capital LLC ("RGC"), effective as of the Effective Time.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Mr. Rovner has more than 30 years of industry experience spanning early and growth stage technology companies, private equity, private credit, and growth-debt lending. Prior to joining the Company, Mr. Rovner served as a managing director at BC Partners and its affiliate Mount Logan Management since 2023. Before that, from 2012 to 2023, he served as the chief executive officer and head of the investment committee of Ovation Partners, a provider of asset backed lending solutions and growth capital for established companies, which he co-founded. From 2009 to 2011, Mr. Rovner served on the Board of Directors of Vida Capital, a vertically integrated manager of insurance-related and longevity contingent assets, which he co-founded in 2009. From 2000 to 2011, he served as a partner and head of the financial services practice of Austin Ventures, a venture capital and growth equity firm focused on early-stage and growth equity investments in the financial services, technology, digital media, and technology-enabled services markets. Mr. Rovner began his career in early-stage technology businesses, including Empart Technology (acquired by ARI Networks), Stanford Technology Group (acquired by Informix Software), and Mission Critical Software (NASDAQ IPO and subsequent acquisition by NetIQ Corporation). Mr. Rovner received a B.A. in English from UCLA.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638300"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38300" cy="514350"/>
                    </a:xfrm>
                    <a:prstGeom prst="rect">
                      <a:avLst/>
                    </a:prstGeom>
                  </pic:spPr>
                </pic:pic>
              </a:graphicData>
            </a:graphic>
          </wp:inline>
        </w:drawing>
      </w:r>
    </w:p>
    <w:p>
      <w:pPr>
        <w:pStyle w:val="TextBody"/>
        <w:bidi w:val="0"/>
        <w:jc w:val="right"/>
        <w:rPr/>
      </w:pPr>
      <w:r>
        <w:rPr/>
        <w:t> </w:t>
      </w:r>
    </w:p>
    <w:p>
      <w:pPr>
        <w:pStyle w:val="TextBody"/>
        <w:bidi w:val="0"/>
        <w:spacing w:before="360" w:after="240"/>
        <w:jc w:val="left"/>
        <w:rPr>
          <w:rFonts w:ascii="Times New Roman" w:hAnsi="Times New Roman"/>
          <w:i/>
          <w:color w:val="000000"/>
          <w:sz w:val="20"/>
        </w:rPr>
      </w:pPr>
      <w:r>
        <w:rPr>
          <w:rFonts w:ascii="Times New Roman" w:hAnsi="Times New Roman"/>
          <w:i/>
          <w:color w:val="000000"/>
          <w:sz w:val="20"/>
        </w:rPr>
        <w:t>Investment Committee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the close of business on August 6, 2026, RGC’s Investment Committee will consist of R. David Spreng, Michael Rovner, Thomas B. Raterman and Patrick Schafer. For additional information regarding Mr. Rovner’s appointment and the related changes to RGC’s Investment Committee, refer to the Company’s Quarterly Report on Form 10-Q for the quarter ended June 30, 2026, being filed concurrently with this Current Report on Form 8-K.</w:t>
      </w:r>
    </w:p>
    <w:p>
      <w:pPr>
        <w:pStyle w:val="TextBody"/>
        <w:bidi w:val="0"/>
        <w:spacing w:before="120" w:after="240"/>
        <w:jc w:val="both"/>
        <w:rPr>
          <w:rFonts w:ascii="Times New Roman" w:hAnsi="Times New Roman"/>
          <w:i/>
          <w:color w:val="000000"/>
          <w:sz w:val="20"/>
        </w:rPr>
      </w:pPr>
      <w:r>
        <w:rPr>
          <w:rFonts w:ascii="Times New Roman" w:hAnsi="Times New Roman"/>
          <w:i/>
          <w:color w:val="000000"/>
          <w:sz w:val="20"/>
        </w:rPr>
        <w:t>Recent Portfolio Activity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From July 1, 2026 through August 6, 2026, the Company funded $1.9 million in unfunded commitments on existing investments. The Company also received $17.1 million in debt prepayments.</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120"/>
        <w:jc w:val="both"/>
        <w:rPr>
          <w:rFonts w:ascii="Times New Roman" w:hAnsi="Times New Roman"/>
          <w:sz w:val="20"/>
        </w:rPr>
      </w:pPr>
      <w:r>
        <w:rPr>
          <w:rFonts w:ascii="Times New Roman" w:hAnsi="Times New Roman"/>
          <w:color w:val="222222"/>
          <w:sz w:val="20"/>
        </w:rPr>
        <w:t xml:space="preserve">Runway Growth will hold a conference call to discuss its second quarter ended June 30, 2026 financial results at 7:00 a.m. PT (10:00 a.m. ET) on Friday, August 7, 2026. To participate in the conference call or webcast, participants should register online at the </w:t>
      </w:r>
      <w:r>
        <w:rPr>
          <w:rFonts w:ascii="Times New Roman" w:hAnsi="Times New Roman"/>
          <w:sz w:val="20"/>
        </w:rPr>
        <w:t>Runway Investor Relations website</w:t>
      </w:r>
      <w:r>
        <w:rPr>
          <w:rFonts w:ascii="Times New Roman" w:hAnsi="Times New Roman"/>
          <w:color w:val="222222"/>
          <w:sz w:val="20"/>
        </w:rPr>
        <w:t>. The earnings call can also be accessed through the following links:</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sz w:val="20"/>
        </w:rPr>
      </w:pPr>
      <w:r>
        <w:rPr>
          <w:rFonts w:ascii="Times New Roman" w:hAnsi="Times New Roman"/>
          <w:sz w:val="20"/>
        </w:rPr>
        <w:t>Conference Call</w:t>
      </w:r>
    </w:p>
    <w:p>
      <w:pPr>
        <w:pStyle w:val="TextBody"/>
        <w:bidi w:val="0"/>
        <w:spacing w:before="0" w:after="80"/>
        <w:jc w:val="both"/>
        <w:rPr>
          <w:color w:val="000000"/>
        </w:rPr>
      </w:pPr>
      <w:r>
        <w:rPr>
          <w:color w:val="000000"/>
        </w:rPr>
        <w:t>•</w:t>
      </w:r>
    </w:p>
    <w:p>
      <w:pPr>
        <w:pStyle w:val="TextBody"/>
        <w:bidi w:val="0"/>
        <w:spacing w:before="0" w:after="80"/>
        <w:jc w:val="both"/>
        <w:rPr>
          <w:rFonts w:ascii="Times New Roman" w:hAnsi="Times New Roman"/>
          <w:sz w:val="20"/>
        </w:rPr>
      </w:pPr>
      <w:r>
        <w:rPr>
          <w:rFonts w:ascii="Times New Roman" w:hAnsi="Times New Roman"/>
          <w:sz w:val="20"/>
        </w:rPr>
        <w:t>Webcast</w:t>
      </w:r>
    </w:p>
    <w:p>
      <w:pPr>
        <w:pStyle w:val="TextBody"/>
        <w:bidi w:val="0"/>
        <w:spacing w:before="160" w:after="240"/>
        <w:jc w:val="both"/>
        <w:rPr>
          <w:rFonts w:ascii="Times New Roman" w:hAnsi="Times New Roman"/>
          <w:sz w:val="20"/>
        </w:rPr>
      </w:pPr>
      <w:r>
        <w:rPr>
          <w:rFonts w:ascii="Times New Roman" w:hAnsi="Times New Roman"/>
          <w:color w:val="222222"/>
          <w:sz w:val="20"/>
        </w:rPr>
        <w:t xml:space="preserve">A live webcast will be available in the investor section of the </w:t>
      </w:r>
      <w:r>
        <w:rPr>
          <w:rFonts w:ascii="Times New Roman" w:hAnsi="Times New Roman"/>
          <w:sz w:val="20"/>
        </w:rPr>
        <w:t>Company’s website</w:t>
      </w:r>
      <w:r>
        <w:rPr>
          <w:rFonts w:ascii="Times New Roman" w:hAnsi="Times New Roman"/>
          <w:color w:val="222222"/>
          <w:sz w:val="20"/>
        </w:rPr>
        <w:t>, and will be archived for 90 days following the call.</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About Runway Growth Finance Corp.</w:t>
      </w:r>
    </w:p>
    <w:p>
      <w:pPr>
        <w:pStyle w:val="TextBody"/>
        <w:bidi w:val="0"/>
        <w:spacing w:before="0" w:after="240"/>
        <w:jc w:val="both"/>
        <w:rPr>
          <w:rFonts w:ascii="Times New Roman" w:hAnsi="Times New Roman"/>
          <w:sz w:val="20"/>
        </w:rPr>
      </w:pPr>
      <w:r>
        <w:rPr>
          <w:rFonts w:ascii="Times New Roman" w:hAnsi="Times New Roman"/>
          <w:color w:val="222222"/>
          <w:sz w:val="20"/>
        </w:rPr>
        <w:t xml:space="preserve">Runway Growth is a specialty finance company focused on providing flexible capital solutions to late- and growth-stage companies seeking an alternative to raising equity. Runway Growth is a closed-end investment fund that has elected to be regulated as a business development company under the Investment Company Act of 1940, as amended. Runway Growth is externally managed by Runway Growth Capital LLC, an affiliate of BC Partners Advisors L.P. and led by industry veteran David Spreng. For more information, please visit </w:t>
      </w:r>
      <w:r>
        <w:rPr>
          <w:rFonts w:ascii="Times New Roman" w:hAnsi="Times New Roman"/>
          <w:sz w:val="20"/>
        </w:rPr>
        <w:t>www.runwaygrowth.com</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Statements included herein may constitute "forward-looking statements" within the meaning of the Private Securities Litigation Reform Act of 1995, as amended. Statements other than statements of historical facts included in this press release may constitute forward-looking statements and are not guarantees of future performance, condition or results and involve a number of risks and uncertainties. Actual results may differ materially from those in forward-looking statements as a result of a number of factors, including those described from time to time in Runway Growth’s filings with the Securities and Exchange Commission. Runway Growth undertakes no duty to update any forward-looking statement made herein. All forward-looking statements speak only as of the date of this press release.</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Important Disclosures</w:t>
      </w:r>
    </w:p>
    <w:p>
      <w:pPr>
        <w:pStyle w:val="TextBody"/>
        <w:bidi w:val="0"/>
        <w:spacing w:before="0" w:after="240"/>
        <w:jc w:val="both"/>
        <w:rPr>
          <w:rFonts w:ascii="Times New Roman" w:hAnsi="Times New Roman"/>
          <w:color w:val="222222"/>
          <w:sz w:val="20"/>
        </w:rPr>
      </w:pPr>
      <w:r>
        <w:rPr>
          <w:rFonts w:ascii="Times New Roman" w:hAnsi="Times New Roman"/>
          <w:color w:val="222222"/>
          <w:sz w:val="20"/>
        </w:rPr>
        <w:t xml:space="preserve">Strategies described involve special risks that should be evaluated carefully before a decision is made to invest. Not all of the risks and other significant aspects of these strategies are discussed herein. Please see a more detailed discussion of these risk factors and other related risks in the Company’s most recent annual report on Form 10-K in the section entitled “Risk Factors,” which may be obtained on the Company’s website, www.runwaygrowth.com, or the SEC’s website, www.sec.gov.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IR Contacts</w:t>
      </w:r>
    </w:p>
    <w:p>
      <w:pPr>
        <w:pStyle w:val="TextBody"/>
        <w:bidi w:val="0"/>
        <w:spacing w:before="0" w:after="120"/>
        <w:jc w:val="left"/>
        <w:rPr>
          <w:rFonts w:ascii="Times New Roman" w:hAnsi="Times New Roman"/>
          <w:color w:val="222222"/>
          <w:sz w:val="20"/>
        </w:rPr>
      </w:pPr>
      <w:r>
        <w:rPr>
          <w:rFonts w:ascii="Times New Roman" w:hAnsi="Times New Roman"/>
          <w:color w:val="222222"/>
          <w:sz w:val="20"/>
        </w:rPr>
        <w:t xml:space="preserve">Taylor Donahue, Prosek Partners, rway@prosek.com </w:t>
      </w:r>
    </w:p>
    <w:p>
      <w:pPr>
        <w:pStyle w:val="TextBody"/>
        <w:bidi w:val="0"/>
        <w:spacing w:before="0" w:after="240"/>
        <w:jc w:val="left"/>
        <w:rPr>
          <w:rFonts w:ascii="Times New Roman" w:hAnsi="Times New Roman"/>
          <w:color w:val="222222"/>
          <w:sz w:val="20"/>
        </w:rPr>
      </w:pPr>
      <w:r>
        <w:rPr>
          <w:rFonts w:ascii="Times New Roman" w:hAnsi="Times New Roman"/>
          <w:color w:val="222222"/>
          <w:sz w:val="20"/>
        </w:rPr>
        <w:t>Carmela Thomson, Chief Financial Officer, ct@runwaygrowth.com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638300"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38300" cy="514350"/>
                    </a:xfrm>
                    <a:prstGeom prst="rect">
                      <a:avLst/>
                    </a:prstGeom>
                  </pic:spPr>
                </pic:pic>
              </a:graphicData>
            </a:graphic>
          </wp:inline>
        </w:drawing>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Assets and Liabilities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083" w:type="dxa"/>
        <w:jc w:val="left"/>
        <w:tblInd w:w="0" w:type="dxa"/>
        <w:tblLayout w:type="fixed"/>
        <w:tblCellMar>
          <w:top w:w="28" w:type="dxa"/>
          <w:left w:w="28" w:type="dxa"/>
          <w:bottom w:w="28" w:type="dxa"/>
          <w:right w:w="28" w:type="dxa"/>
        </w:tblCellMar>
      </w:tblPr>
      <w:tblGrid>
        <w:gridCol w:w="7121"/>
        <w:gridCol w:w="146"/>
        <w:gridCol w:w="198"/>
        <w:gridCol w:w="927"/>
        <w:gridCol w:w="146"/>
        <w:gridCol w:w="260"/>
        <w:gridCol w:w="1285"/>
      </w:tblGrid>
      <w:tr>
        <w:trPr/>
        <w:tc>
          <w:tcPr>
            <w:tcW w:w="7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8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Non-control/non-affiliate investments at fair value (cost of $1,220,537 and $961,646,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912,656</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Affiliate investments at fair value (cost of $4,551 and $4,551,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Control investments at fair value (cost of $12,180 and $13,233,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14,746</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investments at fair value (cost of $1,237,268 and $979,430,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1,192,350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8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927,402</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18,175</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fees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7,594</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4,217</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2,726</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1,222,357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960,114</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173,000</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25,000</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132,250</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107,000</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financing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(1,913)</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435,337</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14,444</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Secured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14,578</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3,319</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475,145</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Common stock,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361</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16"/>
              </w:rPr>
            </w:pPr>
            <w:r>
              <w:rPr>
                <w:rFonts w:ascii="Times New Roman" w:hAnsi="Times New Roman"/>
                <w:color w:val="000000"/>
                <w:sz w:val="16"/>
              </w:rPr>
              <w:t>534,508</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undistributed (overdistributed)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16"/>
              </w:rPr>
            </w:pPr>
            <w:r>
              <w:rPr>
                <w:rFonts w:ascii="Times New Roman" w:hAnsi="Times New Roman"/>
                <w:color w:val="000000"/>
                <w:sz w:val="16"/>
              </w:rPr>
              <w:t>(49,900)</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484,969</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of common stock outstanding ($0.01 par value, 100,000,000 shares authorized)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42,215,377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36,134,037</w:t>
            </w:r>
          </w:p>
        </w:tc>
      </w:tr>
      <w:tr>
        <w:trPr/>
        <w:tc>
          <w:tcPr>
            <w:tcW w:w="7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63830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38300" cy="514350"/>
                    </a:xfrm>
                    <a:prstGeom prst="rect">
                      <a:avLst/>
                    </a:prstGeom>
                  </pic:spPr>
                </pic:pic>
              </a:graphicData>
            </a:graphic>
          </wp:inline>
        </w:drawing>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RUNWAY GROWTH FINANCE CORP.</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80"/>
        <w:gridCol w:w="146"/>
        <w:gridCol w:w="196"/>
        <w:gridCol w:w="146"/>
        <w:gridCol w:w="916"/>
        <w:gridCol w:w="166"/>
        <w:gridCol w:w="146"/>
        <w:gridCol w:w="196"/>
        <w:gridCol w:w="146"/>
        <w:gridCol w:w="916"/>
        <w:gridCol w:w="166"/>
        <w:gridCol w:w="146"/>
        <w:gridCol w:w="196"/>
        <w:gridCol w:w="146"/>
        <w:gridCol w:w="916"/>
        <w:gridCol w:w="166"/>
        <w:gridCol w:w="146"/>
        <w:gridCol w:w="196"/>
        <w:gridCol w:w="146"/>
        <w:gridCol w:w="916"/>
        <w:gridCol w:w="511"/>
      </w:tblGrid>
      <w:tr>
        <w:trPr/>
        <w:tc>
          <w:tcPr>
            <w:tcW w:w="3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8"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Payment-in-kind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From control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70,545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Management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Interest and other debt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Administration agreement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Insurance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40,998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29,547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realized gain (loss) on forward contracts and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Control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(14,070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forward contracts and foreign currency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change in unrealized gain (loss) on secured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Net change in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realized and unrealized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18,663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42,074,771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37,103,061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39,120,815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37,224,569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3287</Words>
  <Characters>18308</Characters>
  <CharactersWithSpaces>22165</CharactersWithSpaces>
  <Paragraphs>1602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