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58"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2000" w:right="980" w:hanging="1079"/>
        <w:spacing w:after="0" w:line="266" w:lineRule="auto"/>
        <w:tabs>
          <w:tab w:leader="none" w:pos="20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158" w:lineRule="exact"/>
        <w:rPr>
          <w:sz w:val="24"/>
          <w:szCs w:val="24"/>
          <w:color w:val="auto"/>
        </w:rPr>
      </w:pPr>
    </w:p>
    <w:p>
      <w:pPr>
        <w:ind w:left="2000" w:right="980" w:hanging="1081"/>
        <w:spacing w:after="0" w:line="282" w:lineRule="auto"/>
        <w:tabs>
          <w:tab w:leader="none" w:pos="20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814-01180</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Runway Growth Credit Fund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38" w:lineRule="exact"/>
        <w:rPr>
          <w:sz w:val="24"/>
          <w:szCs w:val="24"/>
          <w:color w:val="auto"/>
        </w:rPr>
      </w:pPr>
    </w:p>
    <w:tbl>
      <w:tblPr>
        <w:tblLayout w:type="fixed"/>
        <w:tblInd w:w="1080" w:type="dxa"/>
        <w:tblCellMar>
          <w:top w:w="0" w:type="dxa"/>
          <w:left w:w="0" w:type="dxa"/>
          <w:bottom w:w="0" w:type="dxa"/>
          <w:right w:w="0" w:type="dxa"/>
        </w:tblCellMar>
      </w:tblPr>
      <w:tr>
        <w:trPr>
          <w:trHeight w:val="220"/>
        </w:trPr>
        <w:tc>
          <w:tcPr>
            <w:tcW w:w="3980" w:type="dxa"/>
            <w:vAlign w:val="bottom"/>
          </w:tcPr>
          <w:p>
            <w:pPr>
              <w:jc w:val="center"/>
              <w:ind w:right="1030"/>
              <w:spacing w:after="0"/>
              <w:rPr>
                <w:sz w:val="20"/>
                <w:szCs w:val="20"/>
                <w:color w:val="auto"/>
              </w:rPr>
            </w:pPr>
            <w:r>
              <w:rPr>
                <w:rFonts w:ascii="Arial" w:cs="Arial" w:eastAsia="Arial" w:hAnsi="Arial"/>
                <w:sz w:val="18"/>
                <w:szCs w:val="18"/>
                <w:b w:val="1"/>
                <w:bCs w:val="1"/>
                <w:color w:val="auto"/>
                <w:w w:val="98"/>
              </w:rPr>
              <w:t>Maryland</w:t>
            </w:r>
          </w:p>
        </w:tc>
        <w:tc>
          <w:tcPr>
            <w:tcW w:w="3720" w:type="dxa"/>
            <w:vAlign w:val="bottom"/>
          </w:tcPr>
          <w:p>
            <w:pPr>
              <w:jc w:val="right"/>
              <w:ind w:right="790"/>
              <w:spacing w:after="0"/>
              <w:rPr>
                <w:sz w:val="20"/>
                <w:szCs w:val="20"/>
                <w:color w:val="auto"/>
              </w:rPr>
            </w:pPr>
            <w:r>
              <w:rPr>
                <w:rFonts w:ascii="Arial" w:cs="Arial" w:eastAsia="Arial" w:hAnsi="Arial"/>
                <w:sz w:val="18"/>
                <w:szCs w:val="18"/>
                <w:b w:val="1"/>
                <w:bCs w:val="1"/>
                <w:color w:val="auto"/>
              </w:rPr>
              <w:t>47-5049745</w:t>
            </w:r>
          </w:p>
        </w:tc>
      </w:tr>
      <w:tr>
        <w:trPr>
          <w:trHeight w:val="230"/>
        </w:trPr>
        <w:tc>
          <w:tcPr>
            <w:tcW w:w="3980" w:type="dxa"/>
            <w:vAlign w:val="bottom"/>
          </w:tcPr>
          <w:p>
            <w:pPr>
              <w:jc w:val="center"/>
              <w:ind w:right="1030"/>
              <w:spacing w:after="0"/>
              <w:rPr>
                <w:sz w:val="20"/>
                <w:szCs w:val="20"/>
                <w:color w:val="auto"/>
              </w:rPr>
            </w:pPr>
            <w:r>
              <w:rPr>
                <w:rFonts w:ascii="Arial" w:cs="Arial" w:eastAsia="Arial" w:hAnsi="Arial"/>
                <w:sz w:val="18"/>
                <w:szCs w:val="18"/>
                <w:color w:val="auto"/>
                <w:w w:val="92"/>
              </w:rPr>
              <w:t>(State of incorporation)</w:t>
            </w:r>
          </w:p>
        </w:tc>
        <w:tc>
          <w:tcPr>
            <w:tcW w:w="3720" w:type="dxa"/>
            <w:vAlign w:val="bottom"/>
          </w:tcPr>
          <w:p>
            <w:pPr>
              <w:jc w:val="center"/>
              <w:ind w:left="1010"/>
              <w:spacing w:after="0"/>
              <w:rPr>
                <w:sz w:val="20"/>
                <w:szCs w:val="20"/>
                <w:color w:val="auto"/>
              </w:rPr>
            </w:pPr>
            <w:r>
              <w:rPr>
                <w:rFonts w:ascii="Arial" w:cs="Arial" w:eastAsia="Arial" w:hAnsi="Arial"/>
                <w:sz w:val="18"/>
                <w:szCs w:val="18"/>
                <w:color w:val="auto"/>
                <w:w w:val="94"/>
              </w:rPr>
              <w:t>(I.R.S. Employer Identification No.)</w:t>
            </w:r>
          </w:p>
        </w:tc>
      </w:tr>
      <w:tr>
        <w:trPr>
          <w:trHeight w:val="346"/>
        </w:trPr>
        <w:tc>
          <w:tcPr>
            <w:tcW w:w="3980" w:type="dxa"/>
            <w:vAlign w:val="bottom"/>
          </w:tcPr>
          <w:p>
            <w:pPr>
              <w:jc w:val="center"/>
              <w:ind w:right="1010"/>
              <w:spacing w:after="0"/>
              <w:rPr>
                <w:sz w:val="20"/>
                <w:szCs w:val="20"/>
                <w:color w:val="auto"/>
              </w:rPr>
            </w:pPr>
            <w:r>
              <w:rPr>
                <w:rFonts w:ascii="Arial" w:cs="Arial" w:eastAsia="Arial" w:hAnsi="Arial"/>
                <w:sz w:val="18"/>
                <w:szCs w:val="18"/>
                <w:b w:val="1"/>
                <w:bCs w:val="1"/>
                <w:color w:val="auto"/>
                <w:w w:val="90"/>
              </w:rPr>
              <w:t>205 N. Michigan Ave., Suite 4200</w:t>
            </w:r>
          </w:p>
        </w:tc>
        <w:tc>
          <w:tcPr>
            <w:tcW w:w="3720" w:type="dxa"/>
            <w:vAlign w:val="bottom"/>
          </w:tcPr>
          <w:p>
            <w:pPr>
              <w:spacing w:after="0"/>
              <w:rPr>
                <w:sz w:val="24"/>
                <w:szCs w:val="24"/>
                <w:color w:val="auto"/>
              </w:rPr>
            </w:pPr>
          </w:p>
        </w:tc>
      </w:tr>
      <w:tr>
        <w:trPr>
          <w:trHeight w:val="220"/>
        </w:trPr>
        <w:tc>
          <w:tcPr>
            <w:tcW w:w="3980" w:type="dxa"/>
            <w:vAlign w:val="bottom"/>
          </w:tcPr>
          <w:p>
            <w:pPr>
              <w:jc w:val="center"/>
              <w:ind w:right="1030"/>
              <w:spacing w:after="0"/>
              <w:rPr>
                <w:sz w:val="20"/>
                <w:szCs w:val="20"/>
                <w:color w:val="auto"/>
              </w:rPr>
            </w:pPr>
            <w:r>
              <w:rPr>
                <w:rFonts w:ascii="Arial" w:cs="Arial" w:eastAsia="Arial" w:hAnsi="Arial"/>
                <w:sz w:val="18"/>
                <w:szCs w:val="18"/>
                <w:b w:val="1"/>
                <w:bCs w:val="1"/>
                <w:color w:val="auto"/>
                <w:w w:val="92"/>
              </w:rPr>
              <w:t>Chicago, IL</w:t>
            </w:r>
          </w:p>
        </w:tc>
        <w:tc>
          <w:tcPr>
            <w:tcW w:w="3720" w:type="dxa"/>
            <w:vAlign w:val="bottom"/>
          </w:tcPr>
          <w:p>
            <w:pPr>
              <w:jc w:val="right"/>
              <w:ind w:right="990"/>
              <w:spacing w:after="0"/>
              <w:rPr>
                <w:sz w:val="20"/>
                <w:szCs w:val="20"/>
                <w:color w:val="auto"/>
              </w:rPr>
            </w:pPr>
            <w:r>
              <w:rPr>
                <w:rFonts w:ascii="Arial" w:cs="Arial" w:eastAsia="Arial" w:hAnsi="Arial"/>
                <w:sz w:val="18"/>
                <w:szCs w:val="18"/>
                <w:b w:val="1"/>
                <w:bCs w:val="1"/>
                <w:color w:val="auto"/>
              </w:rPr>
              <w:t>60601</w:t>
            </w:r>
          </w:p>
        </w:tc>
      </w:tr>
      <w:tr>
        <w:trPr>
          <w:trHeight w:val="230"/>
        </w:trPr>
        <w:tc>
          <w:tcPr>
            <w:tcW w:w="3980" w:type="dxa"/>
            <w:vAlign w:val="bottom"/>
          </w:tcPr>
          <w:p>
            <w:pPr>
              <w:jc w:val="center"/>
              <w:ind w:right="1030"/>
              <w:spacing w:after="0"/>
              <w:rPr>
                <w:sz w:val="20"/>
                <w:szCs w:val="20"/>
                <w:color w:val="auto"/>
              </w:rPr>
            </w:pPr>
            <w:r>
              <w:rPr>
                <w:rFonts w:ascii="Arial" w:cs="Arial" w:eastAsia="Arial" w:hAnsi="Arial"/>
                <w:sz w:val="18"/>
                <w:szCs w:val="18"/>
                <w:color w:val="auto"/>
                <w:w w:val="92"/>
              </w:rPr>
              <w:t>(Address of principal executive offices)</w:t>
            </w:r>
          </w:p>
        </w:tc>
        <w:tc>
          <w:tcPr>
            <w:tcW w:w="3720" w:type="dxa"/>
            <w:vAlign w:val="bottom"/>
          </w:tcPr>
          <w:p>
            <w:pPr>
              <w:jc w:val="center"/>
              <w:ind w:left="1010"/>
              <w:spacing w:after="0"/>
              <w:rPr>
                <w:sz w:val="20"/>
                <w:szCs w:val="20"/>
                <w:color w:val="auto"/>
              </w:rPr>
            </w:pPr>
            <w:r>
              <w:rPr>
                <w:rFonts w:ascii="Arial" w:cs="Arial" w:eastAsia="Arial" w:hAnsi="Arial"/>
                <w:sz w:val="18"/>
                <w:szCs w:val="18"/>
                <w:color w:val="auto"/>
                <w:w w:val="91"/>
              </w:rPr>
              <w:t>(Zip Code)</w:t>
            </w:r>
          </w:p>
        </w:tc>
      </w:tr>
    </w:tbl>
    <w:p>
      <w:pPr>
        <w:spacing w:after="0" w:line="1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(312) 281-6270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4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9920"/>
          </w:cols>
          <w:pgMar w:left="980" w:top="665" w:right="999" w:bottom="1440" w:gutter="0" w:footer="0" w:header="0"/>
        </w:sectPr>
      </w:pPr>
    </w:p>
    <w:p>
      <w:pPr>
        <w:spacing w:after="0" w:line="15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Title of each class</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ind w:right="520"/>
        <w:spacing w:after="0" w:line="282" w:lineRule="auto"/>
        <w:rPr>
          <w:sz w:val="20"/>
          <w:szCs w:val="20"/>
          <w:color w:val="auto"/>
        </w:rPr>
      </w:pPr>
      <w:r>
        <w:rPr>
          <w:rFonts w:ascii="Arial" w:cs="Arial" w:eastAsia="Arial" w:hAnsi="Arial"/>
          <w:sz w:val="18"/>
          <w:szCs w:val="18"/>
          <w:b w:val="1"/>
          <w:bCs w:val="1"/>
          <w:color w:val="auto"/>
        </w:rPr>
        <w:t xml:space="preserve">Name of each exchange on which registered </w:t>
      </w:r>
      <w:r>
        <w:rPr>
          <w:rFonts w:ascii="Arial" w:cs="Arial" w:eastAsia="Arial" w:hAnsi="Arial"/>
          <w:sz w:val="18"/>
          <w:szCs w:val="18"/>
          <w:color w:val="auto"/>
        </w:rPr>
        <w:t>N/A</w:t>
      </w:r>
    </w:p>
    <w:p>
      <w:pPr>
        <w:spacing w:after="0" w:line="98" w:lineRule="exact"/>
        <w:rPr>
          <w:sz w:val="24"/>
          <w:szCs w:val="24"/>
          <w:color w:val="auto"/>
        </w:rPr>
      </w:pPr>
    </w:p>
    <w:p>
      <w:pPr>
        <w:sectPr>
          <w:pgSz w:w="11900" w:h="16838" w:orient="portrait"/>
          <w:cols w:equalWidth="0" w:num="3">
            <w:col w:w="2580" w:space="720"/>
            <w:col w:w="2040" w:space="720"/>
            <w:col w:w="3860"/>
          </w:cols>
          <w:pgMar w:left="980" w:top="665" w:right="999" w:bottom="1440" w:gutter="0" w:footer="0" w:header="0"/>
          <w:type w:val="continuous"/>
        </w:sect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5" w:right="999" w:bottom="1440" w:gutter="0" w:footer="0" w:header="0"/>
          <w:type w:val="continuous"/>
        </w:sectPr>
      </w:pPr>
    </w:p>
    <w:p>
      <w:pPr>
        <w:spacing w:after="0" w:line="8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99" w:lineRule="exact"/>
        <w:rPr>
          <w:sz w:val="24"/>
          <w:szCs w:val="24"/>
          <w:color w:val="auto"/>
        </w:rPr>
      </w:pPr>
    </w:p>
    <w:p>
      <w:pPr>
        <w:sectPr>
          <w:pgSz w:w="11900" w:h="16838" w:orient="portrait"/>
          <w:cols w:equalWidth="0" w:num="2">
            <w:col w:w="4240" w:space="720"/>
            <w:col w:w="4960"/>
          </w:cols>
          <w:pgMar w:left="980" w:top="665" w:right="99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9920"/>
          </w:cols>
          <w:pgMar w:left="980" w:top="665" w:right="999" w:bottom="1440" w:gutter="0" w:footer="0" w:header="0"/>
          <w:type w:val="continuous"/>
        </w:sectPr>
      </w:pPr>
    </w:p>
    <w:p>
      <w:pPr>
        <w:spacing w:after="0" w:line="213" w:lineRule="exact"/>
        <w:rPr>
          <w:sz w:val="24"/>
          <w:szCs w:val="24"/>
          <w:color w:val="auto"/>
        </w:rPr>
      </w:pPr>
    </w:p>
    <w:p>
      <w:pPr>
        <w:ind w:right="340" w:firstLine="324"/>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8" w:lineRule="exact"/>
        <w:rPr>
          <w:sz w:val="24"/>
          <w:szCs w:val="24"/>
          <w:color w:val="auto"/>
        </w:rPr>
      </w:pPr>
    </w:p>
    <w:p>
      <w:pPr>
        <w:ind w:left="340" w:right="42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issuer had 32,690,454 shares of common stock, $0.01 par value per share, outstanding as of August 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652145</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94615</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137795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JUNE 30, 2021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780" w:type="dxa"/>
            <w:vAlign w:val="bottom"/>
            <w:gridSpan w:val="9"/>
            <w:vMerge w:val="restart"/>
          </w:tcPr>
          <w:p>
            <w:pPr>
              <w:ind w:left="320"/>
              <w:spacing w:after="0"/>
              <w:rPr>
                <w:sz w:val="20"/>
                <w:szCs w:val="20"/>
                <w:color w:val="auto"/>
              </w:rPr>
            </w:pPr>
            <w:r>
              <w:rPr>
                <w:rFonts w:ascii="Arial" w:cs="Arial" w:eastAsia="Arial" w:hAnsi="Arial"/>
                <w:sz w:val="14"/>
                <w:szCs w:val="14"/>
                <w:b w:val="1"/>
                <w:bCs w:val="1"/>
                <w:color w:val="auto"/>
              </w:rPr>
              <w:t>INDEX</w:t>
            </w:r>
          </w:p>
        </w:tc>
        <w:tc>
          <w:tcPr>
            <w:tcW w:w="5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780" w:type="dxa"/>
            <w:vAlign w:val="bottom"/>
            <w:gridSpan w:val="9"/>
            <w:vMerge w:val="continue"/>
          </w:tcPr>
          <w:p>
            <w:pPr>
              <w:spacing w:after="0"/>
              <w:rPr>
                <w:sz w:val="14"/>
                <w:szCs w:val="14"/>
                <w:color w:val="auto"/>
              </w:rPr>
            </w:pPr>
          </w:p>
        </w:tc>
        <w:tc>
          <w:tcPr>
            <w:tcW w:w="5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NO.</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gridSpan w:val="6"/>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8440" w:type="dxa"/>
            <w:vAlign w:val="bottom"/>
            <w:gridSpan w:val="22"/>
            <w:shd w:val="clear" w:color="auto" w:fill="CCEEFF"/>
          </w:tcPr>
          <w:p>
            <w:pPr>
              <w:ind w:left="40"/>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5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ind w:right="40"/>
              <w:spacing w:after="0" w:line="17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Statements of Assets and Liabilities as of June 30, 2021 (unaudited) and December 31, 2020</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Statements of Operations for the three and six months ended June 30, 2021 and 2020 (unaudited)</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Statements of Changes in Net Assets for the three and six months ended June 30, 2021 and 2020 (unaudited)</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Statements of Cash Flows for the three and six months ended June 30, 2021 and 2020 (unaudited)</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Schedule of Investments as of June 30, 2021 (unaudited)</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Schedule of Investments as of December 31, 2020</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Notes to Financial Statements (unaudited)</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ind w:right="40"/>
              <w:spacing w:after="0" w:line="17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Item 2.</w:t>
              </w:r>
            </w:hyperlink>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Management’s Discussion and Analysis of Financial Condition and Results of Operations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ind w:right="40"/>
              <w:spacing w:after="0" w:line="176" w:lineRule="exact"/>
              <w:rPr>
                <w:rFonts w:ascii="Arial" w:cs="Arial" w:eastAsia="Arial" w:hAnsi="Arial"/>
                <w:sz w:val="18"/>
                <w:szCs w:val="18"/>
                <w:color w:val="0000EE"/>
                <w:w w:val="90"/>
              </w:rPr>
            </w:pPr>
            <w:hyperlink w:anchor="page64">
              <w:r>
                <w:rPr>
                  <w:rFonts w:ascii="Arial" w:cs="Arial" w:eastAsia="Arial" w:hAnsi="Arial"/>
                  <w:sz w:val="18"/>
                  <w:szCs w:val="18"/>
                  <w:color w:val="0000EE"/>
                  <w:w w:val="90"/>
                </w:rPr>
                <w:t>Item 3.</w:t>
              </w:r>
            </w:hyperlink>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Quantitative and Qualitative Disclosures About Market Risk</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ind w:right="40"/>
              <w:spacing w:after="0" w:line="176"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Item 4.</w:t>
              </w:r>
            </w:hyperlink>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Controls and Procedures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gridSpan w:val="6"/>
            <w:shd w:val="clear" w:color="auto" w:fill="CCEEFF"/>
          </w:tcPr>
          <w:p>
            <w:pPr>
              <w:spacing w:after="0" w:line="176" w:lineRule="exact"/>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PART II.</w:t>
              </w:r>
            </w:hyperlink>
          </w:p>
        </w:tc>
        <w:tc>
          <w:tcPr>
            <w:tcW w:w="8440" w:type="dxa"/>
            <w:vAlign w:val="bottom"/>
            <w:gridSpan w:val="22"/>
            <w:shd w:val="clear" w:color="auto" w:fill="CCEEFF"/>
          </w:tcPr>
          <w:p>
            <w:pPr>
              <w:ind w:left="40"/>
              <w:spacing w:after="0" w:line="176" w:lineRule="exact"/>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OTHER INFORMATION</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ind w:right="40"/>
              <w:spacing w:after="0" w:line="176" w:lineRule="exact"/>
              <w:rPr>
                <w:rFonts w:ascii="Arial" w:cs="Arial" w:eastAsia="Arial" w:hAnsi="Arial"/>
                <w:sz w:val="18"/>
                <w:szCs w:val="18"/>
                <w:color w:val="0000EE"/>
                <w:w w:val="90"/>
              </w:rPr>
            </w:pPr>
            <w:hyperlink w:anchor="page66">
              <w:r>
                <w:rPr>
                  <w:rFonts w:ascii="Arial" w:cs="Arial" w:eastAsia="Arial" w:hAnsi="Arial"/>
                  <w:sz w:val="18"/>
                  <w:szCs w:val="18"/>
                  <w:color w:val="0000EE"/>
                  <w:w w:val="90"/>
                </w:rPr>
                <w:t>Item 1.</w:t>
              </w:r>
            </w:hyperlink>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Legal Proceedings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gridSpan w:val="6"/>
            <w:shd w:val="clear" w:color="auto" w:fill="CCEEFF"/>
          </w:tcPr>
          <w:p>
            <w:pPr>
              <w:jc w:val="right"/>
              <w:ind w:right="40"/>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Item 1A.</w:t>
              </w:r>
            </w:hyperlink>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Risk Factors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ind w:right="40"/>
              <w:spacing w:after="0" w:line="176" w:lineRule="exact"/>
              <w:rPr>
                <w:rFonts w:ascii="Arial" w:cs="Arial" w:eastAsia="Arial" w:hAnsi="Arial"/>
                <w:sz w:val="18"/>
                <w:szCs w:val="18"/>
                <w:color w:val="0000EE"/>
                <w:w w:val="90"/>
              </w:rPr>
            </w:pPr>
            <w:hyperlink w:anchor="page67">
              <w:r>
                <w:rPr>
                  <w:rFonts w:ascii="Arial" w:cs="Arial" w:eastAsia="Arial" w:hAnsi="Arial"/>
                  <w:sz w:val="18"/>
                  <w:szCs w:val="18"/>
                  <w:color w:val="0000EE"/>
                  <w:w w:val="90"/>
                </w:rPr>
                <w:t>Item 2.</w:t>
              </w:r>
            </w:hyperlink>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Unregistered Sales of Equity Securities and Use of Proceeds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ind w:right="40"/>
              <w:spacing w:after="0" w:line="176" w:lineRule="exact"/>
              <w:rPr>
                <w:rFonts w:ascii="Arial" w:cs="Arial" w:eastAsia="Arial" w:hAnsi="Arial"/>
                <w:sz w:val="18"/>
                <w:szCs w:val="18"/>
                <w:color w:val="0000EE"/>
                <w:w w:val="90"/>
              </w:rPr>
            </w:pPr>
            <w:hyperlink w:anchor="page67">
              <w:r>
                <w:rPr>
                  <w:rFonts w:ascii="Arial" w:cs="Arial" w:eastAsia="Arial" w:hAnsi="Arial"/>
                  <w:sz w:val="18"/>
                  <w:szCs w:val="18"/>
                  <w:color w:val="0000EE"/>
                  <w:w w:val="90"/>
                </w:rPr>
                <w:t>Item 3.</w:t>
              </w:r>
            </w:hyperlink>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Defaults Upon Senior Securities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ind w:right="40"/>
              <w:spacing w:after="0" w:line="176" w:lineRule="exact"/>
              <w:rPr>
                <w:rFonts w:ascii="Arial" w:cs="Arial" w:eastAsia="Arial" w:hAnsi="Arial"/>
                <w:sz w:val="18"/>
                <w:szCs w:val="18"/>
                <w:color w:val="0000EE"/>
                <w:w w:val="90"/>
              </w:rPr>
            </w:pPr>
            <w:hyperlink w:anchor="page67">
              <w:r>
                <w:rPr>
                  <w:rFonts w:ascii="Arial" w:cs="Arial" w:eastAsia="Arial" w:hAnsi="Arial"/>
                  <w:sz w:val="18"/>
                  <w:szCs w:val="18"/>
                  <w:color w:val="0000EE"/>
                  <w:w w:val="90"/>
                </w:rPr>
                <w:t>Item 4.</w:t>
              </w:r>
            </w:hyperlink>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Mine Safety Disclosures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ind w:right="40"/>
              <w:spacing w:after="0" w:line="176" w:lineRule="exact"/>
              <w:rPr>
                <w:rFonts w:ascii="Arial" w:cs="Arial" w:eastAsia="Arial" w:hAnsi="Arial"/>
                <w:sz w:val="18"/>
                <w:szCs w:val="18"/>
                <w:color w:val="0000EE"/>
                <w:w w:val="90"/>
              </w:rPr>
            </w:pPr>
            <w:hyperlink w:anchor="page67">
              <w:r>
                <w:rPr>
                  <w:rFonts w:ascii="Arial" w:cs="Arial" w:eastAsia="Arial" w:hAnsi="Arial"/>
                  <w:sz w:val="18"/>
                  <w:szCs w:val="18"/>
                  <w:color w:val="0000EE"/>
                  <w:w w:val="90"/>
                </w:rPr>
                <w:t>Item 5.</w:t>
              </w:r>
            </w:hyperlink>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Other Information</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ind w:right="40"/>
              <w:spacing w:after="0" w:line="17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Item 6.</w:t>
              </w:r>
            </w:hyperlink>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Exhibits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gridSpan w:val="2"/>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80" w:type="dxa"/>
            <w:vAlign w:val="bottom"/>
            <w:gridSpan w:val="28"/>
            <w:shd w:val="clear" w:color="auto" w:fill="CCEEFF"/>
          </w:tcPr>
          <w:p>
            <w:pPr>
              <w:spacing w:after="0" w:line="176" w:lineRule="exact"/>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SIGNATURES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38"/>
        </w:trPr>
        <w:tc>
          <w:tcPr>
            <w:tcW w:w="20" w:type="dxa"/>
            <w:vAlign w:val="bottom"/>
            <w:tcBorders>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210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Assets and Liabilities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71"/>
              <w:spacing w:after="0"/>
              <w:rPr>
                <w:sz w:val="20"/>
                <w:szCs w:val="20"/>
                <w:color w:val="auto"/>
              </w:rPr>
            </w:pPr>
            <w:r>
              <w:rPr>
                <w:rFonts w:ascii="Arial" w:cs="Arial" w:eastAsia="Arial" w:hAnsi="Arial"/>
                <w:sz w:val="14"/>
                <w:szCs w:val="14"/>
                <w:b w:val="1"/>
                <w:bCs w:val="1"/>
                <w:color w:val="auto"/>
                <w:w w:val="94"/>
              </w:rPr>
              <w:t>June 30, 2021</w:t>
            </w:r>
          </w:p>
        </w:tc>
        <w:tc>
          <w:tcPr>
            <w:tcW w:w="2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71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Non-control/non-affiliate investments at fair value (cost of $570,412,489 and $532,676,057,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575,594,218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541,978,736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w w:val="93"/>
              </w:rPr>
              <w:t>Control/affiliate investments at fair value (cost of $13,911,494 and $13,911,494, respectively)</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12,022,944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9,845,854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71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Investment in U.S. Treasury Bills at fair value (cost of $29,999,896 and $70,001,472,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29,999,881</w:t>
            </w:r>
          </w:p>
        </w:tc>
        <w:tc>
          <w:tcPr>
            <w:tcW w:w="2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70,002,060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Total investments at fair value (cost of $614,323,879 and $616,589,023, respectively)</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3"/>
              </w:rPr>
              <w:t>617,617,043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5"/>
              </w:rPr>
              <w:t>621,826,650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892,584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14,886,246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Accrued interest receivable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2,233,161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2,682,405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Other accounts receivable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Prepaid and deferred expenses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408,875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7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621,381,413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639,891,397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 w:type="dxa"/>
            <w:vAlign w:val="bottom"/>
            <w:vMerge w:val="restart"/>
          </w:tcPr>
          <w:p>
            <w:pPr>
              <w:spacing w:after="0"/>
              <w:rPr>
                <w:sz w:val="17"/>
                <w:szCs w:val="17"/>
                <w:color w:val="auto"/>
              </w:rPr>
            </w:pPr>
          </w:p>
        </w:tc>
        <w:tc>
          <w:tcPr>
            <w:tcW w:w="7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Debt: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Credit facilities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117,000,000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7100" w:type="dxa"/>
            <w:vAlign w:val="bottom"/>
          </w:tcPr>
          <w:p>
            <w:pPr>
              <w:ind w:left="100"/>
              <w:spacing w:after="0" w:line="201" w:lineRule="exact"/>
              <w:rPr>
                <w:sz w:val="20"/>
                <w:szCs w:val="20"/>
                <w:color w:val="auto"/>
              </w:rPr>
            </w:pPr>
            <w:r>
              <w:rPr>
                <w:rFonts w:ascii="Arial" w:cs="Arial" w:eastAsia="Arial" w:hAnsi="Arial"/>
                <w:sz w:val="18"/>
                <w:szCs w:val="18"/>
                <w:color w:val="auto"/>
                <w:w w:val="99"/>
              </w:rPr>
              <w:t>Deferred credit facility fees (net of accumulated amortization of $615,908 and $383,873,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71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respectively)</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(1,363,516)</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(1,583,230)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debt, less unamortized deferred financing costs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115,636,484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97,416,770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Reverse repurchase agreement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19,900,000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69,650,000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Accrued incentive fees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6,073,854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5,007,065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Due to affiliate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116,544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143,515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761,124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1,154,310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962,348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7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143,642,316</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173,647,712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vMerge w:val="restart"/>
          </w:tcPr>
          <w:p>
            <w:pPr>
              <w:spacing w:after="0"/>
              <w:rPr>
                <w:sz w:val="17"/>
                <w:szCs w:val="17"/>
                <w:color w:val="auto"/>
              </w:rPr>
            </w:pPr>
          </w:p>
        </w:tc>
        <w:tc>
          <w:tcPr>
            <w:tcW w:w="7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vMerge w:val="restart"/>
          </w:tcPr>
          <w:p>
            <w:pPr>
              <w:spacing w:after="0"/>
              <w:rPr>
                <w:sz w:val="18"/>
                <w:szCs w:val="18"/>
                <w:color w:val="auto"/>
              </w:rPr>
            </w:pPr>
          </w:p>
        </w:tc>
        <w:tc>
          <w:tcPr>
            <w:tcW w:w="7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7100" w:type="dxa"/>
            <w:vAlign w:val="bottom"/>
          </w:tcPr>
          <w:p>
            <w:pPr>
              <w:ind w:left="100"/>
              <w:spacing w:after="0" w:line="201" w:lineRule="exact"/>
              <w:rPr>
                <w:sz w:val="20"/>
                <w:szCs w:val="20"/>
                <w:color w:val="auto"/>
              </w:rPr>
            </w:pPr>
            <w:r>
              <w:rPr>
                <w:rFonts w:ascii="Arial" w:cs="Arial" w:eastAsia="Arial" w:hAnsi="Arial"/>
                <w:sz w:val="18"/>
                <w:szCs w:val="18"/>
                <w:color w:val="auto"/>
                <w:w w:val="94"/>
              </w:rPr>
              <w:t>Common stock, $0.01 par value; 100,000,000 shares authorized; 32,690,454 and 31,414,051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7100" w:type="dxa"/>
            <w:vAlign w:val="bottom"/>
          </w:tcPr>
          <w:p>
            <w:pPr>
              <w:ind w:left="100"/>
              <w:spacing w:after="0"/>
              <w:rPr>
                <w:sz w:val="20"/>
                <w:szCs w:val="20"/>
                <w:color w:val="auto"/>
              </w:rPr>
            </w:pPr>
            <w:r>
              <w:rPr>
                <w:rFonts w:ascii="Arial" w:cs="Arial" w:eastAsia="Arial" w:hAnsi="Arial"/>
                <w:sz w:val="18"/>
                <w:szCs w:val="18"/>
                <w:color w:val="auto"/>
              </w:rPr>
              <w:t>shares issued and outstanding, respectively</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326,904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314,140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485,755,211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466,872,304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1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Distributable (losses) earnings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(8,343,018)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7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Total net assets</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477,739,097</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466,243,685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vMerge w:val="restart"/>
          </w:tcPr>
          <w:p>
            <w:pPr>
              <w:spacing w:after="0"/>
              <w:rPr>
                <w:sz w:val="17"/>
                <w:szCs w:val="17"/>
                <w:color w:val="auto"/>
              </w:rPr>
            </w:pPr>
          </w:p>
        </w:tc>
        <w:tc>
          <w:tcPr>
            <w:tcW w:w="7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100" w:type="dxa"/>
            <w:vAlign w:val="bottom"/>
            <w:tcBorders>
              <w:top w:val="single" w:sz="8" w:color="CCEEFF"/>
              <w:bottom w:val="single" w:sz="8" w:color="CCEEFF"/>
            </w:tcBorders>
            <w:vMerge w:val="restart"/>
          </w:tcPr>
          <w:p>
            <w:pPr>
              <w:ind w:left="4020"/>
              <w:spacing w:after="0"/>
              <w:rPr>
                <w:sz w:val="20"/>
                <w:szCs w:val="20"/>
                <w:color w:val="auto"/>
              </w:rPr>
            </w:pPr>
            <w:r>
              <w:rPr>
                <w:rFonts w:ascii="Arial" w:cs="Arial" w:eastAsia="Arial" w:hAnsi="Arial"/>
                <w:sz w:val="18"/>
                <w:szCs w:val="18"/>
                <w:color w:val="auto"/>
              </w:rPr>
              <w:t>See notes to financial statements.</w:t>
            </w: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 w:type="dxa"/>
            <w:vAlign w:val="bottom"/>
          </w:tcPr>
          <w:p>
            <w:pPr>
              <w:spacing w:after="0"/>
              <w:rPr>
                <w:sz w:val="24"/>
                <w:szCs w:val="24"/>
                <w:color w:val="auto"/>
              </w:rPr>
            </w:pPr>
          </w:p>
        </w:tc>
        <w:tc>
          <w:tcPr>
            <w:tcW w:w="71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7180" w:type="dxa"/>
            <w:vAlign w:val="bottom"/>
            <w:gridSpan w:val="2"/>
          </w:tcPr>
          <w:p>
            <w:pPr>
              <w:jc w:val="right"/>
              <w:ind w:right="209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8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Six Months Ended</w:t>
            </w: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June 30, 2021</w:t>
            </w:r>
          </w:p>
        </w:tc>
        <w:tc>
          <w:tcPr>
            <w:tcW w:w="18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Pr>
          <w:p>
            <w:pPr>
              <w:spacing w:after="0"/>
              <w:rPr>
                <w:sz w:val="14"/>
                <w:szCs w:val="1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June 30, 2021</w:t>
            </w:r>
          </w:p>
        </w:tc>
        <w:tc>
          <w:tcPr>
            <w:tcW w:w="120" w:type="dxa"/>
            <w:vAlign w:val="bottom"/>
          </w:tcPr>
          <w:p>
            <w:pPr>
              <w:spacing w:after="0"/>
              <w:rPr>
                <w:sz w:val="14"/>
                <w:szCs w:val="14"/>
                <w:color w:val="auto"/>
              </w:rPr>
            </w:pPr>
          </w:p>
        </w:tc>
        <w:tc>
          <w:tcPr>
            <w:tcW w:w="1020" w:type="dxa"/>
            <w:vAlign w:val="bottom"/>
          </w:tcPr>
          <w:p>
            <w:pPr>
              <w:jc w:val="right"/>
              <w:ind w:right="75"/>
              <w:spacing w:after="0"/>
              <w:rPr>
                <w:sz w:val="20"/>
                <w:szCs w:val="20"/>
                <w:color w:val="auto"/>
              </w:rPr>
            </w:pPr>
            <w:r>
              <w:rPr>
                <w:rFonts w:ascii="Arial" w:cs="Arial" w:eastAsia="Arial" w:hAnsi="Arial"/>
                <w:sz w:val="14"/>
                <w:szCs w:val="14"/>
                <w:b w:val="1"/>
                <w:bCs w:val="1"/>
                <w:color w:val="auto"/>
                <w:w w:val="92"/>
              </w:rPr>
              <w:t>June 30, 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Investment income</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ind w:left="100"/>
              <w:spacing w:after="0"/>
              <w:rPr>
                <w:sz w:val="20"/>
                <w:szCs w:val="20"/>
                <w:color w:val="auto"/>
              </w:rPr>
            </w:pPr>
            <w:r>
              <w:rPr>
                <w:rFonts w:ascii="Arial" w:cs="Arial" w:eastAsia="Arial" w:hAnsi="Arial"/>
                <w:sz w:val="17"/>
                <w:szCs w:val="17"/>
                <w:color w:val="auto"/>
              </w:rPr>
              <w:t>From non-control/non-affiliate: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Interest income</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17,229,488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10,944,773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32,250,053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24,572,148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ind w:left="200"/>
              <w:spacing w:after="0"/>
              <w:rPr>
                <w:sz w:val="20"/>
                <w:szCs w:val="20"/>
                <w:color w:val="auto"/>
              </w:rPr>
            </w:pPr>
            <w:r>
              <w:rPr>
                <w:rFonts w:ascii="Arial" w:cs="Arial" w:eastAsia="Arial" w:hAnsi="Arial"/>
                <w:sz w:val="17"/>
                <w:szCs w:val="17"/>
                <w:color w:val="auto"/>
              </w:rPr>
              <w:t>Payment in-kind interest income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1,045,527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249,917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1,989,558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767,847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 income</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126,678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160,293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240,970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564,843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ind w:left="200"/>
              <w:spacing w:after="0"/>
              <w:rPr>
                <w:sz w:val="20"/>
                <w:szCs w:val="20"/>
                <w:color w:val="auto"/>
              </w:rPr>
            </w:pPr>
            <w:r>
              <w:rPr>
                <w:rFonts w:ascii="Arial" w:cs="Arial" w:eastAsia="Arial" w:hAnsi="Arial"/>
                <w:sz w:val="17"/>
                <w:szCs w:val="17"/>
                <w:color w:val="auto"/>
              </w:rPr>
              <w:t>Interest income from U.S. Treasury Bills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527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17,096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Dividend income</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343,755</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438,034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687,510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667,204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Other income from non-investment sources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7,510</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32,773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investment income</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18,745,602</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11,801,054</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35,168,376</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26,621,911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expenses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ind w:left="100"/>
              <w:spacing w:after="0"/>
              <w:rPr>
                <w:sz w:val="20"/>
                <w:szCs w:val="20"/>
                <w:color w:val="auto"/>
              </w:rPr>
            </w:pPr>
            <w:r>
              <w:rPr>
                <w:rFonts w:ascii="Arial" w:cs="Arial" w:eastAsia="Arial" w:hAnsi="Arial"/>
                <w:sz w:val="17"/>
                <w:szCs w:val="17"/>
                <w:color w:val="auto"/>
              </w:rPr>
              <w:t>Management fees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2,276,341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1,758,729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4,345,550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3,295,677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Incentive fees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2,836,303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905,858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3,812,007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3,220,976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ind w:left="100"/>
              <w:spacing w:after="0"/>
              <w:rPr>
                <w:sz w:val="20"/>
                <w:szCs w:val="20"/>
                <w:color w:val="auto"/>
              </w:rPr>
            </w:pPr>
            <w:r>
              <w:rPr>
                <w:rFonts w:ascii="Arial" w:cs="Arial" w:eastAsia="Arial" w:hAnsi="Arial"/>
                <w:sz w:val="17"/>
                <w:szCs w:val="17"/>
                <w:color w:val="auto"/>
              </w:rPr>
              <w:t>Interest expense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761,815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23,082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1,489,730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187,494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Professional fees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429,902</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383,360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646,065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721,173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ind w:left="100"/>
              <w:spacing w:after="0"/>
              <w:rPr>
                <w:sz w:val="20"/>
                <w:szCs w:val="20"/>
                <w:color w:val="auto"/>
              </w:rPr>
            </w:pPr>
            <w:r>
              <w:rPr>
                <w:rFonts w:ascii="Arial" w:cs="Arial" w:eastAsia="Arial" w:hAnsi="Arial"/>
                <w:sz w:val="17"/>
                <w:szCs w:val="17"/>
                <w:color w:val="auto"/>
              </w:rPr>
              <w:t>Overhead allocation expense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208,736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161,665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406,119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345,983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Administration fee</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92,760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121,369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240,860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245,680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ind w:left="100"/>
              <w:spacing w:after="0"/>
              <w:rPr>
                <w:sz w:val="20"/>
                <w:szCs w:val="20"/>
                <w:color w:val="auto"/>
              </w:rPr>
            </w:pPr>
            <w:r>
              <w:rPr>
                <w:rFonts w:ascii="Arial" w:cs="Arial" w:eastAsia="Arial" w:hAnsi="Arial"/>
                <w:sz w:val="17"/>
                <w:szCs w:val="17"/>
                <w:color w:val="auto"/>
              </w:rPr>
              <w:t>Facility fees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419,216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199,993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709,201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378,722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Directors’ fees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69,250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60,250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134,000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ind w:left="100"/>
              <w:spacing w:after="0"/>
              <w:rPr>
                <w:sz w:val="20"/>
                <w:szCs w:val="20"/>
                <w:color w:val="auto"/>
              </w:rPr>
            </w:pPr>
            <w:r>
              <w:rPr>
                <w:rFonts w:ascii="Arial" w:cs="Arial" w:eastAsia="Arial" w:hAnsi="Arial"/>
                <w:sz w:val="17"/>
                <w:szCs w:val="17"/>
                <w:color w:val="auto"/>
              </w:rPr>
              <w:t>Consulting fees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27,500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13,301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42,500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30,301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Tax expense</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ind w:left="100"/>
              <w:spacing w:after="0"/>
              <w:rPr>
                <w:sz w:val="20"/>
                <w:szCs w:val="20"/>
                <w:color w:val="auto"/>
              </w:rPr>
            </w:pPr>
            <w:r>
              <w:rPr>
                <w:rFonts w:ascii="Arial" w:cs="Arial" w:eastAsia="Arial" w:hAnsi="Arial"/>
                <w:sz w:val="17"/>
                <w:szCs w:val="17"/>
                <w:color w:val="auto"/>
              </w:rPr>
              <w:t>Insurance expense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23,275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26,438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46,551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52,876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General and administrative expenses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Other expenses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259,986</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268,638</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472,612</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468,032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7,405,125</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3,927,213</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12,346,165</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9,104,483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Net investment income</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11,340,477</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7,873,841</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22,822,211</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17,517,428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7"/>
                <w:szCs w:val="17"/>
                <w:b w:val="1"/>
                <w:bCs w:val="1"/>
                <w:color w:val="auto"/>
              </w:rPr>
              <w:t>Realized and unrealized gain (loss) on investments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00" w:type="dxa"/>
            <w:vAlign w:val="bottom"/>
            <w:shd w:val="clear" w:color="auto" w:fill="CCEEFF"/>
          </w:tcPr>
          <w:p>
            <w:pPr>
              <w:ind w:left="100"/>
              <w:spacing w:after="0" w:line="185" w:lineRule="exact"/>
              <w:rPr>
                <w:sz w:val="20"/>
                <w:szCs w:val="20"/>
                <w:color w:val="auto"/>
              </w:rPr>
            </w:pPr>
            <w:r>
              <w:rPr>
                <w:rFonts w:ascii="Arial" w:cs="Arial" w:eastAsia="Arial" w:hAnsi="Arial"/>
                <w:sz w:val="17"/>
                <w:szCs w:val="17"/>
                <w:color w:val="auto"/>
                <w:w w:val="93"/>
              </w:rPr>
              <w:t>Realized gain (loss) on non-control/non-affiliate investments,</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4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including U.S. Treasury Bills</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(4,595,853)</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203,854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(4,795,077)</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(6,513,408)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00" w:type="dxa"/>
            <w:vAlign w:val="bottom"/>
          </w:tcPr>
          <w:p>
            <w:pPr>
              <w:ind w:left="100"/>
              <w:spacing w:after="0" w:line="185" w:lineRule="exact"/>
              <w:rPr>
                <w:sz w:val="20"/>
                <w:szCs w:val="20"/>
                <w:color w:val="auto"/>
              </w:rPr>
            </w:pPr>
            <w:r>
              <w:rPr>
                <w:rFonts w:ascii="Arial" w:cs="Arial" w:eastAsia="Arial" w:hAnsi="Arial"/>
                <w:sz w:val="17"/>
                <w:szCs w:val="17"/>
                <w:color w:val="auto"/>
                <w:w w:val="93"/>
              </w:rPr>
              <w:t>Net change in unrealized appreciation (depreciation) on non-</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ind w:left="100"/>
              <w:spacing w:after="0"/>
              <w:rPr>
                <w:sz w:val="20"/>
                <w:szCs w:val="20"/>
                <w:color w:val="auto"/>
              </w:rPr>
            </w:pPr>
            <w:r>
              <w:rPr>
                <w:rFonts w:ascii="Arial" w:cs="Arial" w:eastAsia="Arial" w:hAnsi="Arial"/>
                <w:sz w:val="17"/>
                <w:szCs w:val="17"/>
                <w:color w:val="auto"/>
              </w:rPr>
              <w:t>control/non-affiliate investments, including U.S. Treasury</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7"/>
                <w:szCs w:val="17"/>
                <w:color w:val="auto"/>
              </w:rPr>
              <w:t>Bills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(1,683,287)</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5,496,594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(4,121,553)</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4,317,513</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400" w:type="dxa"/>
            <w:vAlign w:val="bottom"/>
            <w:shd w:val="clear" w:color="auto" w:fill="CCEEFF"/>
          </w:tcPr>
          <w:p>
            <w:pPr>
              <w:ind w:left="100"/>
              <w:spacing w:after="0" w:line="187" w:lineRule="exact"/>
              <w:rPr>
                <w:sz w:val="20"/>
                <w:szCs w:val="20"/>
                <w:color w:val="auto"/>
              </w:rPr>
            </w:pPr>
            <w:r>
              <w:rPr>
                <w:rFonts w:ascii="Arial" w:cs="Arial" w:eastAsia="Arial" w:hAnsi="Arial"/>
                <w:sz w:val="17"/>
                <w:szCs w:val="17"/>
                <w:color w:val="auto"/>
              </w:rPr>
              <w:t>Net change in unrealized appreciation on control/affiliate</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4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investments</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1,650,006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2,177,090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w w:val="99"/>
              </w:rPr>
              <w:t>Net realized and unrealized gain (loss) on investments</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(4,629,134)</w:t>
            </w:r>
          </w:p>
        </w:tc>
        <w:tc>
          <w:tcPr>
            <w:tcW w:w="1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5,700,448</w:t>
            </w:r>
          </w:p>
        </w:tc>
        <w:tc>
          <w:tcPr>
            <w:tcW w:w="1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(6,739,540)</w:t>
            </w:r>
          </w:p>
        </w:tc>
        <w:tc>
          <w:tcPr>
            <w:tcW w:w="1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(2,195,895)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00" w:type="dxa"/>
            <w:vAlign w:val="bottom"/>
          </w:tcPr>
          <w:p>
            <w:pPr>
              <w:spacing w:after="0"/>
              <w:rPr>
                <w:sz w:val="20"/>
                <w:szCs w:val="20"/>
                <w:color w:val="auto"/>
              </w:rPr>
            </w:pPr>
            <w:r>
              <w:rPr>
                <w:rFonts w:ascii="Arial" w:cs="Arial" w:eastAsia="Arial" w:hAnsi="Arial"/>
                <w:sz w:val="17"/>
                <w:szCs w:val="17"/>
                <w:b w:val="1"/>
                <w:bCs w:val="1"/>
                <w:color w:val="auto"/>
              </w:rPr>
              <w:t>Net increase in net assets resulting from operations</w:t>
            </w:r>
          </w:p>
        </w:tc>
        <w:tc>
          <w:tcPr>
            <w:tcW w:w="26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6,711,343</w:t>
            </w:r>
          </w:p>
        </w:tc>
        <w:tc>
          <w:tcPr>
            <w:tcW w:w="14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13,574,289</w:t>
            </w:r>
          </w:p>
        </w:tc>
        <w:tc>
          <w:tcPr>
            <w:tcW w:w="16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16,082,671</w:t>
            </w:r>
          </w:p>
        </w:tc>
        <w:tc>
          <w:tcPr>
            <w:tcW w:w="16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15,321,533</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4400" w:type="dxa"/>
            <w:vAlign w:val="bottom"/>
          </w:tcPr>
          <w:p>
            <w:pPr>
              <w:spacing w:after="0" w:line="185" w:lineRule="exact"/>
              <w:rPr>
                <w:sz w:val="20"/>
                <w:szCs w:val="20"/>
                <w:color w:val="auto"/>
              </w:rPr>
            </w:pPr>
            <w:r>
              <w:rPr>
                <w:rFonts w:ascii="Arial" w:cs="Arial" w:eastAsia="Arial" w:hAnsi="Arial"/>
                <w:sz w:val="17"/>
                <w:szCs w:val="17"/>
                <w:color w:val="auto"/>
              </w:rPr>
              <w:t>Net increase in net assets resulting from operations per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7"/>
                <w:szCs w:val="17"/>
                <w:color w:val="auto"/>
              </w:rPr>
              <w:t>common share</w:t>
            </w:r>
          </w:p>
        </w:tc>
        <w:tc>
          <w:tcPr>
            <w:tcW w:w="26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0.21</w:t>
            </w:r>
          </w:p>
        </w:tc>
        <w:tc>
          <w:tcPr>
            <w:tcW w:w="14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0.51</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0.50</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0.58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Net investment income per common share</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0.35</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7"/>
                <w:szCs w:val="17"/>
                <w:color w:val="auto"/>
              </w:rPr>
              <w:t>Weighted-average shares outstanding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32,396,396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26,645,717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31,953,287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26,266,501</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Three Months Ended</w:t>
            </w:r>
          </w:p>
        </w:tc>
        <w:tc>
          <w:tcPr>
            <w:tcW w:w="8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Six Months Ended</w:t>
            </w:r>
          </w:p>
        </w:tc>
        <w:tc>
          <w:tcPr>
            <w:tcW w:w="8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June 30, 2021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June 30, 2021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71"/>
              <w:spacing w:after="0"/>
              <w:rPr>
                <w:sz w:val="20"/>
                <w:szCs w:val="20"/>
                <w:color w:val="auto"/>
              </w:rPr>
            </w:pPr>
            <w:r>
              <w:rPr>
                <w:rFonts w:ascii="Arial" w:cs="Arial" w:eastAsia="Arial" w:hAnsi="Arial"/>
                <w:sz w:val="14"/>
                <w:szCs w:val="14"/>
                <w:b w:val="1"/>
                <w:bCs w:val="1"/>
                <w:color w:val="auto"/>
                <w:w w:val="94"/>
              </w:rPr>
              <w:t>June 30, 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from operations</w:t>
            </w: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Net investment income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11,340,477</w:t>
            </w:r>
          </w:p>
        </w:tc>
        <w:tc>
          <w:tcPr>
            <w:tcW w:w="8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7,873,841</w:t>
            </w:r>
          </w:p>
        </w:tc>
        <w:tc>
          <w:tcPr>
            <w:tcW w:w="1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22,822,211</w:t>
            </w:r>
          </w:p>
        </w:tc>
        <w:tc>
          <w:tcPr>
            <w:tcW w:w="8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17,517,428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Realized gain (loss) on non-control/non-affiliate</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including U.S. Treasury Bills</w:t>
            </w: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(4,595,853)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203,854</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(4,795,077)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(6,513,408)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80" w:type="dxa"/>
            <w:vAlign w:val="bottom"/>
          </w:tcPr>
          <w:p>
            <w:pPr>
              <w:spacing w:after="0" w:line="201" w:lineRule="exact"/>
              <w:rPr>
                <w:sz w:val="20"/>
                <w:szCs w:val="20"/>
                <w:color w:val="auto"/>
              </w:rPr>
            </w:pPr>
            <w:r>
              <w:rPr>
                <w:rFonts w:ascii="Arial" w:cs="Arial" w:eastAsia="Arial" w:hAnsi="Arial"/>
                <w:sz w:val="18"/>
                <w:szCs w:val="18"/>
                <w:color w:val="auto"/>
              </w:rPr>
              <w:t>Net change in unrealized appreciation (depreciation) on</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non-control/non-affiliate investments, including U.S.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Treasury Bills</w:t>
            </w:r>
          </w:p>
        </w:tc>
        <w:tc>
          <w:tcPr>
            <w:tcW w:w="18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(1,683,287)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5,496,594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(4,121,553)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4,317,513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Net change in unrealized appreciation on control/affiliate</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1,650,006</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2,177,090</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6,711,343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13,574,289</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16,082,671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15,321,533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Distributions to stockholders from:</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to stockholders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(11,859,731)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(9,242,578)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(23,482,930)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(19,567,064)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distributions to stockholders</w:t>
            </w: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(11,859,731)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(9,242,578)</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(23,482,930)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(19,567,064)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Capital share transactions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of common stock</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80" w:type="dxa"/>
            <w:vAlign w:val="bottom"/>
          </w:tcPr>
          <w:p>
            <w:pPr>
              <w:spacing w:after="0" w:line="201" w:lineRule="exact"/>
              <w:rPr>
                <w:sz w:val="20"/>
                <w:szCs w:val="20"/>
                <w:color w:val="auto"/>
              </w:rPr>
            </w:pPr>
            <w:r>
              <w:rPr>
                <w:rFonts w:ascii="Arial" w:cs="Arial" w:eastAsia="Arial" w:hAnsi="Arial"/>
                <w:sz w:val="18"/>
                <w:szCs w:val="18"/>
                <w:color w:val="auto"/>
              </w:rPr>
              <w:t>Issuance of shares of common stock under dividend</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reinvestment plan</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9,410,371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7,538,541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18,593,591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15,923,964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Offering costs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(7,836)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(52,904)</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480" w:type="dxa"/>
            <w:vAlign w:val="bottom"/>
          </w:tcPr>
          <w:p>
            <w:pPr>
              <w:spacing w:after="0" w:line="177" w:lineRule="exact"/>
              <w:rPr>
                <w:sz w:val="20"/>
                <w:szCs w:val="20"/>
                <w:color w:val="auto"/>
              </w:rPr>
            </w:pPr>
            <w:r>
              <w:rPr>
                <w:rFonts w:ascii="Arial" w:cs="Arial" w:eastAsia="Arial" w:hAnsi="Arial"/>
                <w:sz w:val="18"/>
                <w:szCs w:val="18"/>
                <w:b w:val="1"/>
                <w:bCs w:val="1"/>
                <w:color w:val="auto"/>
                <w:w w:val="96"/>
              </w:rPr>
              <w:t>Net increase in net assets resulting from capital share</w:t>
            </w: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transactions</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9,410,061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7,530,705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18,895,671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16,186,368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4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increase in net assets</w:t>
            </w: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4,261,673</w:t>
            </w: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11,862,416</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11,495,412</w:t>
            </w: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11,940,837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assets at beginning of period</w:t>
            </w: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473,477,424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376,391,642</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466,243,685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376,313,221</w:t>
            </w:r>
          </w:p>
        </w:tc>
        <w:tc>
          <w:tcPr>
            <w:tcW w:w="0" w:type="dxa"/>
            <w:vAlign w:val="bottom"/>
          </w:tcPr>
          <w:p>
            <w:pPr>
              <w:spacing w:after="0"/>
              <w:rPr>
                <w:sz w:val="1"/>
                <w:szCs w:val="1"/>
                <w:color w:val="auto"/>
              </w:rPr>
            </w:pPr>
          </w:p>
        </w:tc>
      </w:tr>
      <w:tr>
        <w:trPr>
          <w:trHeight w:val="249"/>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Net assets at end of period</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477,739,097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388,254,058</w:t>
            </w: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477,739,097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388,254,058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Capital share activity</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Shares issued</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637,127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529,020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1,276,403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Shares outstanding at beginning of period</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32,053,327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26,407,367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31,414,051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25,811,214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Shares outstanding at end of period</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32,690,454</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26,936,387</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32,690,454</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26,936,387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86"/>
              </w:rPr>
              <w:t>Six Months Ended</w:t>
            </w:r>
          </w:p>
        </w:tc>
        <w:tc>
          <w:tcPr>
            <w:tcW w:w="80" w:type="dxa"/>
            <w:vAlign w:val="bottom"/>
          </w:tcPr>
          <w:p>
            <w:pPr>
              <w:spacing w:after="0"/>
              <w:rPr>
                <w:sz w:val="13"/>
                <w:szCs w:val="13"/>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Six Months Ended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w w:val="99"/>
              </w:rPr>
              <w:t>June 30, 2021</w:t>
            </w:r>
          </w:p>
        </w:tc>
        <w:tc>
          <w:tcPr>
            <w:tcW w:w="80" w:type="dxa"/>
            <w:vAlign w:val="bottom"/>
          </w:tcPr>
          <w:p>
            <w:pPr>
              <w:spacing w:after="0"/>
              <w:rPr>
                <w:sz w:val="13"/>
                <w:szCs w:val="13"/>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June 30, 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100"/>
              <w:spacing w:after="0"/>
              <w:rPr>
                <w:sz w:val="20"/>
                <w:szCs w:val="20"/>
                <w:color w:val="auto"/>
              </w:rPr>
            </w:pPr>
            <w:r>
              <w:rPr>
                <w:rFonts w:ascii="Arial" w:cs="Arial" w:eastAsia="Arial" w:hAnsi="Arial"/>
                <w:sz w:val="16"/>
                <w:szCs w:val="16"/>
                <w:color w:val="auto"/>
              </w:rPr>
              <w:t>Net increase in net assets resulting from operations</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16,082,671</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15,321,533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16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3"/>
              </w:rPr>
              <w:t>Adjustments to reconcile net increase in net assets resulting from operations to net cash provided by (used</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 operating activities: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200"/>
              <w:spacing w:after="0"/>
              <w:rPr>
                <w:sz w:val="20"/>
                <w:szCs w:val="20"/>
                <w:color w:val="auto"/>
              </w:rPr>
            </w:pPr>
            <w:r>
              <w:rPr>
                <w:rFonts w:ascii="Arial" w:cs="Arial" w:eastAsia="Arial" w:hAnsi="Arial"/>
                <w:sz w:val="16"/>
                <w:szCs w:val="16"/>
                <w:color w:val="auto"/>
              </w:rPr>
              <w:t>Purchases of investments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(133,681,004)</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(100,537,492)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Purchases of U.S. Treasury Bills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(54,999,849)</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(94,999,834)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200"/>
              <w:spacing w:after="0"/>
              <w:rPr>
                <w:sz w:val="20"/>
                <w:szCs w:val="20"/>
                <w:color w:val="auto"/>
              </w:rPr>
            </w:pPr>
            <w:r>
              <w:rPr>
                <w:rFonts w:ascii="Arial" w:cs="Arial" w:eastAsia="Arial" w:hAnsi="Arial"/>
                <w:sz w:val="16"/>
                <w:szCs w:val="16"/>
                <w:color w:val="auto"/>
              </w:rPr>
              <w:t>Payment in-kind interest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(1,989,558)</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(767,847)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Sales or repayments of investments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96,783,551</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60,966,345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200"/>
              <w:spacing w:after="0"/>
              <w:rPr>
                <w:sz w:val="20"/>
                <w:szCs w:val="20"/>
                <w:color w:val="auto"/>
              </w:rPr>
            </w:pPr>
            <w:r>
              <w:rPr>
                <w:rFonts w:ascii="Arial" w:cs="Arial" w:eastAsia="Arial" w:hAnsi="Arial"/>
                <w:sz w:val="16"/>
                <w:szCs w:val="16"/>
                <w:color w:val="auto"/>
              </w:rPr>
              <w:t>Sales or maturities of U.S. Treasury Bills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94,999,162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149,986,014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Realized loss on investments, including U.S. Treasury Bills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4,795,077</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6,513,408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200"/>
              <w:spacing w:after="0"/>
              <w:rPr>
                <w:sz w:val="20"/>
                <w:szCs w:val="20"/>
                <w:color w:val="auto"/>
              </w:rPr>
            </w:pPr>
            <w:r>
              <w:rPr>
                <w:rFonts w:ascii="Arial" w:cs="Arial" w:eastAsia="Arial" w:hAnsi="Arial"/>
                <w:sz w:val="16"/>
                <w:szCs w:val="16"/>
                <w:color w:val="auto"/>
              </w:rPr>
              <w:t>Net change in unrealized appreciation (depreciation) on investments, including U.S. Treasury Bills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1,944,463</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(4,317,513)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Amortization of fixed income premiums or accretion of discounts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(3,660,438)</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(4,349,093)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200"/>
              <w:spacing w:after="0"/>
              <w:rPr>
                <w:sz w:val="20"/>
                <w:szCs w:val="20"/>
                <w:color w:val="auto"/>
              </w:rPr>
            </w:pPr>
            <w:r>
              <w:rPr>
                <w:rFonts w:ascii="Arial" w:cs="Arial" w:eastAsia="Arial" w:hAnsi="Arial"/>
                <w:sz w:val="16"/>
                <w:szCs w:val="16"/>
                <w:color w:val="auto"/>
              </w:rPr>
              <w:t>Amortization of deferred credit facility fees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232,034</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111,862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Changes in operating assets and liabilities: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200"/>
              <w:spacing w:after="0"/>
              <w:rPr>
                <w:sz w:val="20"/>
                <w:szCs w:val="20"/>
                <w:color w:val="auto"/>
              </w:rPr>
            </w:pPr>
            <w:r>
              <w:rPr>
                <w:rFonts w:ascii="Arial" w:cs="Arial" w:eastAsia="Arial" w:hAnsi="Arial"/>
                <w:sz w:val="16"/>
                <w:szCs w:val="16"/>
                <w:color w:val="auto"/>
              </w:rPr>
              <w:t>Accrued interest receivable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449,244</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125,470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accounts receivable</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129,250</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200"/>
              <w:spacing w:after="0"/>
              <w:rPr>
                <w:sz w:val="20"/>
                <w:szCs w:val="20"/>
                <w:color w:val="auto"/>
              </w:rPr>
            </w:pPr>
            <w:r>
              <w:rPr>
                <w:rFonts w:ascii="Arial" w:cs="Arial" w:eastAsia="Arial" w:hAnsi="Arial"/>
                <w:sz w:val="16"/>
                <w:szCs w:val="16"/>
                <w:color w:val="auto"/>
              </w:rPr>
              <w:t>Prepaid and deferred expenses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(271,779)</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97,690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Deferred revenue</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200"/>
              <w:spacing w:after="0"/>
              <w:rPr>
                <w:sz w:val="20"/>
                <w:szCs w:val="20"/>
                <w:color w:val="auto"/>
              </w:rPr>
            </w:pPr>
            <w:r>
              <w:rPr>
                <w:rFonts w:ascii="Arial" w:cs="Arial" w:eastAsia="Arial" w:hAnsi="Arial"/>
                <w:sz w:val="16"/>
                <w:szCs w:val="16"/>
                <w:color w:val="auto"/>
              </w:rPr>
              <w:t>Accrued incentive fees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1,066,789</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(802,863)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Due to affiliate</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(26,971)</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200"/>
              <w:spacing w:after="0"/>
              <w:rPr>
                <w:sz w:val="20"/>
                <w:szCs w:val="20"/>
                <w:color w:val="auto"/>
              </w:rPr>
            </w:pPr>
            <w:r>
              <w:rPr>
                <w:rFonts w:ascii="Arial" w:cs="Arial" w:eastAsia="Arial" w:hAnsi="Arial"/>
                <w:sz w:val="16"/>
                <w:szCs w:val="16"/>
                <w:color w:val="auto"/>
              </w:rPr>
              <w:t>Interest payable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293,110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(493,558)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expenses and other liabilities</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210,164</w:t>
            </w:r>
          </w:p>
        </w:tc>
        <w:tc>
          <w:tcPr>
            <w:tcW w:w="2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(442,834)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60" w:type="dxa"/>
            <w:vAlign w:val="bottom"/>
            <w:tcBorders>
              <w:bottom w:val="single" w:sz="8" w:color="CCEEFF"/>
            </w:tcBorders>
          </w:tcPr>
          <w:p>
            <w:pPr>
              <w:ind w:left="320"/>
              <w:spacing w:after="0"/>
              <w:rPr>
                <w:sz w:val="20"/>
                <w:szCs w:val="20"/>
                <w:color w:val="auto"/>
              </w:rPr>
            </w:pPr>
            <w:r>
              <w:rPr>
                <w:rFonts w:ascii="Arial" w:cs="Arial" w:eastAsia="Arial" w:hAnsi="Arial"/>
                <w:sz w:val="16"/>
                <w:szCs w:val="16"/>
                <w:b w:val="1"/>
                <w:bCs w:val="1"/>
                <w:color w:val="auto"/>
              </w:rPr>
              <w:t>Net cash provided by operating activities</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22,355,916</w:t>
            </w: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26,432,163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100"/>
              <w:spacing w:after="0"/>
              <w:rPr>
                <w:sz w:val="20"/>
                <w:szCs w:val="20"/>
                <w:color w:val="auto"/>
              </w:rPr>
            </w:pPr>
            <w:r>
              <w:rPr>
                <w:rFonts w:ascii="Arial" w:cs="Arial" w:eastAsia="Arial" w:hAnsi="Arial"/>
                <w:sz w:val="16"/>
                <w:szCs w:val="16"/>
                <w:color w:val="auto"/>
              </w:rPr>
              <w:t>Deferred credit facility fees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(12,320)</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Borrowings under credit facilities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93,000,000</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100"/>
              <w:spacing w:after="0"/>
              <w:rPr>
                <w:sz w:val="20"/>
                <w:szCs w:val="20"/>
                <w:color w:val="auto"/>
              </w:rPr>
            </w:pPr>
            <w:r>
              <w:rPr>
                <w:rFonts w:ascii="Arial" w:cs="Arial" w:eastAsia="Arial" w:hAnsi="Arial"/>
                <w:sz w:val="16"/>
                <w:szCs w:val="16"/>
                <w:color w:val="auto"/>
              </w:rPr>
              <w:t>Repayments under credit facilities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(75,000,000)</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(83,000,000)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from reverse repurchase agreements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44,774,914</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94,524,501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100"/>
              <w:spacing w:after="0"/>
              <w:rPr>
                <w:sz w:val="20"/>
                <w:szCs w:val="20"/>
                <w:color w:val="auto"/>
              </w:rPr>
            </w:pPr>
            <w:r>
              <w:rPr>
                <w:rFonts w:ascii="Arial" w:cs="Arial" w:eastAsia="Arial" w:hAnsi="Arial"/>
                <w:sz w:val="16"/>
                <w:szCs w:val="16"/>
                <w:color w:val="auto"/>
              </w:rPr>
              <w:t>Repayments of reverse repurchase agreements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(94,524,914)</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(124,345,001)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Dividends paid to stockholders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(4,889,338)</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(3,643,100)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100"/>
              <w:spacing w:after="0"/>
              <w:rPr>
                <w:sz w:val="20"/>
                <w:szCs w:val="20"/>
                <w:color w:val="auto"/>
              </w:rPr>
            </w:pPr>
            <w:r>
              <w:rPr>
                <w:rFonts w:ascii="Arial" w:cs="Arial" w:eastAsia="Arial" w:hAnsi="Arial"/>
                <w:sz w:val="16"/>
                <w:szCs w:val="16"/>
                <w:color w:val="auto"/>
              </w:rPr>
              <w:t>Offering costs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(4,831)</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(52,904)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cash received from common stock issued</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306,911</w:t>
            </w:r>
          </w:p>
        </w:tc>
        <w:tc>
          <w:tcPr>
            <w:tcW w:w="2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315,308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60" w:type="dxa"/>
            <w:vAlign w:val="bottom"/>
            <w:tcBorders>
              <w:bottom w:val="single" w:sz="8" w:color="CCEEFF"/>
            </w:tcBorders>
          </w:tcPr>
          <w:p>
            <w:pPr>
              <w:ind w:left="320"/>
              <w:spacing w:after="0"/>
              <w:rPr>
                <w:sz w:val="20"/>
                <w:szCs w:val="20"/>
                <w:color w:val="auto"/>
              </w:rPr>
            </w:pPr>
            <w:r>
              <w:rPr>
                <w:rFonts w:ascii="Arial" w:cs="Arial" w:eastAsia="Arial" w:hAnsi="Arial"/>
                <w:sz w:val="16"/>
                <w:szCs w:val="16"/>
                <w:b w:val="1"/>
                <w:bCs w:val="1"/>
                <w:color w:val="auto"/>
              </w:rPr>
              <w:t>Net cash (used in) financing activities</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(36,349,578)</w:t>
            </w: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(69,226,196)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60" w:type="dxa"/>
            <w:vAlign w:val="bottom"/>
          </w:tcPr>
          <w:p>
            <w:pPr>
              <w:spacing w:after="0"/>
              <w:rPr>
                <w:sz w:val="20"/>
                <w:szCs w:val="20"/>
                <w:color w:val="auto"/>
              </w:rPr>
            </w:pPr>
            <w:r>
              <w:rPr>
                <w:rFonts w:ascii="Arial" w:cs="Arial" w:eastAsia="Arial" w:hAnsi="Arial"/>
                <w:sz w:val="16"/>
                <w:szCs w:val="16"/>
                <w:color w:val="auto"/>
              </w:rPr>
              <w:t>Net (decrease) in cash</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(13,993,662)</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(42,794,033)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and cash equivalents at beginning of period</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14,886,246</w:t>
            </w:r>
          </w:p>
        </w:tc>
        <w:tc>
          <w:tcPr>
            <w:tcW w:w="2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45,799,672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160" w:type="dxa"/>
            <w:vAlign w:val="bottom"/>
            <w:tcBorders>
              <w:bottom w:val="single" w:sz="8" w:color="CCEEFF"/>
            </w:tcBorders>
          </w:tcPr>
          <w:p>
            <w:pPr>
              <w:ind w:left="100"/>
              <w:spacing w:after="0"/>
              <w:rPr>
                <w:sz w:val="20"/>
                <w:szCs w:val="20"/>
                <w:color w:val="auto"/>
              </w:rPr>
            </w:pPr>
            <w:r>
              <w:rPr>
                <w:rFonts w:ascii="Arial" w:cs="Arial" w:eastAsia="Arial" w:hAnsi="Arial"/>
                <w:sz w:val="16"/>
                <w:szCs w:val="16"/>
                <w:b w:val="1"/>
                <w:bCs w:val="1"/>
                <w:color w:val="auto"/>
              </w:rPr>
              <w:t>Cash and cash equivalents at end of period</w:t>
            </w: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892,584</w:t>
            </w:r>
          </w:p>
        </w:tc>
        <w:tc>
          <w:tcPr>
            <w:tcW w:w="2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3,005,639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60" w:type="dxa"/>
            <w:vAlign w:val="bottom"/>
          </w:tcPr>
          <w:p>
            <w:pPr>
              <w:spacing w:after="0"/>
              <w:rPr>
                <w:sz w:val="20"/>
                <w:szCs w:val="20"/>
                <w:color w:val="auto"/>
              </w:rPr>
            </w:pPr>
            <w:r>
              <w:rPr>
                <w:rFonts w:ascii="Arial" w:cs="Arial" w:eastAsia="Arial" w:hAnsi="Arial"/>
                <w:sz w:val="16"/>
                <w:szCs w:val="16"/>
                <w:b w:val="1"/>
                <w:bCs w:val="1"/>
                <w:color w:val="auto"/>
              </w:rPr>
              <w:t>Supplemental and non-cash financing cash flow information:</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Taxes paid</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100"/>
              <w:spacing w:after="0"/>
              <w:rPr>
                <w:sz w:val="20"/>
                <w:szCs w:val="20"/>
                <w:color w:val="auto"/>
              </w:rPr>
            </w:pPr>
            <w:r>
              <w:rPr>
                <w:rFonts w:ascii="Arial" w:cs="Arial" w:eastAsia="Arial" w:hAnsi="Arial"/>
                <w:sz w:val="16"/>
                <w:szCs w:val="16"/>
                <w:color w:val="auto"/>
              </w:rPr>
              <w:t>Interest paid</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1,196,620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681,052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Non-cash portfolio purchases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648,744</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23,959,450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60" w:type="dxa"/>
            <w:vAlign w:val="bottom"/>
          </w:tcPr>
          <w:p>
            <w:pPr>
              <w:ind w:left="100"/>
              <w:spacing w:after="0"/>
              <w:rPr>
                <w:sz w:val="20"/>
                <w:szCs w:val="20"/>
                <w:color w:val="auto"/>
              </w:rPr>
            </w:pPr>
            <w:r>
              <w:rPr>
                <w:rFonts w:ascii="Arial" w:cs="Arial" w:eastAsia="Arial" w:hAnsi="Arial"/>
                <w:sz w:val="16"/>
                <w:szCs w:val="16"/>
                <w:color w:val="auto"/>
              </w:rPr>
              <w:t>Non-cash dividend reinvestments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18,593,591</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15,923,964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Acquisition</w:t>
            </w:r>
          </w:p>
        </w:tc>
        <w:tc>
          <w:tcPr>
            <w:tcW w:w="80" w:type="dxa"/>
            <w:vAlign w:val="bottom"/>
          </w:tcPr>
          <w:p>
            <w:pPr>
              <w:spacing w:after="0"/>
              <w:rPr>
                <w:sz w:val="12"/>
                <w:szCs w:val="12"/>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4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80" w:type="dxa"/>
            <w:vAlign w:val="bottom"/>
          </w:tcPr>
          <w:p>
            <w:pPr>
              <w:spacing w:after="0"/>
              <w:rPr>
                <w:sz w:val="12"/>
                <w:szCs w:val="12"/>
                <w:color w:val="auto"/>
              </w:rPr>
            </w:pPr>
          </w:p>
        </w:tc>
        <w:tc>
          <w:tcPr>
            <w:tcW w:w="11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Sub-Industry</w:t>
            </w:r>
          </w:p>
        </w:tc>
        <w:tc>
          <w:tcPr>
            <w:tcW w:w="80" w:type="dxa"/>
            <w:vAlign w:val="bottom"/>
          </w:tcPr>
          <w:p>
            <w:pPr>
              <w:spacing w:after="0"/>
              <w:rPr>
                <w:sz w:val="12"/>
                <w:szCs w:val="12"/>
                <w:color w:val="auto"/>
              </w:rPr>
            </w:pPr>
          </w:p>
        </w:tc>
        <w:tc>
          <w:tcPr>
            <w:tcW w:w="24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Cost</w:t>
            </w:r>
          </w:p>
        </w:tc>
        <w:tc>
          <w:tcPr>
            <w:tcW w:w="10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(2),(6)</w:t>
            </w: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2040" w:type="dxa"/>
            <w:vAlign w:val="bottom"/>
            <w:gridSpan w:val="8"/>
            <w:vMerge w:val="continue"/>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2"/>
            <w:vMerge w:val="continue"/>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20" w:type="dxa"/>
            <w:vAlign w:val="bottom"/>
            <w:tcBorders>
              <w:top w:val="single" w:sz="8" w:color="auto"/>
              <w:bottom w:val="single" w:sz="8" w:color="auto"/>
            </w:tcBorders>
            <w:gridSpan w:val="4"/>
            <w:shd w:val="clear" w:color="auto" w:fill="CCEEFF"/>
          </w:tcPr>
          <w:p>
            <w:pPr>
              <w:spacing w:after="0" w:line="102" w:lineRule="exact"/>
              <w:rPr>
                <w:sz w:val="20"/>
                <w:szCs w:val="20"/>
                <w:color w:val="auto"/>
              </w:rPr>
            </w:pPr>
            <w:r>
              <w:rPr>
                <w:rFonts w:ascii="Arial" w:cs="Arial" w:eastAsia="Arial" w:hAnsi="Arial"/>
                <w:sz w:val="11"/>
                <w:szCs w:val="11"/>
                <w:b w:val="1"/>
                <w:bCs w:val="1"/>
                <w:color w:val="auto"/>
              </w:rPr>
              <w:t>Control/affiliate investments</w:t>
            </w:r>
          </w:p>
        </w:tc>
        <w:tc>
          <w:tcPr>
            <w:tcW w:w="18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b w:val="1"/>
                <w:bCs w:val="1"/>
                <w:color w:val="auto"/>
                <w:w w:val="89"/>
              </w:rPr>
              <w:t>(15)</w:t>
            </w: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16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232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72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80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82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92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460" w:type="dxa"/>
            <w:vAlign w:val="bottom"/>
            <w:tcBorders>
              <w:top w:val="single" w:sz="8" w:color="auto"/>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60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6"/>
          </w:tcPr>
          <w:p>
            <w:pPr>
              <w:spacing w:after="0" w:line="129" w:lineRule="exact"/>
              <w:rPr>
                <w:sz w:val="20"/>
                <w:szCs w:val="20"/>
                <w:color w:val="auto"/>
              </w:rPr>
            </w:pPr>
            <w:r>
              <w:rPr>
                <w:rFonts w:ascii="Arial" w:cs="Arial" w:eastAsia="Arial" w:hAnsi="Arial"/>
                <w:sz w:val="14"/>
                <w:szCs w:val="14"/>
                <w:b w:val="1"/>
                <w:bCs w:val="1"/>
                <w:color w:val="auto"/>
                <w:w w:val="92"/>
              </w:rPr>
              <w:t>Senior Secured Term Loans</w:t>
            </w:r>
            <w:r>
              <w:rPr>
                <w:rFonts w:ascii="Arial" w:cs="Arial" w:eastAsia="Arial" w:hAnsi="Arial"/>
                <w:sz w:val="10"/>
                <w:szCs w:val="10"/>
                <w:b w:val="1"/>
                <w:bCs w:val="1"/>
                <w:color w:val="auto"/>
                <w:w w:val="92"/>
              </w:rPr>
              <w:t>(7),(8)</w:t>
            </w: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6"/>
            <w:shd w:val="clear" w:color="auto" w:fill="CCEEFF"/>
          </w:tcPr>
          <w:p>
            <w:pPr>
              <w:spacing w:after="0" w:line="130" w:lineRule="exact"/>
              <w:rPr>
                <w:sz w:val="20"/>
                <w:szCs w:val="20"/>
                <w:color w:val="auto"/>
              </w:rPr>
            </w:pPr>
            <w:r>
              <w:rPr>
                <w:rFonts w:ascii="Arial" w:cs="Arial" w:eastAsia="Arial" w:hAnsi="Arial"/>
                <w:sz w:val="14"/>
                <w:szCs w:val="14"/>
                <w:color w:val="auto"/>
              </w:rPr>
              <w:t>Mojix, Inc.</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Application</w:t>
            </w:r>
          </w:p>
        </w:tc>
        <w:tc>
          <w:tcPr>
            <w:tcW w:w="24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 LIBOR+12.00% PIK,</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ind w:left="80"/>
              <w:spacing w:after="0" w:line="157" w:lineRule="exact"/>
              <w:rPr>
                <w:sz w:val="20"/>
                <w:szCs w:val="20"/>
                <w:color w:val="auto"/>
              </w:rPr>
            </w:pPr>
            <w:r>
              <w:rPr>
                <w:rFonts w:ascii="Arial" w:cs="Arial" w:eastAsia="Arial" w:hAnsi="Arial"/>
                <w:sz w:val="14"/>
                <w:szCs w:val="14"/>
                <w:color w:val="auto"/>
              </w:rPr>
              <w:t>Software</w:t>
            </w:r>
          </w:p>
        </w:tc>
        <w:tc>
          <w:tcPr>
            <w:tcW w:w="2480" w:type="dxa"/>
            <w:vAlign w:val="bottom"/>
            <w:gridSpan w:val="3"/>
            <w:shd w:val="clear" w:color="auto" w:fill="CCEEFF"/>
          </w:tcPr>
          <w:p>
            <w:pPr>
              <w:ind w:left="80"/>
              <w:spacing w:after="0" w:line="157" w:lineRule="exact"/>
              <w:rPr>
                <w:sz w:val="20"/>
                <w:szCs w:val="20"/>
                <w:color w:val="auto"/>
              </w:rPr>
            </w:pPr>
            <w:r>
              <w:rPr>
                <w:rFonts w:ascii="Arial" w:cs="Arial" w:eastAsia="Arial" w:hAnsi="Arial"/>
                <w:sz w:val="14"/>
                <w:szCs w:val="14"/>
                <w:color w:val="auto"/>
              </w:rPr>
              <w:t>12.00% floor, 5% ETP, due 7/15/2021</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5/16/2017</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6,519,240</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6,502,036</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5,983,889</w:t>
            </w:r>
          </w:p>
        </w:tc>
        <w:tc>
          <w:tcPr>
            <w:tcW w:w="8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1.25 %</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10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8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II: LIBOR+12.00% PIK,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80" w:type="dxa"/>
            <w:vAlign w:val="bottom"/>
            <w:gridSpan w:val="3"/>
          </w:tcPr>
          <w:p>
            <w:pPr>
              <w:ind w:left="80"/>
              <w:spacing w:after="0" w:line="157" w:lineRule="exact"/>
              <w:rPr>
                <w:sz w:val="20"/>
                <w:szCs w:val="20"/>
                <w:color w:val="auto"/>
              </w:rPr>
            </w:pPr>
            <w:r>
              <w:rPr>
                <w:rFonts w:ascii="Arial" w:cs="Arial" w:eastAsia="Arial" w:hAnsi="Arial"/>
                <w:sz w:val="14"/>
                <w:szCs w:val="14"/>
                <w:color w:val="auto"/>
              </w:rPr>
              <w:t>12.00% floor, 5% ETP, due 7/15/2021</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8/3/2017</w:t>
            </w: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color w:val="auto"/>
              </w:rPr>
              <w:t>2,173,080</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2,170,069</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1,994,630</w:t>
            </w:r>
          </w:p>
        </w:tc>
        <w:tc>
          <w:tcPr>
            <w:tcW w:w="8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0.42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0" w:type="dxa"/>
            <w:vAlign w:val="bottom"/>
            <w:gridSpan w:val="2"/>
          </w:tcPr>
          <w:p>
            <w:pPr>
              <w:ind w:left="80"/>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III: LIBOR+12.00% PIK,</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480" w:type="dxa"/>
            <w:vAlign w:val="bottom"/>
            <w:gridSpan w:val="3"/>
            <w:shd w:val="clear" w:color="auto" w:fill="CCEEFF"/>
          </w:tcPr>
          <w:p>
            <w:pPr>
              <w:ind w:left="80"/>
              <w:spacing w:after="0" w:line="157" w:lineRule="exact"/>
              <w:rPr>
                <w:sz w:val="20"/>
                <w:szCs w:val="20"/>
                <w:color w:val="auto"/>
              </w:rPr>
            </w:pPr>
            <w:r>
              <w:rPr>
                <w:rFonts w:ascii="Arial" w:cs="Arial" w:eastAsia="Arial" w:hAnsi="Arial"/>
                <w:sz w:val="14"/>
                <w:szCs w:val="14"/>
                <w:color w:val="auto"/>
              </w:rPr>
              <w:t>12.00% floor, 5% ETP, due 7/15/2021</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7/6/2018</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542,721</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543,783</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498,154</w:t>
            </w:r>
          </w:p>
        </w:tc>
        <w:tc>
          <w:tcPr>
            <w:tcW w:w="8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10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8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IV: LIBOR+12.00% PIK,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80" w:type="dxa"/>
            <w:vAlign w:val="bottom"/>
            <w:gridSpan w:val="3"/>
          </w:tcPr>
          <w:p>
            <w:pPr>
              <w:ind w:left="80"/>
              <w:spacing w:after="0" w:line="157" w:lineRule="exact"/>
              <w:rPr>
                <w:sz w:val="20"/>
                <w:szCs w:val="20"/>
                <w:color w:val="auto"/>
              </w:rPr>
            </w:pPr>
            <w:r>
              <w:rPr>
                <w:rFonts w:ascii="Arial" w:cs="Arial" w:eastAsia="Arial" w:hAnsi="Arial"/>
                <w:sz w:val="14"/>
                <w:szCs w:val="14"/>
                <w:color w:val="auto"/>
              </w:rPr>
              <w:t>12.00% floor, 5% ETP, due 7/15/2021</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9/5/2018</w:t>
            </w: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color w:val="auto"/>
              </w:rPr>
              <w:t>541,964</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542,215</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497,459</w:t>
            </w:r>
          </w:p>
        </w:tc>
        <w:tc>
          <w:tcPr>
            <w:tcW w:w="8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0.10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0" w:type="dxa"/>
            <w:vAlign w:val="bottom"/>
            <w:gridSpan w:val="2"/>
          </w:tcPr>
          <w:p>
            <w:pPr>
              <w:ind w:left="80"/>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V: LIBOR+12.00% PIK,</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480" w:type="dxa"/>
            <w:vAlign w:val="bottom"/>
            <w:gridSpan w:val="3"/>
            <w:shd w:val="clear" w:color="auto" w:fill="CCEEFF"/>
          </w:tcPr>
          <w:p>
            <w:pPr>
              <w:ind w:left="80"/>
              <w:spacing w:after="0" w:line="157" w:lineRule="exact"/>
              <w:rPr>
                <w:sz w:val="20"/>
                <w:szCs w:val="20"/>
                <w:color w:val="auto"/>
              </w:rPr>
            </w:pPr>
            <w:r>
              <w:rPr>
                <w:rFonts w:ascii="Arial" w:cs="Arial" w:eastAsia="Arial" w:hAnsi="Arial"/>
                <w:sz w:val="14"/>
                <w:szCs w:val="14"/>
                <w:color w:val="auto"/>
              </w:rPr>
              <w:t>12.00% floor, 5% ETP, due 7/15/2021</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1/28/2019</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1,079,293</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1,073,081</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990,645</w:t>
            </w:r>
          </w:p>
        </w:tc>
        <w:tc>
          <w:tcPr>
            <w:tcW w:w="8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0.21</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10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8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VI: LIBOR+12.00% PIK,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80" w:type="dxa"/>
            <w:vAlign w:val="bottom"/>
            <w:gridSpan w:val="3"/>
          </w:tcPr>
          <w:p>
            <w:pPr>
              <w:ind w:left="80"/>
              <w:spacing w:after="0" w:line="157" w:lineRule="exact"/>
              <w:rPr>
                <w:sz w:val="20"/>
                <w:szCs w:val="20"/>
                <w:color w:val="auto"/>
              </w:rPr>
            </w:pPr>
            <w:r>
              <w:rPr>
                <w:rFonts w:ascii="Arial" w:cs="Arial" w:eastAsia="Arial" w:hAnsi="Arial"/>
                <w:sz w:val="14"/>
                <w:szCs w:val="14"/>
                <w:color w:val="auto"/>
              </w:rPr>
              <w:t>12.00% floor, 5% ETP, due 7/31/2021</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w w:val="94"/>
              </w:rPr>
              <w:t>12/18/2019</w:t>
            </w: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color w:val="auto"/>
              </w:rPr>
              <w:t>1,034,143</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1,034,143</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949,221</w:t>
            </w:r>
          </w:p>
        </w:tc>
        <w:tc>
          <w:tcPr>
            <w:tcW w:w="8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0" w:type="dxa"/>
            <w:vAlign w:val="bottom"/>
            <w:gridSpan w:val="2"/>
          </w:tcPr>
          <w:p>
            <w:pPr>
              <w:ind w:left="80"/>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0" w:type="dxa"/>
            <w:vAlign w:val="bottom"/>
            <w:tcBorders>
              <w:top w:val="single" w:sz="8" w:color="CCEEFF"/>
            </w:tcBorders>
            <w:gridSpan w:val="6"/>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Total Senior Secured Term</w:t>
            </w:r>
          </w:p>
        </w:tc>
        <w:tc>
          <w:tcPr>
            <w:tcW w:w="80" w:type="dxa"/>
            <w:vAlign w:val="bottom"/>
            <w:tcBorders>
              <w:top w:val="single" w:sz="8" w:color="CCEEFF"/>
            </w:tcBorders>
            <w:shd w:val="clear" w:color="auto" w:fill="CCEEFF"/>
          </w:tcPr>
          <w:p>
            <w:pPr>
              <w:spacing w:after="0"/>
              <w:rPr>
                <w:sz w:val="9"/>
                <w:szCs w:val="9"/>
                <w:color w:val="auto"/>
              </w:rPr>
            </w:pPr>
          </w:p>
        </w:tc>
        <w:tc>
          <w:tcPr>
            <w:tcW w:w="1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3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gridSpan w:val="6"/>
            <w:shd w:val="clear" w:color="auto" w:fill="CCEEFF"/>
          </w:tcPr>
          <w:p>
            <w:pPr>
              <w:spacing w:after="0"/>
              <w:rPr>
                <w:sz w:val="20"/>
                <w:szCs w:val="20"/>
                <w:color w:val="auto"/>
              </w:rPr>
            </w:pPr>
            <w:r>
              <w:rPr>
                <w:rFonts w:ascii="Arial" w:cs="Arial" w:eastAsia="Arial" w:hAnsi="Arial"/>
                <w:sz w:val="14"/>
                <w:szCs w:val="14"/>
                <w:b w:val="1"/>
                <w:bCs w:val="1"/>
                <w:color w:val="auto"/>
              </w:rPr>
              <w:t>Loans</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11,865,327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10,913,998</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0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Preferred Stocks</w:t>
            </w:r>
            <w:r>
              <w:rPr>
                <w:rFonts w:ascii="Arial" w:cs="Arial" w:eastAsia="Arial" w:hAnsi="Arial"/>
                <w:sz w:val="10"/>
                <w:szCs w:val="10"/>
                <w:b w:val="1"/>
                <w:bCs w:val="1"/>
                <w:color w:val="auto"/>
              </w:rPr>
              <w:t>(7)</w:t>
            </w: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6"/>
          </w:tcPr>
          <w:p>
            <w:pPr>
              <w:spacing w:after="0" w:line="130" w:lineRule="exact"/>
              <w:rPr>
                <w:sz w:val="20"/>
                <w:szCs w:val="20"/>
                <w:color w:val="auto"/>
              </w:rPr>
            </w:pPr>
            <w:r>
              <w:rPr>
                <w:rFonts w:ascii="Arial" w:cs="Arial" w:eastAsia="Arial" w:hAnsi="Arial"/>
                <w:sz w:val="14"/>
                <w:szCs w:val="14"/>
                <w:color w:val="auto"/>
              </w:rPr>
              <w:t>Mojix, Inc.</w:t>
            </w: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Application</w:t>
            </w:r>
          </w:p>
        </w:tc>
        <w:tc>
          <w:tcPr>
            <w:tcW w:w="80" w:type="dxa"/>
            <w:vAlign w:val="bottom"/>
          </w:tcPr>
          <w:p>
            <w:pPr>
              <w:spacing w:after="0"/>
              <w:rPr>
                <w:sz w:val="11"/>
                <w:szCs w:val="11"/>
                <w:color w:val="auto"/>
              </w:rPr>
            </w:pPr>
          </w:p>
        </w:tc>
        <w:tc>
          <w:tcPr>
            <w:tcW w:w="240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Series A-1 Preferred Stock</w:t>
            </w:r>
          </w:p>
        </w:tc>
        <w:tc>
          <w:tcPr>
            <w:tcW w:w="720" w:type="dxa"/>
            <w:vAlign w:val="bottom"/>
          </w:tcPr>
          <w:p>
            <w:pPr>
              <w:jc w:val="right"/>
              <w:spacing w:after="0" w:line="130" w:lineRule="exact"/>
              <w:rPr>
                <w:sz w:val="20"/>
                <w:szCs w:val="20"/>
                <w:color w:val="auto"/>
              </w:rPr>
            </w:pPr>
            <w:r>
              <w:rPr>
                <w:rFonts w:ascii="Arial" w:cs="Arial" w:eastAsia="Arial" w:hAnsi="Arial"/>
                <w:sz w:val="14"/>
                <w:szCs w:val="14"/>
                <w:color w:val="auto"/>
                <w:w w:val="94"/>
              </w:rPr>
              <w:t>12/14/2020</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Software</w:t>
            </w:r>
          </w:p>
        </w:tc>
        <w:tc>
          <w:tcPr>
            <w:tcW w:w="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67,114,092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800,000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1,108,946</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0.23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0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(7)</w:t>
            </w: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6"/>
            <w:shd w:val="clear" w:color="auto" w:fill="CCEEFF"/>
          </w:tcPr>
          <w:p>
            <w:pPr>
              <w:spacing w:after="0" w:line="130" w:lineRule="exact"/>
              <w:rPr>
                <w:sz w:val="20"/>
                <w:szCs w:val="20"/>
                <w:color w:val="auto"/>
              </w:rPr>
            </w:pPr>
            <w:r>
              <w:rPr>
                <w:rFonts w:ascii="Arial" w:cs="Arial" w:eastAsia="Arial" w:hAnsi="Arial"/>
                <w:sz w:val="14"/>
                <w:szCs w:val="14"/>
                <w:color w:val="auto"/>
              </w:rPr>
              <w:t>Mojix, Inc.</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Application</w:t>
            </w:r>
          </w:p>
        </w:tc>
        <w:tc>
          <w:tcPr>
            <w:tcW w:w="8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Common Stock, exercise</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Software</w:t>
            </w: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w w:val="98"/>
              </w:rPr>
              <w:t>price $1.286/share, expires 12/13/2030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12/14/2020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2,349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119,320</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Common Stock, exercise</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80" w:type="dxa"/>
            <w:vAlign w:val="bottom"/>
            <w:gridSpan w:val="3"/>
          </w:tcPr>
          <w:p>
            <w:pPr>
              <w:ind w:left="80"/>
              <w:spacing w:after="0"/>
              <w:rPr>
                <w:sz w:val="20"/>
                <w:szCs w:val="20"/>
                <w:color w:val="auto"/>
              </w:rPr>
            </w:pPr>
            <w:r>
              <w:rPr>
                <w:rFonts w:ascii="Arial" w:cs="Arial" w:eastAsia="Arial" w:hAnsi="Arial"/>
                <w:sz w:val="14"/>
                <w:szCs w:val="14"/>
                <w:color w:val="auto"/>
                <w:w w:val="94"/>
              </w:rPr>
              <w:t>price $2.1286/share, expires 12/13/2030</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12/14/2020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5,873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298,325</w:t>
            </w:r>
          </w:p>
        </w:tc>
        <w:tc>
          <w:tcPr>
            <w:tcW w:w="8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Common Stock, exercise</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8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price $5.57338/share, expires</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12/13/2030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12/14/2020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394,733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828,522</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tcBorders>
              <w:bottom w:val="single" w:sz="8" w:color="CCEEFF"/>
            </w:tcBorders>
            <w:gridSpan w:val="6"/>
          </w:tcPr>
          <w:p>
            <w:pPr>
              <w:spacing w:after="0" w:line="142" w:lineRule="exact"/>
              <w:rPr>
                <w:sz w:val="20"/>
                <w:szCs w:val="20"/>
                <w:color w:val="auto"/>
              </w:rPr>
            </w:pPr>
            <w:r>
              <w:rPr>
                <w:rFonts w:ascii="Arial" w:cs="Arial" w:eastAsia="Arial" w:hAnsi="Arial"/>
                <w:sz w:val="14"/>
                <w:szCs w:val="14"/>
                <w:b w:val="1"/>
                <w:bCs w:val="1"/>
                <w:color w:val="auto"/>
              </w:rPr>
              <w:t>Total Warrants</w:t>
            </w:r>
          </w:p>
        </w:tc>
        <w:tc>
          <w:tcPr>
            <w:tcW w:w="8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3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1,246,167</w:t>
            </w:r>
          </w:p>
        </w:tc>
        <w:tc>
          <w:tcPr>
            <w:tcW w:w="8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gridSpan w:val="6"/>
            <w:shd w:val="clear" w:color="auto" w:fill="CCEEFF"/>
          </w:tcPr>
          <w:p>
            <w:pPr>
              <w:spacing w:after="0" w:line="115" w:lineRule="exact"/>
              <w:rPr>
                <w:sz w:val="20"/>
                <w:szCs w:val="20"/>
                <w:color w:val="auto"/>
              </w:rPr>
            </w:pPr>
            <w:r>
              <w:rPr>
                <w:rFonts w:ascii="Arial" w:cs="Arial" w:eastAsia="Arial" w:hAnsi="Arial"/>
                <w:sz w:val="13"/>
                <w:szCs w:val="13"/>
                <w:b w:val="1"/>
                <w:bCs w:val="1"/>
                <w:color w:val="auto"/>
              </w:rPr>
              <w:t>Total Control/affiliate</w:t>
            </w: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13,911,494</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12,022,944</w:t>
            </w: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3"/>
              </w:rPr>
              <w:t>investments</w:t>
            </w:r>
          </w:p>
        </w:tc>
        <w:tc>
          <w:tcPr>
            <w:tcW w:w="600" w:type="dxa"/>
            <w:vAlign w:val="bottom"/>
            <w:tcBorders>
              <w:top w:val="single" w:sz="8" w:color="auto"/>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500" w:type="dxa"/>
            <w:vAlign w:val="bottom"/>
            <w:tcBorders>
              <w:top w:val="single" w:sz="8" w:color="CCEEFF"/>
              <w:bottom w:val="single" w:sz="8" w:color="CCEEFF"/>
            </w:tcBorders>
            <w:gridSpan w:val="3"/>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3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CCEEFF"/>
              <w:bottom w:val="single" w:sz="8" w:color="CCEEFF"/>
            </w:tcBorders>
            <w:shd w:val="clear" w:color="auto" w:fill="CCEEFF"/>
          </w:tcPr>
          <w:p>
            <w:pPr>
              <w:spacing w:after="0"/>
              <w:rPr>
                <w:sz w:val="12"/>
                <w:szCs w:val="12"/>
                <w:color w:val="auto"/>
              </w:rPr>
            </w:pPr>
          </w:p>
        </w:tc>
        <w:tc>
          <w:tcPr>
            <w:tcW w:w="900" w:type="dxa"/>
            <w:vAlign w:val="bottom"/>
            <w:tcBorders>
              <w:top w:val="single" w:sz="8" w:color="CCEEFF"/>
              <w:bottom w:val="single" w:sz="8" w:color="CCEEFF"/>
            </w:tcBorders>
            <w:gridSpan w:val="2"/>
            <w:vMerge w:val="continue"/>
            <w:shd w:val="clear" w:color="auto" w:fill="CCEEFF"/>
          </w:tcPr>
          <w:p>
            <w:pPr>
              <w:spacing w:after="0"/>
              <w:rPr>
                <w:sz w:val="12"/>
                <w:szCs w:val="12"/>
                <w:color w:val="auto"/>
              </w:rPr>
            </w:pPr>
          </w:p>
        </w:tc>
        <w:tc>
          <w:tcPr>
            <w:tcW w:w="1000" w:type="dxa"/>
            <w:vAlign w:val="bottom"/>
            <w:tcBorders>
              <w:top w:val="single" w:sz="8" w:color="CCEEFF"/>
              <w:bottom w:val="single" w:sz="8" w:color="CCEEFF"/>
            </w:tcBorders>
            <w:gridSpan w:val="2"/>
            <w:vMerge w:val="continue"/>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0" w:type="dxa"/>
            <w:vAlign w:val="bottom"/>
            <w:gridSpan w:val="6"/>
          </w:tcPr>
          <w:p>
            <w:pPr>
              <w:spacing w:after="0" w:line="109" w:lineRule="exact"/>
              <w:rPr>
                <w:sz w:val="20"/>
                <w:szCs w:val="20"/>
                <w:color w:val="auto"/>
              </w:rPr>
            </w:pPr>
            <w:r>
              <w:rPr>
                <w:rFonts w:ascii="Arial" w:cs="Arial" w:eastAsia="Arial" w:hAnsi="Arial"/>
                <w:sz w:val="12"/>
                <w:szCs w:val="12"/>
                <w:b w:val="1"/>
                <w:bCs w:val="1"/>
                <w:color w:val="auto"/>
              </w:rPr>
              <w:t>Non-control/non-affiliate</w:t>
            </w: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20" w:type="dxa"/>
            <w:vAlign w:val="bottom"/>
            <w:tcBorders>
              <w:top w:val="single" w:sz="8" w:color="auto"/>
              <w:bottom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investments</w:t>
            </w:r>
          </w:p>
        </w:tc>
        <w:tc>
          <w:tcPr>
            <w:tcW w:w="800" w:type="dxa"/>
            <w:vAlign w:val="bottom"/>
            <w:tcBorders>
              <w:top w:val="single" w:sz="8" w:color="auto"/>
            </w:tcBorders>
            <w:gridSpan w:val="2"/>
          </w:tcPr>
          <w:p>
            <w:pPr>
              <w:spacing w:after="0"/>
              <w:rPr>
                <w:sz w:val="11"/>
                <w:szCs w:val="11"/>
                <w:color w:val="auto"/>
              </w:rPr>
            </w:pPr>
          </w:p>
        </w:tc>
        <w:tc>
          <w:tcPr>
            <w:tcW w:w="50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gridSpan w:val="6"/>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99"/>
              </w:rPr>
              <w:t>Senior Secured Term Loans</w:t>
            </w:r>
            <w:r>
              <w:rPr>
                <w:rFonts w:ascii="Arial" w:cs="Arial" w:eastAsia="Arial" w:hAnsi="Arial"/>
                <w:sz w:val="10"/>
                <w:szCs w:val="10"/>
                <w:b w:val="1"/>
                <w:bCs w:val="1"/>
                <w:color w:val="auto"/>
                <w:w w:val="99"/>
              </w:rPr>
              <w:t>(8)</w:t>
            </w: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6"/>
          </w:tcPr>
          <w:p>
            <w:pPr>
              <w:spacing w:after="0" w:line="130" w:lineRule="exact"/>
              <w:rPr>
                <w:sz w:val="20"/>
                <w:szCs w:val="20"/>
                <w:color w:val="auto"/>
              </w:rPr>
            </w:pPr>
            <w:r>
              <w:rPr>
                <w:rFonts w:ascii="Arial" w:cs="Arial" w:eastAsia="Arial" w:hAnsi="Arial"/>
                <w:sz w:val="14"/>
                <w:szCs w:val="14"/>
                <w:color w:val="auto"/>
              </w:rPr>
              <w:t>Aria Systems, Inc.</w:t>
            </w: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Application</w:t>
            </w:r>
          </w:p>
        </w:tc>
        <w:tc>
          <w:tcPr>
            <w:tcW w:w="248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 LIBOR+9.00%, 11.35%</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Software</w:t>
            </w:r>
          </w:p>
        </w:tc>
        <w:tc>
          <w:tcPr>
            <w:tcW w:w="2480" w:type="dxa"/>
            <w:vAlign w:val="bottom"/>
            <w:gridSpan w:val="3"/>
          </w:tcPr>
          <w:p>
            <w:pPr>
              <w:ind w:left="80"/>
              <w:spacing w:after="0"/>
              <w:rPr>
                <w:sz w:val="20"/>
                <w:szCs w:val="20"/>
                <w:color w:val="auto"/>
              </w:rPr>
            </w:pPr>
            <w:r>
              <w:rPr>
                <w:rFonts w:ascii="Arial" w:cs="Arial" w:eastAsia="Arial" w:hAnsi="Arial"/>
                <w:sz w:val="14"/>
                <w:szCs w:val="14"/>
                <w:color w:val="auto"/>
              </w:rPr>
              <w:t>floor, 4.50% ETP, due 12/15/2021</w:t>
            </w:r>
          </w:p>
        </w:tc>
        <w:tc>
          <w:tcPr>
            <w:tcW w:w="720" w:type="dxa"/>
            <w:vAlign w:val="bottom"/>
          </w:tcPr>
          <w:p>
            <w:pPr>
              <w:jc w:val="right"/>
              <w:spacing w:after="0"/>
              <w:rPr>
                <w:sz w:val="20"/>
                <w:szCs w:val="20"/>
                <w:color w:val="auto"/>
              </w:rPr>
            </w:pPr>
            <w:r>
              <w:rPr>
                <w:rFonts w:ascii="Arial" w:cs="Arial" w:eastAsia="Arial" w:hAnsi="Arial"/>
                <w:sz w:val="14"/>
                <w:szCs w:val="14"/>
                <w:color w:val="auto"/>
              </w:rPr>
              <w:t>6/29/2018</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25,000,000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25,851,328</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26,507,396</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5.55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II: LIBOR+9.00%, 11.35%</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floor, 4.50% ETP, due 12/15/2021</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3/31/2020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2,411,143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2,650,740</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8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III: LIBOR+9.00%, 11.35%</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80" w:type="dxa"/>
            <w:vAlign w:val="bottom"/>
            <w:gridSpan w:val="3"/>
          </w:tcPr>
          <w:p>
            <w:pPr>
              <w:ind w:left="80"/>
              <w:spacing w:after="0"/>
              <w:rPr>
                <w:sz w:val="20"/>
                <w:szCs w:val="20"/>
                <w:color w:val="auto"/>
              </w:rPr>
            </w:pPr>
            <w:r>
              <w:rPr>
                <w:rFonts w:ascii="Arial" w:cs="Arial" w:eastAsia="Arial" w:hAnsi="Arial"/>
                <w:sz w:val="14"/>
                <w:szCs w:val="14"/>
                <w:color w:val="auto"/>
              </w:rPr>
              <w:t>floor, due 12/15/2021</w:t>
            </w:r>
          </w:p>
        </w:tc>
        <w:tc>
          <w:tcPr>
            <w:tcW w:w="720" w:type="dxa"/>
            <w:vAlign w:val="bottom"/>
          </w:tcPr>
          <w:p>
            <w:pPr>
              <w:jc w:val="right"/>
              <w:spacing w:after="0"/>
              <w:rPr>
                <w:sz w:val="20"/>
                <w:szCs w:val="20"/>
                <w:color w:val="auto"/>
              </w:rPr>
            </w:pPr>
            <w:r>
              <w:rPr>
                <w:rFonts w:ascii="Arial" w:cs="Arial" w:eastAsia="Arial" w:hAnsi="Arial"/>
                <w:sz w:val="14"/>
                <w:szCs w:val="14"/>
                <w:color w:val="auto"/>
              </w:rPr>
              <w:t>4/23/2021</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1,000,000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1,000,000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1,000,000</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6"/>
            <w:shd w:val="clear" w:color="auto" w:fill="CCEEFF"/>
          </w:tcPr>
          <w:p>
            <w:pPr>
              <w:spacing w:after="0" w:line="130" w:lineRule="exact"/>
              <w:rPr>
                <w:sz w:val="20"/>
                <w:szCs w:val="20"/>
                <w:color w:val="auto"/>
              </w:rPr>
            </w:pPr>
            <w:r>
              <w:rPr>
                <w:rFonts w:ascii="Arial" w:cs="Arial" w:eastAsia="Arial" w:hAnsi="Arial"/>
                <w:sz w:val="14"/>
                <w:szCs w:val="14"/>
                <w:color w:val="auto"/>
              </w:rPr>
              <w:t>Allurion Technologies, Inc.</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Health Care</w:t>
            </w:r>
          </w:p>
        </w:tc>
        <w:tc>
          <w:tcPr>
            <w:tcW w:w="8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LIBOR+9.05%, 9.50% floor, 3.00%</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Technology</w:t>
            </w: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ETP, due 3/30/2025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3/30/2021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15,000,000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14,847,502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14,847,502</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6"/>
          </w:tcPr>
          <w:p>
            <w:pPr>
              <w:spacing w:after="0" w:line="130" w:lineRule="exact"/>
              <w:rPr>
                <w:sz w:val="20"/>
                <w:szCs w:val="20"/>
                <w:color w:val="auto"/>
              </w:rPr>
            </w:pPr>
            <w:r>
              <w:rPr>
                <w:rFonts w:ascii="Arial" w:cs="Arial" w:eastAsia="Arial" w:hAnsi="Arial"/>
                <w:sz w:val="14"/>
                <w:szCs w:val="14"/>
                <w:color w:val="auto"/>
              </w:rPr>
              <w:t>Bombora, Inc.</w:t>
            </w: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Internet Software</w:t>
            </w:r>
          </w:p>
        </w:tc>
        <w:tc>
          <w:tcPr>
            <w:tcW w:w="80" w:type="dxa"/>
            <w:vAlign w:val="bottom"/>
          </w:tcPr>
          <w:p>
            <w:pPr>
              <w:spacing w:after="0"/>
              <w:rPr>
                <w:sz w:val="11"/>
                <w:szCs w:val="11"/>
                <w:color w:val="auto"/>
              </w:rPr>
            </w:pPr>
          </w:p>
        </w:tc>
        <w:tc>
          <w:tcPr>
            <w:tcW w:w="240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LIBOR+5.00%, 5.50% floor, 3.75%</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and Services</w:t>
            </w:r>
          </w:p>
        </w:tc>
        <w:tc>
          <w:tcPr>
            <w:tcW w:w="2480" w:type="dxa"/>
            <w:vAlign w:val="bottom"/>
            <w:gridSpan w:val="3"/>
          </w:tcPr>
          <w:p>
            <w:pPr>
              <w:ind w:left="80"/>
              <w:spacing w:after="0"/>
              <w:rPr>
                <w:sz w:val="20"/>
                <w:szCs w:val="20"/>
                <w:color w:val="auto"/>
              </w:rPr>
            </w:pPr>
            <w:r>
              <w:rPr>
                <w:rFonts w:ascii="Arial" w:cs="Arial" w:eastAsia="Arial" w:hAnsi="Arial"/>
                <w:sz w:val="14"/>
                <w:szCs w:val="14"/>
                <w:color w:val="auto"/>
              </w:rPr>
              <w:t xml:space="preserve">PIK, 2.00% ETP, due 3/31/2025 </w:t>
            </w:r>
            <w:r>
              <w:rPr>
                <w:rFonts w:ascii="Arial" w:cs="Arial" w:eastAsia="Arial" w:hAnsi="Arial"/>
                <w:sz w:val="10"/>
                <w:szCs w:val="10"/>
                <w:color w:val="auto"/>
              </w:rPr>
              <w:t>(4)</w:t>
            </w:r>
          </w:p>
        </w:tc>
        <w:tc>
          <w:tcPr>
            <w:tcW w:w="720" w:type="dxa"/>
            <w:vAlign w:val="bottom"/>
          </w:tcPr>
          <w:p>
            <w:pPr>
              <w:jc w:val="right"/>
              <w:spacing w:after="0"/>
              <w:rPr>
                <w:sz w:val="20"/>
                <w:szCs w:val="20"/>
                <w:color w:val="auto"/>
              </w:rPr>
            </w:pPr>
            <w:r>
              <w:rPr>
                <w:rFonts w:ascii="Arial" w:cs="Arial" w:eastAsia="Arial" w:hAnsi="Arial"/>
                <w:sz w:val="14"/>
                <w:szCs w:val="14"/>
                <w:color w:val="auto"/>
              </w:rPr>
              <w:t>3/31/2021</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20,158,734</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19,834,959</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19,834,959</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6"/>
            <w:shd w:val="clear" w:color="auto" w:fill="CCEEFF"/>
          </w:tcPr>
          <w:p>
            <w:pPr>
              <w:spacing w:after="0" w:line="130" w:lineRule="exact"/>
              <w:rPr>
                <w:sz w:val="20"/>
                <w:szCs w:val="20"/>
                <w:color w:val="auto"/>
              </w:rPr>
            </w:pPr>
            <w:r>
              <w:rPr>
                <w:rFonts w:ascii="Arial" w:cs="Arial" w:eastAsia="Arial" w:hAnsi="Arial"/>
                <w:sz w:val="14"/>
                <w:szCs w:val="14"/>
                <w:color w:val="auto"/>
              </w:rPr>
              <w:t>Brilliant Earth, LLC</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Internet Retail</w:t>
            </w:r>
          </w:p>
        </w:tc>
        <w:tc>
          <w:tcPr>
            <w:tcW w:w="24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w w:val="99"/>
              </w:rPr>
              <w:t>Tranche I: LIBOR+8.25%, 9.25% floor,</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4.50% ETP, due 10/15/2023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9/30/2019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35,000,000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35,107,170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35,177,982</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8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II: LIBOR+8.25%, 9.25%</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80" w:type="dxa"/>
            <w:vAlign w:val="bottom"/>
            <w:gridSpan w:val="3"/>
          </w:tcPr>
          <w:p>
            <w:pPr>
              <w:ind w:left="80"/>
              <w:spacing w:after="0"/>
              <w:rPr>
                <w:sz w:val="20"/>
                <w:szCs w:val="20"/>
                <w:color w:val="auto"/>
              </w:rPr>
            </w:pPr>
            <w:r>
              <w:rPr>
                <w:rFonts w:ascii="Arial" w:cs="Arial" w:eastAsia="Arial" w:hAnsi="Arial"/>
                <w:sz w:val="14"/>
                <w:szCs w:val="14"/>
                <w:color w:val="auto"/>
              </w:rPr>
              <w:t>floor, 0.75% ETP, due 10/15/2023</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12/17/2020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30,000,000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29,840,832</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30,152,556</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6.31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Acquisition</w:t>
            </w:r>
          </w:p>
        </w:tc>
        <w:tc>
          <w:tcPr>
            <w:tcW w:w="80" w:type="dxa"/>
            <w:vAlign w:val="bottom"/>
          </w:tcPr>
          <w:p>
            <w:pPr>
              <w:spacing w:after="0"/>
              <w:rPr>
                <w:sz w:val="12"/>
                <w:szCs w:val="12"/>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20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80" w:type="dxa"/>
            <w:vAlign w:val="bottom"/>
          </w:tcPr>
          <w:p>
            <w:pPr>
              <w:spacing w:after="0"/>
              <w:rPr>
                <w:sz w:val="12"/>
                <w:szCs w:val="12"/>
                <w:color w:val="auto"/>
              </w:rPr>
            </w:pPr>
          </w:p>
        </w:tc>
        <w:tc>
          <w:tcPr>
            <w:tcW w:w="11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Sub-Industry</w:t>
            </w:r>
          </w:p>
        </w:tc>
        <w:tc>
          <w:tcPr>
            <w:tcW w:w="80" w:type="dxa"/>
            <w:vAlign w:val="bottom"/>
          </w:tcPr>
          <w:p>
            <w:pPr>
              <w:spacing w:after="0"/>
              <w:rPr>
                <w:sz w:val="12"/>
                <w:szCs w:val="12"/>
                <w:color w:val="auto"/>
              </w:rPr>
            </w:pPr>
          </w:p>
        </w:tc>
        <w:tc>
          <w:tcPr>
            <w:tcW w:w="24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Cost</w:t>
            </w:r>
          </w:p>
        </w:tc>
        <w:tc>
          <w:tcPr>
            <w:tcW w:w="10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(2),(6)</w:t>
            </w: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20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2"/>
            <w:vMerge w:val="continue"/>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2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8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3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14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8"/>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3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9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4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Senior Secured Term Loans</w:t>
            </w:r>
            <w:r>
              <w:rPr>
                <w:rFonts w:ascii="Arial" w:cs="Arial" w:eastAsia="Arial" w:hAnsi="Arial"/>
                <w:sz w:val="9"/>
                <w:szCs w:val="9"/>
                <w:b w:val="1"/>
                <w:bCs w:val="1"/>
                <w:color w:val="auto"/>
              </w:rPr>
              <w:t>(8)</w:t>
            </w: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40" w:type="dxa"/>
            <w:vAlign w:val="bottom"/>
            <w:gridSpan w:val="4"/>
          </w:tcPr>
          <w:p>
            <w:pPr>
              <w:spacing w:after="0"/>
              <w:rPr>
                <w:sz w:val="20"/>
                <w:szCs w:val="20"/>
                <w:color w:val="auto"/>
              </w:rPr>
            </w:pPr>
            <w:r>
              <w:rPr>
                <w:rFonts w:ascii="Arial" w:cs="Arial" w:eastAsia="Arial" w:hAnsi="Arial"/>
                <w:sz w:val="14"/>
                <w:szCs w:val="14"/>
                <w:b w:val="1"/>
                <w:bCs w:val="1"/>
                <w:color w:val="auto"/>
              </w:rPr>
              <w:t>(continued)</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Circadence Corporation</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Application</w:t>
            </w:r>
          </w:p>
        </w:tc>
        <w:tc>
          <w:tcPr>
            <w:tcW w:w="8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LIBOR+9.50%, 12.00% floor, 7.50%</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Software</w:t>
            </w: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ETP, due 12/15/2022</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12/20/2018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$ 17,400,000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$ 17,187,153</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  15,905,794</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91"/>
              </w:rPr>
              <w:t>3.33 %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CloudPay Solutions Ltd.</w:t>
            </w: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w w:val="93"/>
              </w:rPr>
              <w:t>Human Resource &amp;</w:t>
            </w:r>
          </w:p>
        </w:tc>
        <w:tc>
          <w:tcPr>
            <w:tcW w:w="248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LIBOR+9.50%, 1.25% PIK, 11.25%</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Employment</w:t>
            </w:r>
          </w:p>
        </w:tc>
        <w:tc>
          <w:tcPr>
            <w:tcW w:w="2480" w:type="dxa"/>
            <w:vAlign w:val="bottom"/>
            <w:gridSpan w:val="3"/>
          </w:tcPr>
          <w:p>
            <w:pPr>
              <w:ind w:left="80"/>
              <w:spacing w:after="0" w:line="149" w:lineRule="exact"/>
              <w:rPr>
                <w:sz w:val="20"/>
                <w:szCs w:val="20"/>
                <w:color w:val="auto"/>
              </w:rPr>
            </w:pPr>
            <w:r>
              <w:rPr>
                <w:rFonts w:ascii="Arial" w:cs="Arial" w:eastAsia="Arial" w:hAnsi="Arial"/>
                <w:sz w:val="14"/>
                <w:szCs w:val="14"/>
                <w:color w:val="auto"/>
                <w:w w:val="97"/>
              </w:rPr>
              <w:t xml:space="preserve">floor, 3.00% ETP, due 12/15/2023 </w:t>
            </w:r>
            <w:r>
              <w:rPr>
                <w:rFonts w:ascii="Arial" w:cs="Arial" w:eastAsia="Arial" w:hAnsi="Arial"/>
                <w:sz w:val="10"/>
                <w:szCs w:val="10"/>
                <w:color w:val="auto"/>
                <w:w w:val="97"/>
              </w:rPr>
              <w:t>(3),(4),</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Services</w:t>
            </w:r>
          </w:p>
        </w:tc>
        <w:tc>
          <w:tcPr>
            <w:tcW w:w="2400" w:type="dxa"/>
            <w:vAlign w:val="bottom"/>
            <w:gridSpan w:val="2"/>
          </w:tcPr>
          <w:p>
            <w:pPr>
              <w:ind w:left="80"/>
              <w:spacing w:after="0"/>
              <w:rPr>
                <w:sz w:val="20"/>
                <w:szCs w:val="20"/>
                <w:color w:val="auto"/>
              </w:rPr>
            </w:pPr>
            <w:r>
              <w:rPr>
                <w:rFonts w:ascii="Arial" w:cs="Arial" w:eastAsia="Arial" w:hAnsi="Arial"/>
                <w:sz w:val="11"/>
                <w:szCs w:val="11"/>
                <w:color w:val="auto"/>
              </w:rPr>
              <w:t>(13)</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6/30/2020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25,305,514</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25,135,929</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25,135,929</w:t>
            </w:r>
          </w:p>
        </w:tc>
        <w:tc>
          <w:tcPr>
            <w:tcW w:w="80" w:type="dxa"/>
            <w:vAlign w:val="bottom"/>
          </w:tcPr>
          <w:p>
            <w:pPr>
              <w:spacing w:after="0"/>
              <w:rPr>
                <w:sz w:val="14"/>
                <w:szCs w:val="14"/>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auto"/>
              </w:rPr>
              <w:t>5.26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Credit Sesame, Inc.</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Specialized</w:t>
            </w:r>
          </w:p>
        </w:tc>
        <w:tc>
          <w:tcPr>
            <w:tcW w:w="24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 LIBOR+8.35%, 10.25%</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93"/>
              </w:rPr>
              <w:t>Consumer Services</w:t>
            </w: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floor, 2.50% ETP, due 12/15/2023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1/7/2020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35,000,000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35,034,482</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34,795,736</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7.28</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80" w:type="dxa"/>
            <w:vAlign w:val="bottom"/>
            <w:gridSpan w:val="3"/>
          </w:tcPr>
          <w:p>
            <w:pPr>
              <w:ind w:left="80"/>
              <w:spacing w:after="0" w:line="130" w:lineRule="exact"/>
              <w:rPr>
                <w:sz w:val="20"/>
                <w:szCs w:val="20"/>
                <w:color w:val="auto"/>
              </w:rPr>
            </w:pPr>
            <w:r>
              <w:rPr>
                <w:rFonts w:ascii="Arial" w:cs="Arial" w:eastAsia="Arial" w:hAnsi="Arial"/>
                <w:sz w:val="14"/>
                <w:szCs w:val="14"/>
                <w:color w:val="auto"/>
                <w:w w:val="99"/>
              </w:rPr>
              <w:t>Tranche II: LIBOR+8.35% , 2.00% PIK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8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on overadvance, 10.25% floor, due</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0" w:type="dxa"/>
            <w:vAlign w:val="bottom"/>
            <w:gridSpan w:val="2"/>
          </w:tcPr>
          <w:p>
            <w:pPr>
              <w:ind w:left="80"/>
              <w:spacing w:after="0"/>
              <w:rPr>
                <w:sz w:val="20"/>
                <w:szCs w:val="20"/>
                <w:color w:val="auto"/>
              </w:rPr>
            </w:pPr>
            <w:r>
              <w:rPr>
                <w:rFonts w:ascii="Arial" w:cs="Arial" w:eastAsia="Arial" w:hAnsi="Arial"/>
                <w:sz w:val="14"/>
                <w:szCs w:val="14"/>
                <w:color w:val="auto"/>
              </w:rPr>
              <w:t xml:space="preserve">5/15/2023 </w:t>
            </w:r>
            <w:r>
              <w:rPr>
                <w:rFonts w:ascii="Arial" w:cs="Arial" w:eastAsia="Arial" w:hAnsi="Arial"/>
                <w:sz w:val="10"/>
                <w:szCs w:val="10"/>
                <w:color w:val="auto"/>
              </w:rPr>
              <w:t>(4)</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1/7/2020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9,539,099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9,539,099</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9,478,319</w:t>
            </w:r>
          </w:p>
        </w:tc>
        <w:tc>
          <w:tcPr>
            <w:tcW w:w="80" w:type="dxa"/>
            <w:vAlign w:val="bottom"/>
          </w:tcPr>
          <w:p>
            <w:pPr>
              <w:spacing w:after="0"/>
              <w:rPr>
                <w:sz w:val="14"/>
                <w:szCs w:val="14"/>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auto"/>
              </w:rPr>
              <w:t>1.98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w w:val="99"/>
              </w:rPr>
              <w:t>CrossRoads Extremity Systems,</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Health Care</w:t>
            </w:r>
          </w:p>
        </w:tc>
        <w:tc>
          <w:tcPr>
            <w:tcW w:w="8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LIBOR+8.15%, 1.50% PIK, 8.65%</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LLC</w:t>
            </w: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Technology</w:t>
            </w: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 xml:space="preserve">floor, 3.50% ETP, due 7/1/2025 </w:t>
            </w:r>
            <w:r>
              <w:rPr>
                <w:rFonts w:ascii="Arial" w:cs="Arial" w:eastAsia="Arial" w:hAnsi="Arial"/>
                <w:sz w:val="10"/>
                <w:szCs w:val="10"/>
                <w:color w:val="auto"/>
              </w:rPr>
              <w:t>(4)</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6/29/2021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7,255,874</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7,255,874</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Application</w:t>
            </w:r>
          </w:p>
        </w:tc>
        <w:tc>
          <w:tcPr>
            <w:tcW w:w="80" w:type="dxa"/>
            <w:vAlign w:val="bottom"/>
          </w:tcPr>
          <w:p>
            <w:pPr>
              <w:spacing w:after="0"/>
              <w:rPr>
                <w:sz w:val="11"/>
                <w:szCs w:val="11"/>
                <w:color w:val="auto"/>
              </w:rPr>
            </w:pPr>
          </w:p>
        </w:tc>
        <w:tc>
          <w:tcPr>
            <w:tcW w:w="240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LIBOR+9.50%, 10.00% floor, 1.75%</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40" w:type="dxa"/>
            <w:vAlign w:val="bottom"/>
            <w:gridSpan w:val="4"/>
          </w:tcPr>
          <w:p>
            <w:pPr>
              <w:spacing w:after="0"/>
              <w:rPr>
                <w:sz w:val="20"/>
                <w:szCs w:val="20"/>
                <w:color w:val="auto"/>
              </w:rPr>
            </w:pPr>
            <w:r>
              <w:rPr>
                <w:rFonts w:ascii="Arial" w:cs="Arial" w:eastAsia="Arial" w:hAnsi="Arial"/>
                <w:sz w:val="14"/>
                <w:szCs w:val="14"/>
                <w:color w:val="auto"/>
              </w:rPr>
              <w:t>Dtex Systems, Inc.</w:t>
            </w: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Software</w:t>
            </w:r>
          </w:p>
        </w:tc>
        <w:tc>
          <w:tcPr>
            <w:tcW w:w="2480" w:type="dxa"/>
            <w:vAlign w:val="bottom"/>
            <w:gridSpan w:val="3"/>
          </w:tcPr>
          <w:p>
            <w:pPr>
              <w:ind w:left="80"/>
              <w:spacing w:after="0"/>
              <w:rPr>
                <w:sz w:val="20"/>
                <w:szCs w:val="20"/>
                <w:color w:val="auto"/>
              </w:rPr>
            </w:pPr>
            <w:r>
              <w:rPr>
                <w:rFonts w:ascii="Arial" w:cs="Arial" w:eastAsia="Arial" w:hAnsi="Arial"/>
                <w:sz w:val="14"/>
                <w:szCs w:val="14"/>
                <w:color w:val="auto"/>
              </w:rPr>
              <w:t>ETP, due 6/1/2025</w:t>
            </w:r>
          </w:p>
        </w:tc>
        <w:tc>
          <w:tcPr>
            <w:tcW w:w="720" w:type="dxa"/>
            <w:vAlign w:val="bottom"/>
          </w:tcPr>
          <w:p>
            <w:pPr>
              <w:jc w:val="right"/>
              <w:spacing w:after="0"/>
              <w:rPr>
                <w:sz w:val="20"/>
                <w:szCs w:val="20"/>
                <w:color w:val="auto"/>
              </w:rPr>
            </w:pPr>
            <w:r>
              <w:rPr>
                <w:rFonts w:ascii="Arial" w:cs="Arial" w:eastAsia="Arial" w:hAnsi="Arial"/>
                <w:sz w:val="14"/>
                <w:szCs w:val="14"/>
                <w:color w:val="auto"/>
              </w:rPr>
              <w:t>6/1/2021</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10,000,000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9,904,096</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9,904,096</w:t>
            </w:r>
          </w:p>
        </w:tc>
        <w:tc>
          <w:tcPr>
            <w:tcW w:w="80" w:type="dxa"/>
            <w:vAlign w:val="bottom"/>
          </w:tcPr>
          <w:p>
            <w:pPr>
              <w:spacing w:after="0"/>
              <w:rPr>
                <w:sz w:val="14"/>
                <w:szCs w:val="14"/>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auto"/>
              </w:rPr>
              <w:t>2.07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LIBOR+10.50%, 11.00% floor, 3.00%</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Echo 360 Holdings, Inc.</w:t>
            </w: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95"/>
              </w:rPr>
              <w:t>Education Services</w:t>
            </w: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ETP, due 12/15/2024</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6/22/2021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19,926,816</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19,926,816</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4.17</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Internet Software</w:t>
            </w:r>
          </w:p>
        </w:tc>
        <w:tc>
          <w:tcPr>
            <w:tcW w:w="80" w:type="dxa"/>
            <w:vAlign w:val="bottom"/>
          </w:tcPr>
          <w:p>
            <w:pPr>
              <w:spacing w:after="0"/>
              <w:rPr>
                <w:sz w:val="11"/>
                <w:szCs w:val="11"/>
                <w:color w:val="auto"/>
              </w:rPr>
            </w:pPr>
          </w:p>
        </w:tc>
        <w:tc>
          <w:tcPr>
            <w:tcW w:w="240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LIBOR+11.00%, 12.0% Floor, 2.44%</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40" w:type="dxa"/>
            <w:vAlign w:val="bottom"/>
            <w:gridSpan w:val="4"/>
          </w:tcPr>
          <w:p>
            <w:pPr>
              <w:spacing w:after="0"/>
              <w:rPr>
                <w:sz w:val="20"/>
                <w:szCs w:val="20"/>
                <w:color w:val="auto"/>
              </w:rPr>
            </w:pPr>
            <w:r>
              <w:rPr>
                <w:rFonts w:ascii="Arial" w:cs="Arial" w:eastAsia="Arial" w:hAnsi="Arial"/>
                <w:sz w:val="14"/>
                <w:szCs w:val="14"/>
                <w:color w:val="auto"/>
              </w:rPr>
              <w:t>Fidelis Cybersecurity, Inc.</w:t>
            </w: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and Services</w:t>
            </w:r>
          </w:p>
        </w:tc>
        <w:tc>
          <w:tcPr>
            <w:tcW w:w="2480" w:type="dxa"/>
            <w:vAlign w:val="bottom"/>
            <w:gridSpan w:val="3"/>
          </w:tcPr>
          <w:p>
            <w:pPr>
              <w:ind w:left="80"/>
              <w:spacing w:after="0"/>
              <w:rPr>
                <w:sz w:val="20"/>
                <w:szCs w:val="20"/>
                <w:color w:val="auto"/>
              </w:rPr>
            </w:pPr>
            <w:r>
              <w:rPr>
                <w:rFonts w:ascii="Arial" w:cs="Arial" w:eastAsia="Arial" w:hAnsi="Arial"/>
                <w:sz w:val="14"/>
                <w:szCs w:val="14"/>
                <w:color w:val="auto"/>
              </w:rPr>
              <w:t>ETP, due 5/13/2024</w:t>
            </w:r>
          </w:p>
        </w:tc>
        <w:tc>
          <w:tcPr>
            <w:tcW w:w="720" w:type="dxa"/>
            <w:vAlign w:val="bottom"/>
          </w:tcPr>
          <w:p>
            <w:pPr>
              <w:jc w:val="right"/>
              <w:spacing w:after="0"/>
              <w:rPr>
                <w:sz w:val="20"/>
                <w:szCs w:val="20"/>
                <w:color w:val="auto"/>
              </w:rPr>
            </w:pPr>
            <w:r>
              <w:rPr>
                <w:rFonts w:ascii="Arial" w:cs="Arial" w:eastAsia="Arial" w:hAnsi="Arial"/>
                <w:sz w:val="14"/>
                <w:szCs w:val="14"/>
                <w:color w:val="auto"/>
              </w:rPr>
              <w:t>5/13/2021</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12,641,254</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12,541,372</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12,537,571</w:t>
            </w:r>
          </w:p>
        </w:tc>
        <w:tc>
          <w:tcPr>
            <w:tcW w:w="80" w:type="dxa"/>
            <w:vAlign w:val="bottom"/>
          </w:tcPr>
          <w:p>
            <w:pPr>
              <w:spacing w:after="0"/>
              <w:rPr>
                <w:sz w:val="14"/>
                <w:szCs w:val="14"/>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auto"/>
              </w:rPr>
              <w:t>2.62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Application</w:t>
            </w:r>
          </w:p>
        </w:tc>
        <w:tc>
          <w:tcPr>
            <w:tcW w:w="8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LIBOR+9.25%, 9.75% floor, 5.00%</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FiscalNote, Inc.</w:t>
            </w: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Software</w:t>
            </w: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ETP, due 8/21/2023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10/19/2020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45,000,000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44,887,723</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44,887,723</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9.40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Health Care</w:t>
            </w:r>
          </w:p>
        </w:tc>
        <w:tc>
          <w:tcPr>
            <w:tcW w:w="80" w:type="dxa"/>
            <w:vAlign w:val="bottom"/>
          </w:tcPr>
          <w:p>
            <w:pPr>
              <w:spacing w:after="0"/>
              <w:rPr>
                <w:sz w:val="11"/>
                <w:szCs w:val="11"/>
                <w:color w:val="auto"/>
              </w:rPr>
            </w:pPr>
          </w:p>
        </w:tc>
        <w:tc>
          <w:tcPr>
            <w:tcW w:w="240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LIBOR+8.75%, 9.25% floor, 3.50%</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40" w:type="dxa"/>
            <w:vAlign w:val="bottom"/>
            <w:gridSpan w:val="4"/>
          </w:tcPr>
          <w:p>
            <w:pPr>
              <w:spacing w:after="0"/>
              <w:rPr>
                <w:sz w:val="20"/>
                <w:szCs w:val="20"/>
                <w:color w:val="auto"/>
              </w:rPr>
            </w:pPr>
            <w:r>
              <w:rPr>
                <w:rFonts w:ascii="Arial" w:cs="Arial" w:eastAsia="Arial" w:hAnsi="Arial"/>
                <w:sz w:val="14"/>
                <w:szCs w:val="14"/>
                <w:color w:val="auto"/>
              </w:rPr>
              <w:t>Gynesonics, Inc.</w:t>
            </w: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Technology</w:t>
            </w:r>
          </w:p>
        </w:tc>
        <w:tc>
          <w:tcPr>
            <w:tcW w:w="2480" w:type="dxa"/>
            <w:vAlign w:val="bottom"/>
            <w:gridSpan w:val="3"/>
          </w:tcPr>
          <w:p>
            <w:pPr>
              <w:ind w:left="80"/>
              <w:spacing w:after="0"/>
              <w:rPr>
                <w:sz w:val="20"/>
                <w:szCs w:val="20"/>
                <w:color w:val="auto"/>
              </w:rPr>
            </w:pPr>
            <w:r>
              <w:rPr>
                <w:rFonts w:ascii="Arial" w:cs="Arial" w:eastAsia="Arial" w:hAnsi="Arial"/>
                <w:sz w:val="14"/>
                <w:szCs w:val="14"/>
                <w:color w:val="auto"/>
              </w:rPr>
              <w:t>ETP, due 12/1/2025</w:t>
            </w:r>
          </w:p>
        </w:tc>
        <w:tc>
          <w:tcPr>
            <w:tcW w:w="720" w:type="dxa"/>
            <w:vAlign w:val="bottom"/>
          </w:tcPr>
          <w:p>
            <w:pPr>
              <w:jc w:val="right"/>
              <w:spacing w:after="0"/>
              <w:rPr>
                <w:sz w:val="20"/>
                <w:szCs w:val="20"/>
                <w:color w:val="auto"/>
              </w:rPr>
            </w:pPr>
            <w:r>
              <w:rPr>
                <w:rFonts w:ascii="Arial" w:cs="Arial" w:eastAsia="Arial" w:hAnsi="Arial"/>
                <w:sz w:val="14"/>
                <w:szCs w:val="14"/>
                <w:color w:val="auto"/>
              </w:rPr>
              <w:t>12/1/2020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30,000,000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29,339,975</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29,323,360</w:t>
            </w:r>
          </w:p>
        </w:tc>
        <w:tc>
          <w:tcPr>
            <w:tcW w:w="80" w:type="dxa"/>
            <w:vAlign w:val="bottom"/>
          </w:tcPr>
          <w:p>
            <w:pPr>
              <w:spacing w:after="0"/>
              <w:rPr>
                <w:sz w:val="14"/>
                <w:szCs w:val="14"/>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auto"/>
              </w:rPr>
              <w:t>6.14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Internet Software</w:t>
            </w:r>
          </w:p>
        </w:tc>
        <w:tc>
          <w:tcPr>
            <w:tcW w:w="24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 LIBOR+8.00%, 10.50%</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INRIX, Inc.</w:t>
            </w: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and Services</w:t>
            </w: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floor, 2.50% ETP, due 7/15/2023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7/26/2019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20,048,250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20,048,250</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4.20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8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II: LIBOR+8.00%, 10.50%</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80" w:type="dxa"/>
            <w:vAlign w:val="bottom"/>
            <w:gridSpan w:val="3"/>
          </w:tcPr>
          <w:p>
            <w:pPr>
              <w:ind w:left="80"/>
              <w:spacing w:after="0"/>
              <w:rPr>
                <w:sz w:val="20"/>
                <w:szCs w:val="20"/>
                <w:color w:val="auto"/>
              </w:rPr>
            </w:pPr>
            <w:r>
              <w:rPr>
                <w:rFonts w:ascii="Arial" w:cs="Arial" w:eastAsia="Arial" w:hAnsi="Arial"/>
                <w:sz w:val="14"/>
                <w:szCs w:val="14"/>
                <w:color w:val="auto"/>
              </w:rPr>
              <w:t>floor, 2.50% ETP, due 7/15/2023</w:t>
            </w:r>
          </w:p>
        </w:tc>
        <w:tc>
          <w:tcPr>
            <w:tcW w:w="720" w:type="dxa"/>
            <w:vAlign w:val="bottom"/>
          </w:tcPr>
          <w:p>
            <w:pPr>
              <w:jc w:val="right"/>
              <w:spacing w:after="0"/>
              <w:rPr>
                <w:sz w:val="20"/>
                <w:szCs w:val="20"/>
                <w:color w:val="auto"/>
              </w:rPr>
            </w:pPr>
            <w:r>
              <w:rPr>
                <w:rFonts w:ascii="Arial" w:cs="Arial" w:eastAsia="Arial" w:hAnsi="Arial"/>
                <w:sz w:val="14"/>
                <w:szCs w:val="14"/>
                <w:color w:val="auto"/>
              </w:rPr>
              <w:t>7/26/2019</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10,000,000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9,898,882</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9,898,882</w:t>
            </w:r>
          </w:p>
        </w:tc>
        <w:tc>
          <w:tcPr>
            <w:tcW w:w="80" w:type="dxa"/>
            <w:vAlign w:val="bottom"/>
          </w:tcPr>
          <w:p>
            <w:pPr>
              <w:spacing w:after="0"/>
              <w:rPr>
                <w:sz w:val="14"/>
                <w:szCs w:val="14"/>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auto"/>
              </w:rPr>
              <w:t>2.07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LIBOR+8.50%, 1.25% PIK, 9.00%</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Marley Spoon AG</w:t>
            </w: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Internet Retail</w:t>
            </w: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 xml:space="preserve">floor, due 6/15/2025 </w:t>
            </w:r>
            <w:r>
              <w:rPr>
                <w:rFonts w:ascii="Arial" w:cs="Arial" w:eastAsia="Arial" w:hAnsi="Arial"/>
                <w:sz w:val="10"/>
                <w:szCs w:val="10"/>
                <w:color w:val="auto"/>
              </w:rPr>
              <w:t>(3),(4),(12)</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6/30/2021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17,550,000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17,110,084</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17,110,084</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3.58</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Health Care</w:t>
            </w:r>
          </w:p>
        </w:tc>
        <w:tc>
          <w:tcPr>
            <w:tcW w:w="80" w:type="dxa"/>
            <w:vAlign w:val="bottom"/>
          </w:tcPr>
          <w:p>
            <w:pPr>
              <w:spacing w:after="0"/>
              <w:rPr>
                <w:sz w:val="11"/>
                <w:szCs w:val="11"/>
                <w:color w:val="auto"/>
              </w:rPr>
            </w:pPr>
          </w:p>
        </w:tc>
        <w:tc>
          <w:tcPr>
            <w:tcW w:w="240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LIBOR+9.50%, 11.75% floor, .25%</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40" w:type="dxa"/>
            <w:vAlign w:val="bottom"/>
            <w:gridSpan w:val="4"/>
          </w:tcPr>
          <w:p>
            <w:pPr>
              <w:spacing w:after="0"/>
              <w:rPr>
                <w:sz w:val="20"/>
                <w:szCs w:val="20"/>
                <w:color w:val="auto"/>
              </w:rPr>
            </w:pPr>
            <w:r>
              <w:rPr>
                <w:rFonts w:ascii="Arial" w:cs="Arial" w:eastAsia="Arial" w:hAnsi="Arial"/>
                <w:sz w:val="14"/>
                <w:szCs w:val="14"/>
                <w:color w:val="auto"/>
                <w:w w:val="98"/>
              </w:rPr>
              <w:t>Mingle Healthcare Solutions, Inc.</w:t>
            </w: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Technology</w:t>
            </w:r>
          </w:p>
        </w:tc>
        <w:tc>
          <w:tcPr>
            <w:tcW w:w="2480" w:type="dxa"/>
            <w:vAlign w:val="bottom"/>
            <w:gridSpan w:val="3"/>
          </w:tcPr>
          <w:p>
            <w:pPr>
              <w:ind w:left="80"/>
              <w:spacing w:after="0"/>
              <w:rPr>
                <w:sz w:val="20"/>
                <w:szCs w:val="20"/>
                <w:color w:val="auto"/>
              </w:rPr>
            </w:pPr>
            <w:r>
              <w:rPr>
                <w:rFonts w:ascii="Arial" w:cs="Arial" w:eastAsia="Arial" w:hAnsi="Arial"/>
                <w:sz w:val="14"/>
                <w:szCs w:val="14"/>
                <w:color w:val="auto"/>
              </w:rPr>
              <w:t xml:space="preserve">PIK, 10.00% ETP, due 8/15/2022 </w:t>
            </w:r>
            <w:r>
              <w:rPr>
                <w:rFonts w:ascii="Arial" w:cs="Arial" w:eastAsia="Arial" w:hAnsi="Arial"/>
                <w:sz w:val="10"/>
                <w:szCs w:val="10"/>
                <w:color w:val="auto"/>
              </w:rPr>
              <w:t>(4)</w:t>
            </w:r>
          </w:p>
        </w:tc>
        <w:tc>
          <w:tcPr>
            <w:tcW w:w="720" w:type="dxa"/>
            <w:vAlign w:val="bottom"/>
          </w:tcPr>
          <w:p>
            <w:pPr>
              <w:jc w:val="right"/>
              <w:spacing w:after="0"/>
              <w:rPr>
                <w:sz w:val="20"/>
                <w:szCs w:val="20"/>
                <w:color w:val="auto"/>
              </w:rPr>
            </w:pPr>
            <w:r>
              <w:rPr>
                <w:rFonts w:ascii="Arial" w:cs="Arial" w:eastAsia="Arial" w:hAnsi="Arial"/>
                <w:sz w:val="14"/>
                <w:szCs w:val="14"/>
                <w:color w:val="auto"/>
              </w:rPr>
              <w:t>8/15/2018</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3,953,456</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4,351,193</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4,302,146</w:t>
            </w:r>
          </w:p>
        </w:tc>
        <w:tc>
          <w:tcPr>
            <w:tcW w:w="80" w:type="dxa"/>
            <w:vAlign w:val="bottom"/>
          </w:tcPr>
          <w:p>
            <w:pPr>
              <w:spacing w:after="0"/>
              <w:rPr>
                <w:sz w:val="14"/>
                <w:szCs w:val="14"/>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auto"/>
              </w:rPr>
              <w:t>0.90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Pivot3 Holdings, Inc.</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w w:val="98"/>
              </w:rPr>
              <w:t>Data Processing &amp;</w:t>
            </w:r>
          </w:p>
        </w:tc>
        <w:tc>
          <w:tcPr>
            <w:tcW w:w="24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w w:val="99"/>
              </w:rPr>
              <w:t>Tranche I: LIBOR+8.50% PIK, 11.00%</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Outsourced</w:t>
            </w:r>
          </w:p>
        </w:tc>
        <w:tc>
          <w:tcPr>
            <w:tcW w:w="248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 xml:space="preserve">floor, 4.00% ETP, due 11/15/2022 </w:t>
            </w:r>
            <w:r>
              <w:rPr>
                <w:rFonts w:ascii="Arial" w:cs="Arial" w:eastAsia="Arial" w:hAnsi="Arial"/>
                <w:sz w:val="10"/>
                <w:szCs w:val="10"/>
                <w:color w:val="auto"/>
              </w:rPr>
              <w:t>(4)</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Services</w:t>
            </w:r>
          </w:p>
        </w:tc>
        <w:tc>
          <w:tcPr>
            <w:tcW w:w="8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5/13/2019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22,593,161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23,049,601</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11,898,196</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2.49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8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II: LIBOR+8.50% PIK,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80" w:type="dxa"/>
            <w:vAlign w:val="bottom"/>
            <w:gridSpan w:val="3"/>
          </w:tcPr>
          <w:p>
            <w:pPr>
              <w:ind w:left="80"/>
              <w:spacing w:after="0"/>
              <w:rPr>
                <w:sz w:val="20"/>
                <w:szCs w:val="20"/>
                <w:color w:val="auto"/>
              </w:rPr>
            </w:pPr>
            <w:r>
              <w:rPr>
                <w:rFonts w:ascii="Arial" w:cs="Arial" w:eastAsia="Arial" w:hAnsi="Arial"/>
                <w:sz w:val="14"/>
                <w:szCs w:val="14"/>
                <w:color w:val="auto"/>
              </w:rPr>
              <w:t xml:space="preserve">11.00% floor, due 11/15/2022 </w:t>
            </w:r>
            <w:r>
              <w:rPr>
                <w:rFonts w:ascii="Arial" w:cs="Arial" w:eastAsia="Arial" w:hAnsi="Arial"/>
                <w:sz w:val="10"/>
                <w:szCs w:val="10"/>
                <w:color w:val="auto"/>
              </w:rPr>
              <w:t>(4)</w:t>
            </w:r>
          </w:p>
        </w:tc>
        <w:tc>
          <w:tcPr>
            <w:tcW w:w="720" w:type="dxa"/>
            <w:vAlign w:val="bottom"/>
          </w:tcPr>
          <w:p>
            <w:pPr>
              <w:jc w:val="right"/>
              <w:spacing w:after="0"/>
              <w:rPr>
                <w:sz w:val="20"/>
                <w:szCs w:val="20"/>
                <w:color w:val="auto"/>
              </w:rPr>
            </w:pPr>
            <w:r>
              <w:rPr>
                <w:rFonts w:ascii="Arial" w:cs="Arial" w:eastAsia="Arial" w:hAnsi="Arial"/>
                <w:sz w:val="14"/>
                <w:szCs w:val="14"/>
                <w:color w:val="auto"/>
              </w:rPr>
              <w:t>3/30/2021</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1,080,984</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1,080,984</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569,181</w:t>
            </w:r>
          </w:p>
        </w:tc>
        <w:tc>
          <w:tcPr>
            <w:tcW w:w="80" w:type="dxa"/>
            <w:vAlign w:val="bottom"/>
          </w:tcPr>
          <w:p>
            <w:pPr>
              <w:spacing w:after="0"/>
              <w:rPr>
                <w:sz w:val="14"/>
                <w:szCs w:val="14"/>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auto"/>
              </w:rPr>
              <w:t>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Tranched III: LIBOR+8.50% PIK,</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8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11.00% floor, 4.00% ETP, due</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 xml:space="preserve">11/15/2022 </w:t>
            </w:r>
            <w:r>
              <w:rPr>
                <w:rFonts w:ascii="Arial" w:cs="Arial" w:eastAsia="Arial" w:hAnsi="Arial"/>
                <w:sz w:val="10"/>
                <w:szCs w:val="10"/>
                <w:color w:val="auto"/>
              </w:rPr>
              <w:t>(4)</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3/30/2021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2,526,947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2,531,039</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1,330,538</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0.28</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Porch Group, Inc.</w:t>
            </w: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Application</w:t>
            </w:r>
          </w:p>
        </w:tc>
        <w:tc>
          <w:tcPr>
            <w:tcW w:w="80" w:type="dxa"/>
            <w:vAlign w:val="bottom"/>
          </w:tcPr>
          <w:p>
            <w:pPr>
              <w:spacing w:after="0"/>
              <w:rPr>
                <w:sz w:val="11"/>
                <w:szCs w:val="11"/>
                <w:color w:val="auto"/>
              </w:rPr>
            </w:pPr>
          </w:p>
        </w:tc>
        <w:tc>
          <w:tcPr>
            <w:tcW w:w="240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LIBOR+8.00%, 8.55% floor, 4.99%</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Software</w:t>
            </w:r>
          </w:p>
        </w:tc>
        <w:tc>
          <w:tcPr>
            <w:tcW w:w="2480" w:type="dxa"/>
            <w:vAlign w:val="bottom"/>
            <w:gridSpan w:val="3"/>
          </w:tcPr>
          <w:p>
            <w:pPr>
              <w:ind w:left="80"/>
              <w:spacing w:after="0"/>
              <w:rPr>
                <w:sz w:val="20"/>
                <w:szCs w:val="20"/>
                <w:color w:val="auto"/>
              </w:rPr>
            </w:pPr>
            <w:r>
              <w:rPr>
                <w:rFonts w:ascii="Arial" w:cs="Arial" w:eastAsia="Arial" w:hAnsi="Arial"/>
                <w:sz w:val="14"/>
                <w:szCs w:val="14"/>
                <w:color w:val="auto"/>
              </w:rPr>
              <w:t xml:space="preserve">ETP, due 12/15/2024 </w:t>
            </w:r>
            <w:r>
              <w:rPr>
                <w:rFonts w:ascii="Arial" w:cs="Arial" w:eastAsia="Arial" w:hAnsi="Arial"/>
                <w:sz w:val="10"/>
                <w:szCs w:val="10"/>
                <w:color w:val="auto"/>
              </w:rPr>
              <w:t>(3), (16)</w:t>
            </w:r>
          </w:p>
        </w:tc>
        <w:tc>
          <w:tcPr>
            <w:tcW w:w="720" w:type="dxa"/>
            <w:vAlign w:val="bottom"/>
          </w:tcPr>
          <w:p>
            <w:pPr>
              <w:jc w:val="right"/>
              <w:spacing w:after="0"/>
              <w:rPr>
                <w:sz w:val="20"/>
                <w:szCs w:val="20"/>
                <w:color w:val="auto"/>
              </w:rPr>
            </w:pPr>
            <w:r>
              <w:rPr>
                <w:rFonts w:ascii="Arial" w:cs="Arial" w:eastAsia="Arial" w:hAnsi="Arial"/>
                <w:sz w:val="14"/>
                <w:szCs w:val="14"/>
                <w:color w:val="auto"/>
              </w:rPr>
              <w:t>7/22/2020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40,394,947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40,514,455</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40,514,455</w:t>
            </w:r>
          </w:p>
        </w:tc>
        <w:tc>
          <w:tcPr>
            <w:tcW w:w="80" w:type="dxa"/>
            <w:vAlign w:val="bottom"/>
          </w:tcPr>
          <w:p>
            <w:pPr>
              <w:spacing w:after="0"/>
              <w:rPr>
                <w:sz w:val="15"/>
                <w:szCs w:val="15"/>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auto"/>
              </w:rPr>
              <w:t>8.48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Acquisition</w:t>
            </w:r>
          </w:p>
        </w:tc>
        <w:tc>
          <w:tcPr>
            <w:tcW w:w="80" w:type="dxa"/>
            <w:vAlign w:val="bottom"/>
          </w:tcPr>
          <w:p>
            <w:pPr>
              <w:spacing w:after="0"/>
              <w:rPr>
                <w:sz w:val="12"/>
                <w:szCs w:val="12"/>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20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80" w:type="dxa"/>
            <w:vAlign w:val="bottom"/>
          </w:tcPr>
          <w:p>
            <w:pPr>
              <w:spacing w:after="0"/>
              <w:rPr>
                <w:sz w:val="12"/>
                <w:szCs w:val="12"/>
                <w:color w:val="auto"/>
              </w:rPr>
            </w:pPr>
          </w:p>
        </w:tc>
        <w:tc>
          <w:tcPr>
            <w:tcW w:w="11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Sub-Industry</w:t>
            </w:r>
          </w:p>
        </w:tc>
        <w:tc>
          <w:tcPr>
            <w:tcW w:w="80" w:type="dxa"/>
            <w:vAlign w:val="bottom"/>
          </w:tcPr>
          <w:p>
            <w:pPr>
              <w:spacing w:after="0"/>
              <w:rPr>
                <w:sz w:val="12"/>
                <w:szCs w:val="12"/>
                <w:color w:val="auto"/>
              </w:rPr>
            </w:pPr>
          </w:p>
        </w:tc>
        <w:tc>
          <w:tcPr>
            <w:tcW w:w="23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(2),(6)</w:t>
            </w:r>
          </w:p>
        </w:tc>
        <w:tc>
          <w:tcPr>
            <w:tcW w:w="6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202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2"/>
            <w:vMerge w:val="continue"/>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8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3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4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7"/>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4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3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Senior Secured Term Loans</w:t>
            </w:r>
            <w:r>
              <w:rPr>
                <w:rFonts w:ascii="Arial" w:cs="Arial" w:eastAsia="Arial" w:hAnsi="Arial"/>
                <w:sz w:val="9"/>
                <w:szCs w:val="9"/>
                <w:b w:val="1"/>
                <w:bCs w:val="1"/>
                <w:color w:val="auto"/>
              </w:rPr>
              <w:t>(8)</w:t>
            </w: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20" w:type="dxa"/>
            <w:vAlign w:val="bottom"/>
            <w:gridSpan w:val="5"/>
          </w:tcPr>
          <w:p>
            <w:pPr>
              <w:spacing w:after="0"/>
              <w:rPr>
                <w:sz w:val="20"/>
                <w:szCs w:val="20"/>
                <w:color w:val="auto"/>
              </w:rPr>
            </w:pPr>
            <w:r>
              <w:rPr>
                <w:rFonts w:ascii="Arial" w:cs="Arial" w:eastAsia="Arial" w:hAnsi="Arial"/>
                <w:sz w:val="14"/>
                <w:szCs w:val="14"/>
                <w:b w:val="1"/>
                <w:bCs w:val="1"/>
                <w:color w:val="auto"/>
              </w:rPr>
              <w:t>(continued)</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SetPoint Medical Corporation</w:t>
            </w:r>
          </w:p>
        </w:tc>
        <w:tc>
          <w:tcPr>
            <w:tcW w:w="118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Health Care</w:t>
            </w:r>
          </w:p>
        </w:tc>
        <w:tc>
          <w:tcPr>
            <w:tcW w:w="80" w:type="dxa"/>
            <w:vAlign w:val="bottom"/>
            <w:shd w:val="clear" w:color="auto" w:fill="CCEEFF"/>
          </w:tcPr>
          <w:p>
            <w:pPr>
              <w:spacing w:after="0"/>
              <w:rPr>
                <w:sz w:val="11"/>
                <w:szCs w:val="11"/>
                <w:color w:val="auto"/>
              </w:rPr>
            </w:pPr>
          </w:p>
        </w:tc>
        <w:tc>
          <w:tcPr>
            <w:tcW w:w="23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LIBOR+8.75%, 9.25% floor, 4.00%</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Technology</w:t>
            </w:r>
          </w:p>
        </w:tc>
        <w:tc>
          <w:tcPr>
            <w:tcW w:w="246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ETP, due 12/1/2025</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6/29/2021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$ 10,000,000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9,886,574</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9,886,574</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2.07 %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tcPr>
          <w:p>
            <w:pPr>
              <w:spacing w:after="0" w:line="130" w:lineRule="exact"/>
              <w:rPr>
                <w:sz w:val="20"/>
                <w:szCs w:val="20"/>
                <w:color w:val="auto"/>
              </w:rPr>
            </w:pPr>
            <w:r>
              <w:rPr>
                <w:rFonts w:ascii="Arial" w:cs="Arial" w:eastAsia="Arial" w:hAnsi="Arial"/>
                <w:sz w:val="14"/>
                <w:szCs w:val="14"/>
                <w:color w:val="auto"/>
              </w:rPr>
              <w:t>ShareThis, Inc.</w:t>
            </w:r>
          </w:p>
        </w:tc>
        <w:tc>
          <w:tcPr>
            <w:tcW w:w="1180" w:type="dxa"/>
            <w:vAlign w:val="bottom"/>
            <w:gridSpan w:val="2"/>
          </w:tcPr>
          <w:p>
            <w:pPr>
              <w:ind w:left="80"/>
              <w:spacing w:after="0" w:line="130" w:lineRule="exact"/>
              <w:rPr>
                <w:sz w:val="20"/>
                <w:szCs w:val="20"/>
                <w:color w:val="auto"/>
              </w:rPr>
            </w:pPr>
            <w:r>
              <w:rPr>
                <w:rFonts w:ascii="Arial" w:cs="Arial" w:eastAsia="Arial" w:hAnsi="Arial"/>
                <w:sz w:val="14"/>
                <w:szCs w:val="14"/>
                <w:color w:val="auto"/>
                <w:w w:val="93"/>
              </w:rPr>
              <w:t>Data Processing &amp;</w:t>
            </w:r>
          </w:p>
        </w:tc>
        <w:tc>
          <w:tcPr>
            <w:tcW w:w="246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 LIBOR+9.25%, 11.60%</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Outsourced</w:t>
            </w:r>
          </w:p>
        </w:tc>
        <w:tc>
          <w:tcPr>
            <w:tcW w:w="24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floor, 3.00% ETP, due 7/15/2023</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color w:val="auto"/>
              </w:rPr>
              <w:t>Services</w:t>
            </w:r>
          </w:p>
        </w:tc>
        <w:tc>
          <w:tcPr>
            <w:tcW w:w="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12/3/2018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19,250,000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19,099,162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19,099,161</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46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II: LIBOR+9.25%, 11.60%</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6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floor, 3.00% ETP, due 7/15/2023</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1/7/2019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750,000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741,181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741,181</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6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III: LIBOR+9.25%, 11.60%</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60" w:type="dxa"/>
            <w:vAlign w:val="bottom"/>
            <w:gridSpan w:val="3"/>
          </w:tcPr>
          <w:p>
            <w:pPr>
              <w:ind w:left="80"/>
              <w:spacing w:after="0"/>
              <w:rPr>
                <w:sz w:val="20"/>
                <w:szCs w:val="20"/>
                <w:color w:val="auto"/>
              </w:rPr>
            </w:pPr>
            <w:r>
              <w:rPr>
                <w:rFonts w:ascii="Arial" w:cs="Arial" w:eastAsia="Arial" w:hAnsi="Arial"/>
                <w:sz w:val="14"/>
                <w:szCs w:val="14"/>
                <w:color w:val="auto"/>
              </w:rPr>
              <w:t>floor, 3.00% ETP, due 7/15/2023</w:t>
            </w:r>
          </w:p>
        </w:tc>
        <w:tc>
          <w:tcPr>
            <w:tcW w:w="700" w:type="dxa"/>
            <w:vAlign w:val="bottom"/>
          </w:tcPr>
          <w:p>
            <w:pPr>
              <w:jc w:val="right"/>
              <w:spacing w:after="0"/>
              <w:rPr>
                <w:sz w:val="20"/>
                <w:szCs w:val="20"/>
                <w:color w:val="auto"/>
              </w:rPr>
            </w:pPr>
            <w:r>
              <w:rPr>
                <w:rFonts w:ascii="Arial" w:cs="Arial" w:eastAsia="Arial" w:hAnsi="Arial"/>
                <w:sz w:val="14"/>
                <w:szCs w:val="14"/>
                <w:color w:val="auto"/>
              </w:rPr>
              <w:t>7/24/2019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1,000,000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981,727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981,727</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46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IV: LIBOR+8.25%, 10.60%</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6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floor, 3.00% ETP, due 7/15/2023</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8/18/2020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1,006,026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1,006,026</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tcPr>
          <w:p>
            <w:pPr>
              <w:spacing w:after="0" w:line="130" w:lineRule="exact"/>
              <w:rPr>
                <w:sz w:val="20"/>
                <w:szCs w:val="20"/>
                <w:color w:val="auto"/>
              </w:rPr>
            </w:pPr>
            <w:r>
              <w:rPr>
                <w:rFonts w:ascii="Arial" w:cs="Arial" w:eastAsia="Arial" w:hAnsi="Arial"/>
                <w:sz w:val="14"/>
                <w:szCs w:val="14"/>
                <w:color w:val="auto"/>
              </w:rPr>
              <w:t>The Kairn Corporation</w:t>
            </w:r>
          </w:p>
        </w:tc>
        <w:tc>
          <w:tcPr>
            <w:tcW w:w="118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Application</w:t>
            </w:r>
          </w:p>
        </w:tc>
        <w:tc>
          <w:tcPr>
            <w:tcW w:w="246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 LIBOR+9.50% PIK,</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color w:val="auto"/>
              </w:rPr>
              <w:t>Software</w:t>
            </w:r>
          </w:p>
        </w:tc>
        <w:tc>
          <w:tcPr>
            <w:tcW w:w="2460" w:type="dxa"/>
            <w:vAlign w:val="bottom"/>
            <w:gridSpan w:val="3"/>
          </w:tcPr>
          <w:p>
            <w:pPr>
              <w:ind w:left="80"/>
              <w:spacing w:after="0"/>
              <w:rPr>
                <w:sz w:val="20"/>
                <w:szCs w:val="20"/>
                <w:color w:val="auto"/>
              </w:rPr>
            </w:pPr>
            <w:r>
              <w:rPr>
                <w:rFonts w:ascii="Arial" w:cs="Arial" w:eastAsia="Arial" w:hAnsi="Arial"/>
                <w:sz w:val="14"/>
                <w:szCs w:val="14"/>
                <w:color w:val="auto"/>
              </w:rPr>
              <w:t xml:space="preserve">10.81% floor, due 12/15/2022 </w:t>
            </w:r>
            <w:r>
              <w:rPr>
                <w:rFonts w:ascii="Arial" w:cs="Arial" w:eastAsia="Arial" w:hAnsi="Arial"/>
                <w:sz w:val="10"/>
                <w:szCs w:val="10"/>
                <w:color w:val="auto"/>
              </w:rPr>
              <w:t>(4)</w:t>
            </w:r>
          </w:p>
        </w:tc>
        <w:tc>
          <w:tcPr>
            <w:tcW w:w="700" w:type="dxa"/>
            <w:vAlign w:val="bottom"/>
          </w:tcPr>
          <w:p>
            <w:pPr>
              <w:jc w:val="right"/>
              <w:spacing w:after="0"/>
              <w:rPr>
                <w:sz w:val="20"/>
                <w:szCs w:val="20"/>
                <w:color w:val="auto"/>
              </w:rPr>
            </w:pPr>
            <w:r>
              <w:rPr>
                <w:rFonts w:ascii="Arial" w:cs="Arial" w:eastAsia="Arial" w:hAnsi="Arial"/>
                <w:sz w:val="14"/>
                <w:szCs w:val="14"/>
                <w:color w:val="auto"/>
              </w:rPr>
              <w:t>3/24/2020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1,092,895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1,092,895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1,092,895</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0.23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46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II: Fixed 6.50% PIK, due</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3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 xml:space="preserve">3/9/2027 </w:t>
            </w:r>
            <w:r>
              <w:rPr>
                <w:rFonts w:ascii="Arial" w:cs="Arial" w:eastAsia="Arial" w:hAnsi="Arial"/>
                <w:sz w:val="10"/>
                <w:szCs w:val="10"/>
                <w:color w:val="auto"/>
              </w:rPr>
              <w:t>(4)</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3/9/2020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4,327,450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4,327,450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2,823,303</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tcPr>
          <w:p>
            <w:pPr>
              <w:spacing w:after="0" w:line="130" w:lineRule="exact"/>
              <w:rPr>
                <w:sz w:val="20"/>
                <w:szCs w:val="20"/>
                <w:color w:val="auto"/>
              </w:rPr>
            </w:pPr>
            <w:r>
              <w:rPr>
                <w:rFonts w:ascii="Arial" w:cs="Arial" w:eastAsia="Arial" w:hAnsi="Arial"/>
                <w:sz w:val="14"/>
                <w:szCs w:val="14"/>
                <w:color w:val="auto"/>
              </w:rPr>
              <w:t>VERO Biotech LLC</w:t>
            </w:r>
          </w:p>
        </w:tc>
        <w:tc>
          <w:tcPr>
            <w:tcW w:w="118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Health Care</w:t>
            </w:r>
          </w:p>
        </w:tc>
        <w:tc>
          <w:tcPr>
            <w:tcW w:w="246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 LIBOR+9.05%, 9.55%</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color w:val="auto"/>
              </w:rPr>
              <w:t>Technology</w:t>
            </w:r>
          </w:p>
        </w:tc>
        <w:tc>
          <w:tcPr>
            <w:tcW w:w="2460" w:type="dxa"/>
            <w:vAlign w:val="bottom"/>
            <w:gridSpan w:val="3"/>
          </w:tcPr>
          <w:p>
            <w:pPr>
              <w:ind w:left="80"/>
              <w:spacing w:after="0"/>
              <w:rPr>
                <w:sz w:val="20"/>
                <w:szCs w:val="20"/>
                <w:color w:val="auto"/>
              </w:rPr>
            </w:pPr>
            <w:r>
              <w:rPr>
                <w:rFonts w:ascii="Arial" w:cs="Arial" w:eastAsia="Arial" w:hAnsi="Arial"/>
                <w:sz w:val="14"/>
                <w:szCs w:val="14"/>
                <w:color w:val="auto"/>
              </w:rPr>
              <w:t>floor, 3.00% ETP, due 12/1/2024</w:t>
            </w:r>
          </w:p>
        </w:tc>
        <w:tc>
          <w:tcPr>
            <w:tcW w:w="700" w:type="dxa"/>
            <w:vAlign w:val="bottom"/>
          </w:tcPr>
          <w:p>
            <w:pPr>
              <w:jc w:val="right"/>
              <w:spacing w:after="0"/>
              <w:rPr>
                <w:sz w:val="20"/>
                <w:szCs w:val="20"/>
                <w:color w:val="auto"/>
              </w:rPr>
            </w:pPr>
            <w:r>
              <w:rPr>
                <w:rFonts w:ascii="Arial" w:cs="Arial" w:eastAsia="Arial" w:hAnsi="Arial"/>
                <w:sz w:val="14"/>
                <w:szCs w:val="14"/>
                <w:color w:val="auto"/>
                <w:w w:val="91"/>
              </w:rPr>
              <w:t>12/29/2020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25,000,000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24,471,486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24,471,486</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46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II: LIBOR+9.05%, 9.55%</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6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floor, 3.00% ETP, due 12/1/2024</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3/30/2021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15,000,000</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14,901,321</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14,901,321</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980" w:type="dxa"/>
            <w:vAlign w:val="bottom"/>
            <w:gridSpan w:val="3"/>
          </w:tcPr>
          <w:p>
            <w:pPr>
              <w:spacing w:after="0" w:line="106" w:lineRule="exact"/>
              <w:rPr>
                <w:sz w:val="20"/>
                <w:szCs w:val="20"/>
                <w:color w:val="auto"/>
              </w:rPr>
            </w:pPr>
            <w:r>
              <w:rPr>
                <w:rFonts w:ascii="Arial" w:cs="Arial" w:eastAsia="Arial" w:hAnsi="Arial"/>
                <w:sz w:val="12"/>
                <w:szCs w:val="12"/>
                <w:b w:val="1"/>
                <w:bCs w:val="1"/>
                <w:color w:val="auto"/>
              </w:rPr>
              <w:t>Total Senior Secured Term</w:t>
            </w: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20" w:type="dxa"/>
            <w:vAlign w:val="bottom"/>
            <w:gridSpan w:val="5"/>
          </w:tcPr>
          <w:p>
            <w:pPr>
              <w:spacing w:after="0"/>
              <w:rPr>
                <w:sz w:val="20"/>
                <w:szCs w:val="20"/>
                <w:color w:val="auto"/>
              </w:rPr>
            </w:pPr>
            <w:r>
              <w:rPr>
                <w:rFonts w:ascii="Arial" w:cs="Arial" w:eastAsia="Arial" w:hAnsi="Arial"/>
                <w:sz w:val="14"/>
                <w:szCs w:val="14"/>
                <w:b w:val="1"/>
                <w:bCs w:val="1"/>
                <w:color w:val="auto"/>
              </w:rPr>
              <w:t>Loans</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w w:val="92"/>
              </w:rPr>
              <w:t>534,737,763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w w:val="95"/>
              </w:rPr>
              <w:t>519,997,759</w:t>
            </w: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7"/>
              </w:rPr>
              <w:t>108.85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Preferred Stocks</w:t>
            </w: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Aria Systems, Inc.</w:t>
            </w:r>
          </w:p>
        </w:tc>
        <w:tc>
          <w:tcPr>
            <w:tcW w:w="118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Application</w:t>
            </w:r>
          </w:p>
        </w:tc>
        <w:tc>
          <w:tcPr>
            <w:tcW w:w="80" w:type="dxa"/>
            <w:vAlign w:val="bottom"/>
            <w:shd w:val="clear" w:color="auto" w:fill="CCEEFF"/>
          </w:tcPr>
          <w:p>
            <w:pPr>
              <w:spacing w:after="0"/>
              <w:rPr>
                <w:sz w:val="11"/>
                <w:szCs w:val="11"/>
                <w:color w:val="auto"/>
              </w:rPr>
            </w:pPr>
          </w:p>
        </w:tc>
        <w:tc>
          <w:tcPr>
            <w:tcW w:w="23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 xml:space="preserve">Series G Preferred Stock </w:t>
            </w:r>
            <w:r>
              <w:rPr>
                <w:rFonts w:ascii="Arial" w:cs="Arial" w:eastAsia="Arial" w:hAnsi="Arial"/>
                <w:sz w:val="10"/>
                <w:szCs w:val="10"/>
                <w:color w:val="auto"/>
              </w:rPr>
              <w:t>(7)</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Software</w:t>
            </w:r>
          </w:p>
        </w:tc>
        <w:tc>
          <w:tcPr>
            <w:tcW w:w="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7/10/2018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289,419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369,620</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tcPr>
          <w:p>
            <w:pPr>
              <w:spacing w:after="0" w:line="130" w:lineRule="exact"/>
              <w:rPr>
                <w:sz w:val="20"/>
                <w:szCs w:val="20"/>
                <w:color w:val="auto"/>
              </w:rPr>
            </w:pPr>
            <w:r>
              <w:rPr>
                <w:rFonts w:ascii="Arial" w:cs="Arial" w:eastAsia="Arial" w:hAnsi="Arial"/>
                <w:sz w:val="14"/>
                <w:szCs w:val="14"/>
                <w:color w:val="auto"/>
              </w:rPr>
              <w:t>CareCloud, Inc.</w:t>
            </w:r>
          </w:p>
        </w:tc>
        <w:tc>
          <w:tcPr>
            <w:tcW w:w="118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Health Care</w:t>
            </w:r>
          </w:p>
        </w:tc>
        <w:tc>
          <w:tcPr>
            <w:tcW w:w="80" w:type="dxa"/>
            <w:vAlign w:val="bottom"/>
          </w:tcPr>
          <w:p>
            <w:pPr>
              <w:spacing w:after="0"/>
              <w:rPr>
                <w:sz w:val="11"/>
                <w:szCs w:val="11"/>
                <w:color w:val="auto"/>
              </w:rPr>
            </w:pPr>
          </w:p>
        </w:tc>
        <w:tc>
          <w:tcPr>
            <w:tcW w:w="2380" w:type="dxa"/>
            <w:vAlign w:val="bottom"/>
            <w:gridSpan w:val="2"/>
          </w:tcPr>
          <w:p>
            <w:pPr>
              <w:ind w:left="40"/>
              <w:spacing w:after="0" w:line="130" w:lineRule="exact"/>
              <w:rPr>
                <w:sz w:val="20"/>
                <w:szCs w:val="20"/>
                <w:color w:val="auto"/>
              </w:rPr>
            </w:pPr>
            <w:r>
              <w:rPr>
                <w:rFonts w:ascii="Arial" w:cs="Arial" w:eastAsia="Arial" w:hAnsi="Arial"/>
                <w:sz w:val="14"/>
                <w:szCs w:val="14"/>
                <w:color w:val="auto"/>
                <w:w w:val="95"/>
              </w:rPr>
              <w:t>11% Series A Cumulative Redeemable</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color w:val="auto"/>
              </w:rPr>
              <w:t>Technology</w:t>
            </w:r>
          </w:p>
        </w:tc>
        <w:tc>
          <w:tcPr>
            <w:tcW w:w="2460" w:type="dxa"/>
            <w:vAlign w:val="bottom"/>
            <w:gridSpan w:val="3"/>
          </w:tcPr>
          <w:p>
            <w:pPr>
              <w:ind w:left="80"/>
              <w:spacing w:after="0"/>
              <w:rPr>
                <w:sz w:val="20"/>
                <w:szCs w:val="20"/>
                <w:color w:val="auto"/>
              </w:rPr>
            </w:pPr>
            <w:r>
              <w:rPr>
                <w:rFonts w:ascii="Arial" w:cs="Arial" w:eastAsia="Arial" w:hAnsi="Arial"/>
                <w:sz w:val="14"/>
                <w:szCs w:val="14"/>
                <w:color w:val="auto"/>
              </w:rPr>
              <w:t xml:space="preserve">Perpetual Preferred Stock </w:t>
            </w:r>
            <w:r>
              <w:rPr>
                <w:rFonts w:ascii="Arial" w:cs="Arial" w:eastAsia="Arial" w:hAnsi="Arial"/>
                <w:sz w:val="10"/>
                <w:szCs w:val="10"/>
                <w:color w:val="auto"/>
              </w:rPr>
              <w:t>(16)</w:t>
            </w:r>
          </w:p>
        </w:tc>
        <w:tc>
          <w:tcPr>
            <w:tcW w:w="700" w:type="dxa"/>
            <w:vAlign w:val="bottom"/>
          </w:tcPr>
          <w:p>
            <w:pPr>
              <w:jc w:val="right"/>
              <w:spacing w:after="0"/>
              <w:rPr>
                <w:sz w:val="20"/>
                <w:szCs w:val="20"/>
                <w:color w:val="auto"/>
              </w:rPr>
            </w:pPr>
            <w:r>
              <w:rPr>
                <w:rFonts w:ascii="Arial" w:cs="Arial" w:eastAsia="Arial" w:hAnsi="Arial"/>
                <w:sz w:val="14"/>
                <w:szCs w:val="14"/>
                <w:color w:val="auto"/>
              </w:rPr>
              <w:t>1/8/2020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544,178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14,287,836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15,770,278</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Pivot3 Holdings, Inc.</w:t>
            </w:r>
          </w:p>
        </w:tc>
        <w:tc>
          <w:tcPr>
            <w:tcW w:w="118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w w:val="93"/>
              </w:rPr>
              <w:t>Data Processing &amp;</w:t>
            </w:r>
          </w:p>
        </w:tc>
        <w:tc>
          <w:tcPr>
            <w:tcW w:w="246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 xml:space="preserve">Series 1 Preferred Stock </w:t>
            </w:r>
            <w:r>
              <w:rPr>
                <w:rFonts w:ascii="Arial" w:cs="Arial" w:eastAsia="Arial" w:hAnsi="Arial"/>
                <w:sz w:val="10"/>
                <w:szCs w:val="10"/>
                <w:color w:val="auto"/>
              </w:rPr>
              <w:t>(7)</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Outsourced</w:t>
            </w:r>
          </w:p>
        </w:tc>
        <w:tc>
          <w:tcPr>
            <w:tcW w:w="8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Services</w:t>
            </w:r>
          </w:p>
        </w:tc>
        <w:tc>
          <w:tcPr>
            <w:tcW w:w="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1/27/2021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2,675,585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tcBorders>
              <w:bottom w:val="single" w:sz="8" w:color="CCEEFF"/>
            </w:tcBorders>
            <w:gridSpan w:val="3"/>
          </w:tcPr>
          <w:p>
            <w:pPr>
              <w:spacing w:after="0" w:line="142" w:lineRule="exact"/>
              <w:rPr>
                <w:sz w:val="20"/>
                <w:szCs w:val="20"/>
                <w:color w:val="auto"/>
              </w:rPr>
            </w:pPr>
            <w:r>
              <w:rPr>
                <w:rFonts w:ascii="Arial" w:cs="Arial" w:eastAsia="Arial" w:hAnsi="Arial"/>
                <w:sz w:val="14"/>
                <w:szCs w:val="14"/>
                <w:b w:val="1"/>
                <w:bCs w:val="1"/>
                <w:color w:val="auto"/>
              </w:rPr>
              <w:t>Total Preferred Stocks</w:t>
            </w:r>
          </w:p>
        </w:tc>
        <w:tc>
          <w:tcPr>
            <w:tcW w:w="8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3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16,537,836</w:t>
            </w: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16,139,898</w:t>
            </w:r>
          </w:p>
        </w:tc>
        <w:tc>
          <w:tcPr>
            <w:tcW w:w="8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 Stocks</w:t>
            </w:r>
            <w:r>
              <w:rPr>
                <w:rFonts w:ascii="Arial" w:cs="Arial" w:eastAsia="Arial" w:hAnsi="Arial"/>
                <w:sz w:val="10"/>
                <w:szCs w:val="10"/>
                <w:b w:val="1"/>
                <w:bCs w:val="1"/>
                <w:color w:val="auto"/>
              </w:rPr>
              <w:t>(7)</w:t>
            </w: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Porch Group, Inc.</w:t>
            </w:r>
          </w:p>
        </w:tc>
        <w:tc>
          <w:tcPr>
            <w:tcW w:w="118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Application</w:t>
            </w:r>
          </w:p>
        </w:tc>
        <w:tc>
          <w:tcPr>
            <w:tcW w:w="80" w:type="dxa"/>
            <w:vAlign w:val="bottom"/>
            <w:shd w:val="clear" w:color="auto" w:fill="CCEEFF"/>
          </w:tcPr>
          <w:p>
            <w:pPr>
              <w:spacing w:after="0"/>
              <w:rPr>
                <w:sz w:val="11"/>
                <w:szCs w:val="11"/>
                <w:color w:val="auto"/>
              </w:rPr>
            </w:pPr>
          </w:p>
        </w:tc>
        <w:tc>
          <w:tcPr>
            <w:tcW w:w="23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 xml:space="preserve">Common Stock </w:t>
            </w:r>
            <w:r>
              <w:rPr>
                <w:rFonts w:ascii="Arial" w:cs="Arial" w:eastAsia="Arial" w:hAnsi="Arial"/>
                <w:sz w:val="10"/>
                <w:szCs w:val="10"/>
                <w:color w:val="auto"/>
              </w:rPr>
              <w:t>(3),(16)</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1"/>
              </w:rPr>
              <w:t>12/23/2020</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Software</w:t>
            </w:r>
          </w:p>
        </w:tc>
        <w:tc>
          <w:tcPr>
            <w:tcW w:w="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38,079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118,100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737,971</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tcPr>
          <w:p>
            <w:pPr>
              <w:spacing w:after="0" w:line="130" w:lineRule="exact"/>
              <w:rPr>
                <w:sz w:val="20"/>
                <w:szCs w:val="20"/>
                <w:color w:val="auto"/>
              </w:rPr>
            </w:pPr>
            <w:r>
              <w:rPr>
                <w:rFonts w:ascii="Arial" w:cs="Arial" w:eastAsia="Arial" w:hAnsi="Arial"/>
                <w:sz w:val="14"/>
                <w:szCs w:val="14"/>
                <w:color w:val="auto"/>
              </w:rPr>
              <w:t>Ouster, Inc.</w:t>
            </w:r>
          </w:p>
        </w:tc>
        <w:tc>
          <w:tcPr>
            <w:tcW w:w="118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Technology</w:t>
            </w:r>
          </w:p>
        </w:tc>
        <w:tc>
          <w:tcPr>
            <w:tcW w:w="80" w:type="dxa"/>
            <w:vAlign w:val="bottom"/>
          </w:tcPr>
          <w:p>
            <w:pPr>
              <w:spacing w:after="0"/>
              <w:rPr>
                <w:sz w:val="11"/>
                <w:szCs w:val="11"/>
                <w:color w:val="auto"/>
              </w:rPr>
            </w:pPr>
          </w:p>
        </w:tc>
        <w:tc>
          <w:tcPr>
            <w:tcW w:w="23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 xml:space="preserve">Common Stock </w:t>
            </w:r>
            <w:r>
              <w:rPr>
                <w:rFonts w:ascii="Arial" w:cs="Arial" w:eastAsia="Arial" w:hAnsi="Arial"/>
                <w:sz w:val="10"/>
                <w:szCs w:val="10"/>
                <w:color w:val="auto"/>
              </w:rPr>
              <w:t>(3),(16)</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rPr>
              <w:t>3/12/2021</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1"/>
              </w:rPr>
              <w:t>Hardware, Storage</w:t>
            </w: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color w:val="auto"/>
              </w:rPr>
              <w:t>&amp; Peripherals</w:t>
            </w:r>
          </w:p>
        </w:tc>
        <w:tc>
          <w:tcPr>
            <w:tcW w:w="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1,209,659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103,010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14,324,110</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zSpace, Inc.</w:t>
            </w:r>
          </w:p>
        </w:tc>
        <w:tc>
          <w:tcPr>
            <w:tcW w:w="118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Technology</w:t>
            </w:r>
          </w:p>
        </w:tc>
        <w:tc>
          <w:tcPr>
            <w:tcW w:w="80" w:type="dxa"/>
            <w:vAlign w:val="bottom"/>
            <w:shd w:val="clear" w:color="auto" w:fill="CCEEFF"/>
          </w:tcPr>
          <w:p>
            <w:pPr>
              <w:spacing w:after="0"/>
              <w:rPr>
                <w:sz w:val="11"/>
                <w:szCs w:val="11"/>
                <w:color w:val="auto"/>
              </w:rPr>
            </w:pPr>
          </w:p>
        </w:tc>
        <w:tc>
          <w:tcPr>
            <w:tcW w:w="23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Common Stock</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1"/>
              </w:rPr>
              <w:t>12/31/2020</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91"/>
              </w:rPr>
              <w:t>Hardware, Storage</w:t>
            </w:r>
          </w:p>
        </w:tc>
        <w:tc>
          <w:tcPr>
            <w:tcW w:w="8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&amp; Peripherals</w:t>
            </w:r>
          </w:p>
        </w:tc>
        <w:tc>
          <w:tcPr>
            <w:tcW w:w="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6,078,499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1,119,096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Total Common Stocks</w:t>
            </w: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1,340,206</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15,062,081</w:t>
            </w:r>
          </w:p>
        </w:tc>
        <w:tc>
          <w:tcPr>
            <w:tcW w:w="8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Acquisition</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20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80" w:type="dxa"/>
            <w:vAlign w:val="bottom"/>
          </w:tcPr>
          <w:p>
            <w:pPr>
              <w:spacing w:after="0"/>
              <w:rPr>
                <w:sz w:val="12"/>
                <w:szCs w:val="12"/>
                <w:color w:val="auto"/>
              </w:rPr>
            </w:pPr>
          </w:p>
        </w:tc>
        <w:tc>
          <w:tcPr>
            <w:tcW w:w="11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Sub-Industry</w:t>
            </w:r>
          </w:p>
        </w:tc>
        <w:tc>
          <w:tcPr>
            <w:tcW w:w="80" w:type="dxa"/>
            <w:vAlign w:val="bottom"/>
          </w:tcPr>
          <w:p>
            <w:pPr>
              <w:spacing w:after="0"/>
              <w:rPr>
                <w:sz w:val="12"/>
                <w:szCs w:val="12"/>
                <w:color w:val="auto"/>
              </w:rPr>
            </w:pPr>
          </w:p>
        </w:tc>
        <w:tc>
          <w:tcPr>
            <w:tcW w:w="24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Cost</w:t>
            </w:r>
          </w:p>
        </w:tc>
        <w:tc>
          <w:tcPr>
            <w:tcW w:w="108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(2),(6)</w:t>
            </w:r>
          </w:p>
        </w:tc>
        <w:tc>
          <w:tcPr>
            <w:tcW w:w="7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2"/>
            <w:vMerge w:val="continue"/>
          </w:tcPr>
          <w:p>
            <w:pPr>
              <w:spacing w:after="0"/>
              <w:rPr>
                <w:sz w:val="14"/>
                <w:szCs w:val="14"/>
                <w:color w:val="auto"/>
              </w:rPr>
            </w:pPr>
          </w:p>
        </w:tc>
        <w:tc>
          <w:tcPr>
            <w:tcW w:w="800" w:type="dxa"/>
            <w:vAlign w:val="bottom"/>
            <w:gridSpan w:val="2"/>
          </w:tcPr>
          <w:p>
            <w:pPr>
              <w:ind w:left="220"/>
              <w:spacing w:after="0"/>
              <w:rPr>
                <w:sz w:val="20"/>
                <w:szCs w:val="20"/>
                <w:color w:val="auto"/>
              </w:rPr>
            </w:pPr>
            <w:r>
              <w:rPr>
                <w:rFonts w:ascii="Arial" w:cs="Arial" w:eastAsia="Arial" w:hAnsi="Arial"/>
                <w:sz w:val="14"/>
                <w:szCs w:val="14"/>
                <w:b w:val="1"/>
                <w:bCs w:val="1"/>
                <w:color w:val="auto"/>
              </w:rPr>
              <w:t>Date</w:t>
            </w: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2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80" w:type="dxa"/>
            <w:vAlign w:val="bottom"/>
            <w:tcBorders>
              <w:top w:val="single" w:sz="8" w:color="CCEEFF"/>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3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14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8"/>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1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3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(7)</w:t>
            </w: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AllClear ID, Inc.</w:t>
            </w:r>
          </w:p>
        </w:tc>
        <w:tc>
          <w:tcPr>
            <w:tcW w:w="126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Specialized</w:t>
            </w:r>
          </w:p>
        </w:tc>
        <w:tc>
          <w:tcPr>
            <w:tcW w:w="8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Common Stock, exercise</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94"/>
              </w:rPr>
              <w:t>Consumer Services</w:t>
            </w:r>
          </w:p>
        </w:tc>
        <w:tc>
          <w:tcPr>
            <w:tcW w:w="25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price $0.01/share, expires 9/1/2027</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9/1/2017</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870,514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$ 1,749,733</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736,455</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w w:val="91"/>
              </w:rPr>
              <w:t>0.15 %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Allurion Technologies, Inc.</w:t>
            </w:r>
          </w:p>
        </w:tc>
        <w:tc>
          <w:tcPr>
            <w:tcW w:w="126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Health Care</w:t>
            </w:r>
          </w:p>
        </w:tc>
        <w:tc>
          <w:tcPr>
            <w:tcW w:w="80" w:type="dxa"/>
            <w:vAlign w:val="bottom"/>
          </w:tcPr>
          <w:p>
            <w:pPr>
              <w:spacing w:after="0"/>
              <w:rPr>
                <w:sz w:val="11"/>
                <w:szCs w:val="11"/>
                <w:color w:val="auto"/>
              </w:rPr>
            </w:pPr>
          </w:p>
        </w:tc>
        <w:tc>
          <w:tcPr>
            <w:tcW w:w="244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Series C Preferred Stock,</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Technology</w:t>
            </w:r>
          </w:p>
        </w:tc>
        <w:tc>
          <w:tcPr>
            <w:tcW w:w="25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exercise price $6.58/share, expires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40" w:type="dxa"/>
            <w:vAlign w:val="bottom"/>
            <w:gridSpan w:val="2"/>
          </w:tcPr>
          <w:p>
            <w:pPr>
              <w:ind w:left="80"/>
              <w:spacing w:after="0"/>
              <w:rPr>
                <w:sz w:val="20"/>
                <w:szCs w:val="20"/>
                <w:color w:val="auto"/>
              </w:rPr>
            </w:pPr>
            <w:r>
              <w:rPr>
                <w:rFonts w:ascii="Arial" w:cs="Arial" w:eastAsia="Arial" w:hAnsi="Arial"/>
                <w:sz w:val="14"/>
                <w:szCs w:val="14"/>
                <w:color w:val="auto"/>
              </w:rPr>
              <w:t>3/30/2031</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3/30/2021</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79,787</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46,289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68,108</w:t>
            </w:r>
          </w:p>
        </w:tc>
        <w:tc>
          <w:tcPr>
            <w:tcW w:w="80" w:type="dxa"/>
            <w:vAlign w:val="bottom"/>
          </w:tcPr>
          <w:p>
            <w:pPr>
              <w:spacing w:after="0"/>
              <w:rPr>
                <w:sz w:val="14"/>
                <w:szCs w:val="14"/>
                <w:color w:val="auto"/>
              </w:rPr>
            </w:pPr>
          </w:p>
        </w:tc>
        <w:tc>
          <w:tcPr>
            <w:tcW w:w="580" w:type="dxa"/>
            <w:vAlign w:val="bottom"/>
          </w:tcPr>
          <w:p>
            <w:pPr>
              <w:ind w:left="280"/>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Aria Systems, Inc.</w:t>
            </w:r>
          </w:p>
        </w:tc>
        <w:tc>
          <w:tcPr>
            <w:tcW w:w="126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Application</w:t>
            </w:r>
          </w:p>
        </w:tc>
        <w:tc>
          <w:tcPr>
            <w:tcW w:w="8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G Preferred Stock,</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Software</w:t>
            </w:r>
          </w:p>
        </w:tc>
        <w:tc>
          <w:tcPr>
            <w:tcW w:w="252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exercise price $0.8638/share, expires</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6/29/2028</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6/29/2018</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2,387,705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1,047,581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3,049,362</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0.64</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Aspen Group Inc.</w:t>
            </w:r>
          </w:p>
        </w:tc>
        <w:tc>
          <w:tcPr>
            <w:tcW w:w="1260" w:type="dxa"/>
            <w:vAlign w:val="bottom"/>
            <w:gridSpan w:val="2"/>
          </w:tcPr>
          <w:p>
            <w:pPr>
              <w:ind w:left="80"/>
              <w:spacing w:after="0" w:line="130" w:lineRule="exact"/>
              <w:rPr>
                <w:sz w:val="20"/>
                <w:szCs w:val="20"/>
                <w:color w:val="auto"/>
              </w:rPr>
            </w:pPr>
            <w:r>
              <w:rPr>
                <w:rFonts w:ascii="Arial" w:cs="Arial" w:eastAsia="Arial" w:hAnsi="Arial"/>
                <w:sz w:val="14"/>
                <w:szCs w:val="14"/>
                <w:color w:val="auto"/>
                <w:w w:val="96"/>
              </w:rPr>
              <w:t>Education Services</w:t>
            </w:r>
          </w:p>
        </w:tc>
        <w:tc>
          <w:tcPr>
            <w:tcW w:w="80" w:type="dxa"/>
            <w:vAlign w:val="bottom"/>
          </w:tcPr>
          <w:p>
            <w:pPr>
              <w:spacing w:after="0"/>
              <w:rPr>
                <w:sz w:val="11"/>
                <w:szCs w:val="11"/>
                <w:color w:val="auto"/>
              </w:rPr>
            </w:pPr>
          </w:p>
        </w:tc>
        <w:tc>
          <w:tcPr>
            <w:tcW w:w="244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Common Stock, exercise</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520" w:type="dxa"/>
            <w:vAlign w:val="bottom"/>
            <w:gridSpan w:val="3"/>
          </w:tcPr>
          <w:p>
            <w:pPr>
              <w:ind w:left="80"/>
              <w:spacing w:after="0"/>
              <w:rPr>
                <w:sz w:val="20"/>
                <w:szCs w:val="20"/>
                <w:color w:val="auto"/>
              </w:rPr>
            </w:pPr>
            <w:r>
              <w:rPr>
                <w:rFonts w:ascii="Arial" w:cs="Arial" w:eastAsia="Arial" w:hAnsi="Arial"/>
                <w:sz w:val="14"/>
                <w:szCs w:val="14"/>
                <w:color w:val="auto"/>
              </w:rPr>
              <w:t>price $6.87/share, expires 7/25/2022</w:t>
            </w:r>
          </w:p>
        </w:tc>
        <w:tc>
          <w:tcPr>
            <w:tcW w:w="700" w:type="dxa"/>
            <w:vAlign w:val="bottom"/>
          </w:tcPr>
          <w:p>
            <w:pPr>
              <w:jc w:val="right"/>
              <w:spacing w:after="0"/>
              <w:rPr>
                <w:sz w:val="20"/>
                <w:szCs w:val="20"/>
                <w:color w:val="auto"/>
              </w:rPr>
            </w:pPr>
            <w:r>
              <w:rPr>
                <w:rFonts w:ascii="Arial" w:cs="Arial" w:eastAsia="Arial" w:hAnsi="Arial"/>
                <w:sz w:val="14"/>
                <w:szCs w:val="14"/>
                <w:color w:val="auto"/>
              </w:rPr>
              <w:t>7/25/2017</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224,174</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583,301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339,000</w:t>
            </w:r>
          </w:p>
        </w:tc>
        <w:tc>
          <w:tcPr>
            <w:tcW w:w="80" w:type="dxa"/>
            <w:vAlign w:val="bottom"/>
          </w:tcPr>
          <w:p>
            <w:pPr>
              <w:spacing w:after="0"/>
              <w:rPr>
                <w:sz w:val="14"/>
                <w:szCs w:val="14"/>
                <w:color w:val="auto"/>
              </w:rPr>
            </w:pPr>
          </w:p>
        </w:tc>
        <w:tc>
          <w:tcPr>
            <w:tcW w:w="580" w:type="dxa"/>
            <w:vAlign w:val="bottom"/>
          </w:tcPr>
          <w:p>
            <w:pPr>
              <w:ind w:left="280"/>
              <w:spacing w:after="0"/>
              <w:rPr>
                <w:sz w:val="20"/>
                <w:szCs w:val="20"/>
                <w:color w:val="auto"/>
              </w:rPr>
            </w:pPr>
            <w:r>
              <w:rPr>
                <w:rFonts w:ascii="Arial" w:cs="Arial" w:eastAsia="Arial" w:hAnsi="Arial"/>
                <w:sz w:val="14"/>
                <w:szCs w:val="14"/>
                <w:color w:val="auto"/>
              </w:rPr>
              <w:t>0.07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Bombora, Inc.</w:t>
            </w:r>
          </w:p>
        </w:tc>
        <w:tc>
          <w:tcPr>
            <w:tcW w:w="126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Internet Software</w:t>
            </w:r>
          </w:p>
        </w:tc>
        <w:tc>
          <w:tcPr>
            <w:tcW w:w="8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Common Stock, exercise</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and Services</w:t>
            </w:r>
          </w:p>
        </w:tc>
        <w:tc>
          <w:tcPr>
            <w:tcW w:w="25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price $3.29/share, expires 3/31/2031</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3/31/2021</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121,581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174,500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187,658</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0.04</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Brilliant Earth, LLC</w:t>
            </w:r>
          </w:p>
        </w:tc>
        <w:tc>
          <w:tcPr>
            <w:tcW w:w="126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Internet Retail</w:t>
            </w:r>
          </w:p>
        </w:tc>
        <w:tc>
          <w:tcPr>
            <w:tcW w:w="80" w:type="dxa"/>
            <w:vAlign w:val="bottom"/>
          </w:tcPr>
          <w:p>
            <w:pPr>
              <w:spacing w:after="0"/>
              <w:rPr>
                <w:sz w:val="11"/>
                <w:szCs w:val="11"/>
                <w:color w:val="auto"/>
              </w:rPr>
            </w:pPr>
          </w:p>
        </w:tc>
        <w:tc>
          <w:tcPr>
            <w:tcW w:w="244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Class P Units, exercise</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520" w:type="dxa"/>
            <w:vAlign w:val="bottom"/>
            <w:gridSpan w:val="3"/>
          </w:tcPr>
          <w:p>
            <w:pPr>
              <w:ind w:left="80"/>
              <w:spacing w:after="0"/>
              <w:rPr>
                <w:sz w:val="20"/>
                <w:szCs w:val="20"/>
                <w:color w:val="auto"/>
              </w:rPr>
            </w:pPr>
            <w:r>
              <w:rPr>
                <w:rFonts w:ascii="Arial" w:cs="Arial" w:eastAsia="Arial" w:hAnsi="Arial"/>
                <w:sz w:val="14"/>
                <w:szCs w:val="14"/>
                <w:color w:val="auto"/>
              </w:rPr>
              <w:t>price $5.25/share, expires 9/30/2029</w:t>
            </w:r>
          </w:p>
        </w:tc>
        <w:tc>
          <w:tcPr>
            <w:tcW w:w="700" w:type="dxa"/>
            <w:vAlign w:val="bottom"/>
          </w:tcPr>
          <w:p>
            <w:pPr>
              <w:jc w:val="right"/>
              <w:spacing w:after="0"/>
              <w:rPr>
                <w:sz w:val="20"/>
                <w:szCs w:val="20"/>
                <w:color w:val="auto"/>
              </w:rPr>
            </w:pPr>
            <w:r>
              <w:rPr>
                <w:rFonts w:ascii="Arial" w:cs="Arial" w:eastAsia="Arial" w:hAnsi="Arial"/>
                <w:sz w:val="14"/>
                <w:szCs w:val="14"/>
                <w:color w:val="auto"/>
              </w:rPr>
              <w:t>9/30/2019</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333,333</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973,000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1,823,333</w:t>
            </w:r>
          </w:p>
        </w:tc>
        <w:tc>
          <w:tcPr>
            <w:tcW w:w="80" w:type="dxa"/>
            <w:vAlign w:val="bottom"/>
          </w:tcPr>
          <w:p>
            <w:pPr>
              <w:spacing w:after="0"/>
              <w:rPr>
                <w:sz w:val="14"/>
                <w:szCs w:val="14"/>
                <w:color w:val="auto"/>
              </w:rPr>
            </w:pPr>
          </w:p>
        </w:tc>
        <w:tc>
          <w:tcPr>
            <w:tcW w:w="580" w:type="dxa"/>
            <w:vAlign w:val="bottom"/>
          </w:tcPr>
          <w:p>
            <w:pPr>
              <w:ind w:left="280"/>
              <w:spacing w:after="0"/>
              <w:rPr>
                <w:sz w:val="20"/>
                <w:szCs w:val="20"/>
                <w:color w:val="auto"/>
              </w:rPr>
            </w:pPr>
            <w:r>
              <w:rPr>
                <w:rFonts w:ascii="Arial" w:cs="Arial" w:eastAsia="Arial" w:hAnsi="Arial"/>
                <w:sz w:val="14"/>
                <w:szCs w:val="14"/>
                <w:color w:val="auto"/>
              </w:rPr>
              <w:t>0.38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Class P Units, exercise</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5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w w:val="99"/>
              </w:rPr>
              <w:t>price $10.00/share, expires 12/17/2030</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12/17/2020</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25,500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75,500</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0.02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CareCloud, Inc.</w:t>
            </w:r>
          </w:p>
        </w:tc>
        <w:tc>
          <w:tcPr>
            <w:tcW w:w="126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Health Care</w:t>
            </w:r>
          </w:p>
        </w:tc>
        <w:tc>
          <w:tcPr>
            <w:tcW w:w="80" w:type="dxa"/>
            <w:vAlign w:val="bottom"/>
          </w:tcPr>
          <w:p>
            <w:pPr>
              <w:spacing w:after="0"/>
              <w:rPr>
                <w:sz w:val="11"/>
                <w:szCs w:val="11"/>
                <w:color w:val="auto"/>
              </w:rPr>
            </w:pPr>
          </w:p>
        </w:tc>
        <w:tc>
          <w:tcPr>
            <w:tcW w:w="244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Common Stock, exercise</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color w:val="auto"/>
              </w:rPr>
              <w:t>Technology</w:t>
            </w:r>
          </w:p>
        </w:tc>
        <w:tc>
          <w:tcPr>
            <w:tcW w:w="2520" w:type="dxa"/>
            <w:vAlign w:val="bottom"/>
            <w:gridSpan w:val="3"/>
          </w:tcPr>
          <w:p>
            <w:pPr>
              <w:ind w:left="80"/>
              <w:spacing w:after="0"/>
              <w:rPr>
                <w:sz w:val="20"/>
                <w:szCs w:val="20"/>
                <w:color w:val="auto"/>
              </w:rPr>
            </w:pPr>
            <w:r>
              <w:rPr>
                <w:rFonts w:ascii="Arial" w:cs="Arial" w:eastAsia="Arial" w:hAnsi="Arial"/>
                <w:sz w:val="14"/>
                <w:szCs w:val="14"/>
                <w:color w:val="auto"/>
              </w:rPr>
              <w:t>price $7.50/share, expires 1/8/2022</w:t>
            </w:r>
          </w:p>
        </w:tc>
        <w:tc>
          <w:tcPr>
            <w:tcW w:w="700" w:type="dxa"/>
            <w:vAlign w:val="bottom"/>
          </w:tcPr>
          <w:p>
            <w:pPr>
              <w:jc w:val="right"/>
              <w:spacing w:after="0"/>
              <w:rPr>
                <w:sz w:val="20"/>
                <w:szCs w:val="20"/>
                <w:color w:val="auto"/>
              </w:rPr>
            </w:pPr>
            <w:r>
              <w:rPr>
                <w:rFonts w:ascii="Arial" w:cs="Arial" w:eastAsia="Arial" w:hAnsi="Arial"/>
                <w:sz w:val="14"/>
                <w:szCs w:val="14"/>
                <w:color w:val="auto"/>
              </w:rPr>
              <w:t>1/8/2020</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1,000,000</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435,000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1,725,000</w:t>
            </w:r>
          </w:p>
        </w:tc>
        <w:tc>
          <w:tcPr>
            <w:tcW w:w="80" w:type="dxa"/>
            <w:vAlign w:val="bottom"/>
          </w:tcPr>
          <w:p>
            <w:pPr>
              <w:spacing w:after="0"/>
              <w:rPr>
                <w:sz w:val="14"/>
                <w:szCs w:val="14"/>
                <w:color w:val="auto"/>
              </w:rPr>
            </w:pPr>
          </w:p>
        </w:tc>
        <w:tc>
          <w:tcPr>
            <w:tcW w:w="580" w:type="dxa"/>
            <w:vAlign w:val="bottom"/>
          </w:tcPr>
          <w:p>
            <w:pPr>
              <w:ind w:left="280"/>
              <w:spacing w:after="0"/>
              <w:rPr>
                <w:sz w:val="20"/>
                <w:szCs w:val="20"/>
                <w:color w:val="auto"/>
              </w:rPr>
            </w:pPr>
            <w:r>
              <w:rPr>
                <w:rFonts w:ascii="Arial" w:cs="Arial" w:eastAsia="Arial" w:hAnsi="Arial"/>
                <w:sz w:val="14"/>
                <w:szCs w:val="14"/>
                <w:color w:val="auto"/>
              </w:rPr>
              <w:t>0.36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Common Stock, exercise</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5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price $10.00/share, expires 1/8/2023</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1/8/2020</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837,000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1,733,000</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0.36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Circadence Corporation</w:t>
            </w:r>
          </w:p>
        </w:tc>
        <w:tc>
          <w:tcPr>
            <w:tcW w:w="126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Application</w:t>
            </w:r>
          </w:p>
        </w:tc>
        <w:tc>
          <w:tcPr>
            <w:tcW w:w="80" w:type="dxa"/>
            <w:vAlign w:val="bottom"/>
          </w:tcPr>
          <w:p>
            <w:pPr>
              <w:spacing w:after="0"/>
              <w:rPr>
                <w:sz w:val="11"/>
                <w:szCs w:val="11"/>
                <w:color w:val="auto"/>
              </w:rPr>
            </w:pPr>
          </w:p>
        </w:tc>
        <w:tc>
          <w:tcPr>
            <w:tcW w:w="2440" w:type="dxa"/>
            <w:vAlign w:val="bottom"/>
            <w:gridSpan w:val="2"/>
          </w:tcPr>
          <w:p>
            <w:pPr>
              <w:ind w:left="40"/>
              <w:spacing w:after="0" w:line="130" w:lineRule="exact"/>
              <w:rPr>
                <w:sz w:val="20"/>
                <w:szCs w:val="20"/>
                <w:color w:val="auto"/>
              </w:rPr>
            </w:pPr>
            <w:r>
              <w:rPr>
                <w:rFonts w:ascii="Arial" w:cs="Arial" w:eastAsia="Arial" w:hAnsi="Arial"/>
                <w:sz w:val="14"/>
                <w:szCs w:val="14"/>
                <w:color w:val="auto"/>
                <w:w w:val="97"/>
              </w:rPr>
              <w:t>Warrant for Series A-6 Preferred Stock,</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Software</w:t>
            </w:r>
          </w:p>
        </w:tc>
        <w:tc>
          <w:tcPr>
            <w:tcW w:w="25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exercise price $1.17/share, expires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40" w:type="dxa"/>
            <w:vAlign w:val="bottom"/>
            <w:gridSpan w:val="2"/>
          </w:tcPr>
          <w:p>
            <w:pPr>
              <w:ind w:left="80"/>
              <w:spacing w:after="0"/>
              <w:rPr>
                <w:sz w:val="20"/>
                <w:szCs w:val="20"/>
                <w:color w:val="auto"/>
              </w:rPr>
            </w:pPr>
            <w:r>
              <w:rPr>
                <w:rFonts w:ascii="Arial" w:cs="Arial" w:eastAsia="Arial" w:hAnsi="Arial"/>
                <w:sz w:val="14"/>
                <w:szCs w:val="14"/>
                <w:color w:val="auto"/>
              </w:rPr>
              <w:t>12/20/2028</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1"/>
              </w:rPr>
              <w:t>12/20/2018</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1,538,462</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3,630,000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2,678,948</w:t>
            </w:r>
          </w:p>
        </w:tc>
        <w:tc>
          <w:tcPr>
            <w:tcW w:w="80" w:type="dxa"/>
            <w:vAlign w:val="bottom"/>
          </w:tcPr>
          <w:p>
            <w:pPr>
              <w:spacing w:after="0"/>
              <w:rPr>
                <w:sz w:val="14"/>
                <w:szCs w:val="14"/>
                <w:color w:val="auto"/>
              </w:rPr>
            </w:pPr>
          </w:p>
        </w:tc>
        <w:tc>
          <w:tcPr>
            <w:tcW w:w="580" w:type="dxa"/>
            <w:vAlign w:val="bottom"/>
          </w:tcPr>
          <w:p>
            <w:pPr>
              <w:ind w:left="280"/>
              <w:spacing w:after="0"/>
              <w:rPr>
                <w:sz w:val="20"/>
                <w:szCs w:val="20"/>
                <w:color w:val="auto"/>
              </w:rPr>
            </w:pPr>
            <w:r>
              <w:rPr>
                <w:rFonts w:ascii="Arial" w:cs="Arial" w:eastAsia="Arial" w:hAnsi="Arial"/>
                <w:sz w:val="14"/>
                <w:szCs w:val="14"/>
                <w:color w:val="auto"/>
              </w:rPr>
              <w:t>0.56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w w:val="97"/>
              </w:rPr>
              <w:t>Warrant for Series A-6 Preferred Stock,</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exercise price $1.17/share, expires</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10/31/2029</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10/31/2019</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384,615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845,540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669,737</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0.14</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CloudPay Solutions Ltd.</w:t>
            </w:r>
          </w:p>
        </w:tc>
        <w:tc>
          <w:tcPr>
            <w:tcW w:w="1260" w:type="dxa"/>
            <w:vAlign w:val="bottom"/>
            <w:gridSpan w:val="2"/>
          </w:tcPr>
          <w:p>
            <w:pPr>
              <w:ind w:left="80"/>
              <w:spacing w:after="0" w:line="130" w:lineRule="exact"/>
              <w:rPr>
                <w:sz w:val="20"/>
                <w:szCs w:val="20"/>
                <w:color w:val="auto"/>
              </w:rPr>
            </w:pPr>
            <w:r>
              <w:rPr>
                <w:rFonts w:ascii="Arial" w:cs="Arial" w:eastAsia="Arial" w:hAnsi="Arial"/>
                <w:sz w:val="14"/>
                <w:szCs w:val="14"/>
                <w:color w:val="auto"/>
                <w:w w:val="94"/>
              </w:rPr>
              <w:t>Human Resource &amp;</w:t>
            </w:r>
          </w:p>
        </w:tc>
        <w:tc>
          <w:tcPr>
            <w:tcW w:w="252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Warrant for Series B Preferred Stock,</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Employment</w:t>
            </w:r>
          </w:p>
        </w:tc>
        <w:tc>
          <w:tcPr>
            <w:tcW w:w="25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exercise price $66.53/share, expires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color w:val="auto"/>
              </w:rPr>
              <w:t>Services</w:t>
            </w:r>
          </w:p>
        </w:tc>
        <w:tc>
          <w:tcPr>
            <w:tcW w:w="2440" w:type="dxa"/>
            <w:vAlign w:val="bottom"/>
            <w:gridSpan w:val="2"/>
          </w:tcPr>
          <w:p>
            <w:pPr>
              <w:ind w:left="80"/>
              <w:spacing w:after="0"/>
              <w:rPr>
                <w:sz w:val="20"/>
                <w:szCs w:val="20"/>
                <w:color w:val="auto"/>
              </w:rPr>
            </w:pPr>
            <w:r>
              <w:rPr>
                <w:rFonts w:ascii="Arial" w:cs="Arial" w:eastAsia="Arial" w:hAnsi="Arial"/>
                <w:sz w:val="14"/>
                <w:szCs w:val="14"/>
                <w:color w:val="auto"/>
              </w:rPr>
              <w:t xml:space="preserve">6/30/2030 </w:t>
            </w:r>
            <w:r>
              <w:rPr>
                <w:rFonts w:ascii="Arial" w:cs="Arial" w:eastAsia="Arial" w:hAnsi="Arial"/>
                <w:sz w:val="10"/>
                <w:szCs w:val="10"/>
                <w:color w:val="auto"/>
              </w:rPr>
              <w:t>(3),(13)</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6/30/2020</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11,273</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217,500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407,625</w:t>
            </w:r>
          </w:p>
        </w:tc>
        <w:tc>
          <w:tcPr>
            <w:tcW w:w="80" w:type="dxa"/>
            <w:vAlign w:val="bottom"/>
          </w:tcPr>
          <w:p>
            <w:pPr>
              <w:spacing w:after="0"/>
              <w:rPr>
                <w:sz w:val="14"/>
                <w:szCs w:val="14"/>
                <w:color w:val="auto"/>
              </w:rPr>
            </w:pPr>
          </w:p>
        </w:tc>
        <w:tc>
          <w:tcPr>
            <w:tcW w:w="580" w:type="dxa"/>
            <w:vAlign w:val="bottom"/>
          </w:tcPr>
          <w:p>
            <w:pPr>
              <w:ind w:left="280"/>
              <w:spacing w:after="0"/>
              <w:rPr>
                <w:sz w:val="20"/>
                <w:szCs w:val="20"/>
                <w:color w:val="auto"/>
              </w:rPr>
            </w:pPr>
            <w:r>
              <w:rPr>
                <w:rFonts w:ascii="Arial" w:cs="Arial" w:eastAsia="Arial" w:hAnsi="Arial"/>
                <w:sz w:val="14"/>
                <w:szCs w:val="14"/>
                <w:color w:val="auto"/>
              </w:rPr>
              <w:t>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Credit Sesame, Inc.</w:t>
            </w:r>
          </w:p>
        </w:tc>
        <w:tc>
          <w:tcPr>
            <w:tcW w:w="126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Specialized</w:t>
            </w:r>
          </w:p>
        </w:tc>
        <w:tc>
          <w:tcPr>
            <w:tcW w:w="8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Common Stock, exercise</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94"/>
              </w:rPr>
              <w:t>Consumer Services</w:t>
            </w:r>
          </w:p>
        </w:tc>
        <w:tc>
          <w:tcPr>
            <w:tcW w:w="25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price $0.01/share, expires 1/7/2030</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1/7/2020</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191,601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424,800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1,580,833</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0.33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w w:val="99"/>
              </w:rPr>
              <w:t>CrossRoads Extremity Systems,</w:t>
            </w:r>
          </w:p>
        </w:tc>
        <w:tc>
          <w:tcPr>
            <w:tcW w:w="126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Health Care</w:t>
            </w:r>
          </w:p>
        </w:tc>
        <w:tc>
          <w:tcPr>
            <w:tcW w:w="80" w:type="dxa"/>
            <w:vAlign w:val="bottom"/>
          </w:tcPr>
          <w:p>
            <w:pPr>
              <w:spacing w:after="0"/>
              <w:rPr>
                <w:sz w:val="11"/>
                <w:szCs w:val="11"/>
                <w:color w:val="auto"/>
              </w:rPr>
            </w:pPr>
          </w:p>
        </w:tc>
        <w:tc>
          <w:tcPr>
            <w:tcW w:w="244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Series C Preferred Stock,</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40" w:type="dxa"/>
            <w:vAlign w:val="bottom"/>
            <w:gridSpan w:val="4"/>
          </w:tcPr>
          <w:p>
            <w:pPr>
              <w:spacing w:after="0" w:line="149" w:lineRule="exact"/>
              <w:rPr>
                <w:sz w:val="20"/>
                <w:szCs w:val="20"/>
                <w:color w:val="auto"/>
              </w:rPr>
            </w:pPr>
            <w:r>
              <w:rPr>
                <w:rFonts w:ascii="Arial" w:cs="Arial" w:eastAsia="Arial" w:hAnsi="Arial"/>
                <w:sz w:val="14"/>
                <w:szCs w:val="14"/>
                <w:color w:val="auto"/>
              </w:rPr>
              <w:t>LLC</w:t>
            </w:r>
          </w:p>
        </w:tc>
        <w:tc>
          <w:tcPr>
            <w:tcW w:w="12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Technology</w:t>
            </w:r>
          </w:p>
        </w:tc>
        <w:tc>
          <w:tcPr>
            <w:tcW w:w="25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exercise price $3.79/share, expires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40" w:type="dxa"/>
            <w:vAlign w:val="bottom"/>
            <w:gridSpan w:val="2"/>
          </w:tcPr>
          <w:p>
            <w:pPr>
              <w:ind w:left="80"/>
              <w:spacing w:after="0"/>
              <w:rPr>
                <w:sz w:val="20"/>
                <w:szCs w:val="20"/>
                <w:color w:val="auto"/>
              </w:rPr>
            </w:pPr>
            <w:r>
              <w:rPr>
                <w:rFonts w:ascii="Arial" w:cs="Arial" w:eastAsia="Arial" w:hAnsi="Arial"/>
                <w:sz w:val="14"/>
                <w:szCs w:val="14"/>
                <w:color w:val="auto"/>
              </w:rPr>
              <w:t>6/29/2031</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6/29/2021</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69,261</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94,888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94,888</w:t>
            </w:r>
          </w:p>
        </w:tc>
        <w:tc>
          <w:tcPr>
            <w:tcW w:w="80" w:type="dxa"/>
            <w:vAlign w:val="bottom"/>
          </w:tcPr>
          <w:p>
            <w:pPr>
              <w:spacing w:after="0"/>
              <w:rPr>
                <w:sz w:val="14"/>
                <w:szCs w:val="14"/>
                <w:color w:val="auto"/>
              </w:rPr>
            </w:pPr>
          </w:p>
        </w:tc>
        <w:tc>
          <w:tcPr>
            <w:tcW w:w="580" w:type="dxa"/>
            <w:vAlign w:val="bottom"/>
          </w:tcPr>
          <w:p>
            <w:pPr>
              <w:ind w:left="280"/>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Dejero Labs Inc.</w:t>
            </w:r>
          </w:p>
        </w:tc>
        <w:tc>
          <w:tcPr>
            <w:tcW w:w="126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System Software</w:t>
            </w:r>
          </w:p>
        </w:tc>
        <w:tc>
          <w:tcPr>
            <w:tcW w:w="252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Warrant for Common Stock, exercise</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520" w:type="dxa"/>
            <w:vAlign w:val="bottom"/>
            <w:gridSpan w:val="3"/>
            <w:shd w:val="clear" w:color="auto" w:fill="CCEEFF"/>
          </w:tcPr>
          <w:p>
            <w:pPr>
              <w:ind w:left="80"/>
              <w:spacing w:after="0" w:line="157" w:lineRule="exact"/>
              <w:rPr>
                <w:sz w:val="20"/>
                <w:szCs w:val="20"/>
                <w:color w:val="auto"/>
              </w:rPr>
            </w:pPr>
            <w:r>
              <w:rPr>
                <w:rFonts w:ascii="Arial" w:cs="Arial" w:eastAsia="Arial" w:hAnsi="Arial"/>
                <w:sz w:val="14"/>
                <w:szCs w:val="14"/>
                <w:color w:val="auto"/>
                <w:w w:val="98"/>
              </w:rPr>
              <w:t xml:space="preserve">price $0.01/share, expires 5/31/2029 </w:t>
            </w:r>
            <w:r>
              <w:rPr>
                <w:rFonts w:ascii="Arial" w:cs="Arial" w:eastAsia="Arial" w:hAnsi="Arial"/>
                <w:sz w:val="10"/>
                <w:szCs w:val="10"/>
                <w:color w:val="auto"/>
                <w:w w:val="98"/>
              </w:rPr>
              <w:t>(3),</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5/31/2019</w:t>
            </w:r>
          </w:p>
        </w:tc>
        <w:tc>
          <w:tcPr>
            <w:tcW w:w="1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333,621</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192,499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570,597</w:t>
            </w:r>
          </w:p>
        </w:tc>
        <w:tc>
          <w:tcPr>
            <w:tcW w:w="8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ind w:left="280"/>
              <w:spacing w:after="0"/>
              <w:rPr>
                <w:sz w:val="20"/>
                <w:szCs w:val="20"/>
                <w:color w:val="auto"/>
              </w:rPr>
            </w:pPr>
            <w:r>
              <w:rPr>
                <w:rFonts w:ascii="Arial" w:cs="Arial" w:eastAsia="Arial" w:hAnsi="Arial"/>
                <w:sz w:val="14"/>
                <w:szCs w:val="14"/>
                <w:color w:val="auto"/>
              </w:rPr>
              <w:t>0.12</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(11)</w:t>
            </w:r>
          </w:p>
        </w:tc>
        <w:tc>
          <w:tcPr>
            <w:tcW w:w="8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Dtex Systems, Inc.</w:t>
            </w:r>
          </w:p>
        </w:tc>
        <w:tc>
          <w:tcPr>
            <w:tcW w:w="126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Application</w:t>
            </w:r>
          </w:p>
        </w:tc>
        <w:tc>
          <w:tcPr>
            <w:tcW w:w="80" w:type="dxa"/>
            <w:vAlign w:val="bottom"/>
          </w:tcPr>
          <w:p>
            <w:pPr>
              <w:spacing w:after="0"/>
              <w:rPr>
                <w:sz w:val="11"/>
                <w:szCs w:val="11"/>
                <w:color w:val="auto"/>
              </w:rPr>
            </w:pPr>
          </w:p>
        </w:tc>
        <w:tc>
          <w:tcPr>
            <w:tcW w:w="244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Series C-Prime Preferred</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Software</w:t>
            </w:r>
          </w:p>
        </w:tc>
        <w:tc>
          <w:tcPr>
            <w:tcW w:w="25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Stock, exercise price $0.6000/share,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520" w:type="dxa"/>
            <w:vAlign w:val="bottom"/>
            <w:gridSpan w:val="3"/>
          </w:tcPr>
          <w:p>
            <w:pPr>
              <w:ind w:left="80"/>
              <w:spacing w:after="0"/>
              <w:rPr>
                <w:sz w:val="20"/>
                <w:szCs w:val="20"/>
                <w:color w:val="auto"/>
              </w:rPr>
            </w:pPr>
            <w:r>
              <w:rPr>
                <w:rFonts w:ascii="Arial" w:cs="Arial" w:eastAsia="Arial" w:hAnsi="Arial"/>
                <w:sz w:val="14"/>
                <w:szCs w:val="14"/>
                <w:color w:val="auto"/>
              </w:rPr>
              <w:t>expires 6/1/2025</w:t>
            </w:r>
          </w:p>
        </w:tc>
        <w:tc>
          <w:tcPr>
            <w:tcW w:w="700" w:type="dxa"/>
            <w:vAlign w:val="bottom"/>
          </w:tcPr>
          <w:p>
            <w:pPr>
              <w:jc w:val="right"/>
              <w:spacing w:after="0"/>
              <w:rPr>
                <w:sz w:val="20"/>
                <w:szCs w:val="20"/>
                <w:color w:val="auto"/>
              </w:rPr>
            </w:pPr>
            <w:r>
              <w:rPr>
                <w:rFonts w:ascii="Arial" w:cs="Arial" w:eastAsia="Arial" w:hAnsi="Arial"/>
                <w:sz w:val="14"/>
                <w:szCs w:val="14"/>
                <w:color w:val="auto"/>
              </w:rPr>
              <w:t>6/1/2018</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500,000</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59,000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313,381</w:t>
            </w:r>
          </w:p>
        </w:tc>
        <w:tc>
          <w:tcPr>
            <w:tcW w:w="80" w:type="dxa"/>
            <w:vAlign w:val="bottom"/>
          </w:tcPr>
          <w:p>
            <w:pPr>
              <w:spacing w:after="0"/>
              <w:rPr>
                <w:sz w:val="14"/>
                <w:szCs w:val="14"/>
                <w:color w:val="auto"/>
              </w:rPr>
            </w:pPr>
          </w:p>
        </w:tc>
        <w:tc>
          <w:tcPr>
            <w:tcW w:w="580" w:type="dxa"/>
            <w:vAlign w:val="bottom"/>
          </w:tcPr>
          <w:p>
            <w:pPr>
              <w:ind w:left="280"/>
              <w:spacing w:after="0"/>
              <w:rPr>
                <w:sz w:val="20"/>
                <w:szCs w:val="20"/>
                <w:color w:val="auto"/>
              </w:rPr>
            </w:pPr>
            <w:r>
              <w:rPr>
                <w:rFonts w:ascii="Arial" w:cs="Arial" w:eastAsia="Arial" w:hAnsi="Arial"/>
                <w:sz w:val="14"/>
                <w:szCs w:val="14"/>
                <w:color w:val="auto"/>
              </w:rPr>
              <w:t>0.07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C-Prime Preferred</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Stock, exercise price $0.6000/share,</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5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expires 7/11/2026</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7/11/2019</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833,333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114,719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522,301</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0.11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Companies</w:t>
      </w:r>
    </w:p>
    <w:p>
      <w:pPr>
        <w:spacing w:after="0" w:line="17" w:lineRule="exact"/>
        <w:rPr>
          <w:sz w:val="20"/>
          <w:szCs w:val="20"/>
          <w:color w:val="auto"/>
        </w:rPr>
      </w:pPr>
    </w:p>
    <w:p>
      <w:pPr>
        <w:jc w:val="both"/>
        <w:ind w:right="420"/>
        <w:spacing w:after="0" w:line="249" w:lineRule="auto"/>
        <w:rPr>
          <w:sz w:val="20"/>
          <w:szCs w:val="20"/>
          <w:color w:val="auto"/>
        </w:rPr>
      </w:pPr>
      <w:r>
        <w:rPr>
          <w:rFonts w:ascii="Arial" w:cs="Arial" w:eastAsia="Arial" w:hAnsi="Arial"/>
          <w:sz w:val="13"/>
          <w:szCs w:val="13"/>
          <w:b w:val="1"/>
          <w:bCs w:val="1"/>
          <w:u w:val="single" w:color="auto"/>
          <w:color w:val="auto"/>
        </w:rPr>
        <w:t xml:space="preserve">Non-control/non-affiliate investments (continued) </w:t>
      </w:r>
      <w:r>
        <w:rPr>
          <w:rFonts w:ascii="Arial" w:cs="Arial" w:eastAsia="Arial" w:hAnsi="Arial"/>
          <w:sz w:val="13"/>
          <w:szCs w:val="13"/>
          <w:b w:val="1"/>
          <w:bCs w:val="1"/>
          <w:color w:val="auto"/>
        </w:rPr>
        <w:t>Warrants</w:t>
      </w:r>
      <w:r>
        <w:rPr>
          <w:rFonts w:ascii="Arial" w:cs="Arial" w:eastAsia="Arial" w:hAnsi="Arial"/>
          <w:sz w:val="9"/>
          <w:szCs w:val="9"/>
          <w:b w:val="1"/>
          <w:bCs w:val="1"/>
          <w:color w:val="auto"/>
        </w:rPr>
        <w:t>(7)</w:t>
      </w:r>
      <w:r>
        <w:rPr>
          <w:rFonts w:ascii="Arial" w:cs="Arial" w:eastAsia="Arial" w:hAnsi="Arial"/>
          <w:sz w:val="13"/>
          <w:szCs w:val="13"/>
          <w:b w:val="1"/>
          <w:bCs w:val="1"/>
          <w:color w:val="auto"/>
        </w:rPr>
        <w:t xml:space="preserve"> (continued) </w:t>
      </w:r>
      <w:r>
        <w:rPr>
          <w:rFonts w:ascii="Arial" w:cs="Arial" w:eastAsia="Arial" w:hAnsi="Arial"/>
          <w:sz w:val="13"/>
          <w:szCs w:val="13"/>
          <w:color w:val="auto"/>
        </w:rPr>
        <w:t>Echo 360 Holdings, Inc.</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color w:val="auto"/>
        </w:rPr>
        <w:t>Fidelis Cybersecurity, Inc.</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FiscalNote, Inc.</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Gynesonics, Inc.</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INRIX, Inc.</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Longtail Ad Solutions, Inc. (dba</w:t>
      </w:r>
    </w:p>
    <w:p>
      <w:pPr>
        <w:spacing w:after="0" w:line="221" w:lineRule="auto"/>
        <w:rPr>
          <w:sz w:val="20"/>
          <w:szCs w:val="20"/>
          <w:color w:val="auto"/>
        </w:rPr>
      </w:pPr>
      <w:r>
        <w:rPr>
          <w:rFonts w:ascii="Arial" w:cs="Arial" w:eastAsia="Arial" w:hAnsi="Arial"/>
          <w:sz w:val="14"/>
          <w:szCs w:val="14"/>
          <w:color w:val="auto"/>
        </w:rPr>
        <w:t>JW Player)</w:t>
      </w:r>
    </w:p>
    <w:p>
      <w:pPr>
        <w:spacing w:after="0"/>
        <w:rPr>
          <w:sz w:val="20"/>
          <w:szCs w:val="20"/>
          <w:color w:val="auto"/>
        </w:rPr>
      </w:pPr>
      <w:r>
        <w:rPr>
          <w:rFonts w:ascii="Arial" w:cs="Arial" w:eastAsia="Arial" w:hAnsi="Arial"/>
          <w:sz w:val="14"/>
          <w:szCs w:val="14"/>
          <w:color w:val="auto"/>
        </w:rPr>
        <w:t>Massdrop, Inc.</w:t>
      </w:r>
    </w:p>
    <w:p>
      <w:pPr>
        <w:spacing w:after="0" w:line="273" w:lineRule="exact"/>
        <w:rPr>
          <w:sz w:val="20"/>
          <w:szCs w:val="20"/>
          <w:color w:val="auto"/>
        </w:rPr>
      </w:pPr>
    </w:p>
    <w:p>
      <w:pPr>
        <w:spacing w:after="0"/>
        <w:rPr>
          <w:sz w:val="20"/>
          <w:szCs w:val="20"/>
          <w:color w:val="auto"/>
        </w:rPr>
      </w:pPr>
      <w:r>
        <w:rPr>
          <w:rFonts w:ascii="Arial" w:cs="Arial" w:eastAsia="Arial" w:hAnsi="Arial"/>
          <w:sz w:val="13"/>
          <w:szCs w:val="13"/>
          <w:color w:val="auto"/>
        </w:rPr>
        <w:t>Mingle Healthcare Solutions, Inc.</w:t>
      </w:r>
    </w:p>
    <w:p>
      <w:pPr>
        <w:spacing w:after="0" w:line="296" w:lineRule="exact"/>
        <w:rPr>
          <w:sz w:val="20"/>
          <w:szCs w:val="20"/>
          <w:color w:val="auto"/>
        </w:rPr>
      </w:pPr>
    </w:p>
    <w:p>
      <w:pPr>
        <w:spacing w:after="0"/>
        <w:rPr>
          <w:sz w:val="20"/>
          <w:szCs w:val="20"/>
          <w:color w:val="auto"/>
        </w:rPr>
      </w:pPr>
      <w:r>
        <w:rPr>
          <w:rFonts w:ascii="Arial" w:cs="Arial" w:eastAsia="Arial" w:hAnsi="Arial"/>
          <w:sz w:val="13"/>
          <w:szCs w:val="13"/>
          <w:color w:val="auto"/>
        </w:rPr>
        <w:t>3DNA Corp. (dba NationBuilder)</w:t>
      </w: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color w:val="auto"/>
        </w:rPr>
        <w:t>Porch Group, Inc.</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RealWear,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220"/>
        <w:spacing w:after="0" w:line="529" w:lineRule="auto"/>
        <w:rPr>
          <w:sz w:val="20"/>
          <w:szCs w:val="20"/>
          <w:color w:val="auto"/>
        </w:rPr>
      </w:pPr>
      <w:r>
        <w:rPr>
          <w:rFonts w:ascii="Arial" w:cs="Arial" w:eastAsia="Arial" w:hAnsi="Arial"/>
          <w:sz w:val="13"/>
          <w:szCs w:val="13"/>
          <w:color w:val="auto"/>
        </w:rPr>
        <w:t>Scale Computing, Inc. SetPoint Medical Corporation</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ShareThis, Inc.</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STN Video Inc.</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The Kairn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120"/>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ind w:right="2120"/>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27" w:lineRule="exact"/>
        <w:rPr>
          <w:sz w:val="20"/>
          <w:szCs w:val="20"/>
          <w:color w:val="auto"/>
        </w:rPr>
      </w:pPr>
    </w:p>
    <w:p>
      <w:pPr>
        <w:jc w:val="center"/>
        <w:ind w:right="2120"/>
        <w:spacing w:after="0"/>
        <w:rPr>
          <w:sz w:val="20"/>
          <w:szCs w:val="20"/>
          <w:color w:val="auto"/>
        </w:rPr>
      </w:pPr>
      <w:r>
        <w:rPr>
          <w:rFonts w:ascii="Arial" w:cs="Arial" w:eastAsia="Arial" w:hAnsi="Arial"/>
          <w:sz w:val="18"/>
          <w:szCs w:val="18"/>
          <w:b w:val="1"/>
          <w:bCs w:val="1"/>
          <w:color w:val="auto"/>
        </w:rPr>
        <w:t>June 30, 2021</w:t>
      </w:r>
    </w:p>
    <w:tbl>
      <w:tblPr>
        <w:tblLayout w:type="fixed"/>
        <w:tblInd w:w="0" w:type="dxa"/>
        <w:tblCellMar>
          <w:top w:w="0" w:type="dxa"/>
          <w:left w:w="0" w:type="dxa"/>
          <w:bottom w:w="0" w:type="dxa"/>
          <w:right w:w="0" w:type="dxa"/>
        </w:tblCellMar>
      </w:tblPr>
      <w:tr>
        <w:trPr>
          <w:trHeight w:val="148"/>
        </w:trPr>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Acquisition</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11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Sub-Industry</w:t>
            </w:r>
          </w:p>
        </w:tc>
        <w:tc>
          <w:tcPr>
            <w:tcW w:w="80" w:type="dxa"/>
            <w:vAlign w:val="bottom"/>
          </w:tcPr>
          <w:p>
            <w:pPr>
              <w:spacing w:after="0"/>
              <w:rPr>
                <w:sz w:val="12"/>
                <w:szCs w:val="12"/>
                <w:color w:val="auto"/>
              </w:rPr>
            </w:pPr>
          </w:p>
        </w:tc>
        <w:tc>
          <w:tcPr>
            <w:tcW w:w="23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80" w:type="dxa"/>
            <w:vAlign w:val="bottom"/>
            <w:vMerge w:val="restart"/>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Cost</w:t>
            </w:r>
          </w:p>
        </w:tc>
        <w:tc>
          <w:tcPr>
            <w:tcW w:w="108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(2),(6)</w:t>
            </w:r>
          </w:p>
        </w:tc>
        <w:tc>
          <w:tcPr>
            <w:tcW w:w="7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1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569"/>
        </w:trPr>
        <w:tc>
          <w:tcPr>
            <w:tcW w:w="118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96"/>
              </w:rPr>
              <w:t>Education Services</w:t>
            </w:r>
          </w:p>
        </w:tc>
        <w:tc>
          <w:tcPr>
            <w:tcW w:w="80" w:type="dxa"/>
            <w:vAlign w:val="bottom"/>
          </w:tcPr>
          <w:p>
            <w:pPr>
              <w:spacing w:after="0"/>
              <w:rPr>
                <w:sz w:val="24"/>
                <w:szCs w:val="24"/>
                <w:color w:val="auto"/>
              </w:rPr>
            </w:pPr>
          </w:p>
        </w:tc>
        <w:tc>
          <w:tcPr>
            <w:tcW w:w="236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w w:val="99"/>
              </w:rPr>
              <w:t>Warrant for Series E Preferred Stock,</w:t>
            </w:r>
          </w:p>
        </w:tc>
        <w:tc>
          <w:tcPr>
            <w:tcW w:w="8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25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exercise price $1.5963/share, expires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24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5/3/2029</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5/3/2019</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1,066,767</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299,762</w:t>
            </w:r>
          </w:p>
        </w:tc>
        <w:tc>
          <w:tcPr>
            <w:tcW w:w="2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629,630</w:t>
            </w:r>
          </w:p>
        </w:tc>
        <w:tc>
          <w:tcPr>
            <w:tcW w:w="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0.13 %</w:t>
            </w: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Warrant for Series E Preferred Stock,</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25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exercise price $1.5963/share, expires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24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6/21/2031</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6/21/2021</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125,502</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74,046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74,074</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0.02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line="149" w:lineRule="exact"/>
              <w:rPr>
                <w:sz w:val="20"/>
                <w:szCs w:val="20"/>
                <w:color w:val="auto"/>
              </w:rPr>
            </w:pPr>
            <w:r>
              <w:rPr>
                <w:rFonts w:ascii="Arial" w:cs="Arial" w:eastAsia="Arial" w:hAnsi="Arial"/>
                <w:sz w:val="14"/>
                <w:szCs w:val="14"/>
                <w:color w:val="auto"/>
              </w:rPr>
              <w:t>Internet Software</w:t>
            </w:r>
          </w:p>
        </w:tc>
        <w:tc>
          <w:tcPr>
            <w:tcW w:w="80" w:type="dxa"/>
            <w:vAlign w:val="bottom"/>
          </w:tcPr>
          <w:p>
            <w:pPr>
              <w:spacing w:after="0"/>
              <w:rPr>
                <w:sz w:val="12"/>
                <w:szCs w:val="12"/>
                <w:color w:val="auto"/>
              </w:rPr>
            </w:pPr>
          </w:p>
        </w:tc>
        <w:tc>
          <w:tcPr>
            <w:tcW w:w="24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Warrant for Common Stock, exercise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180" w:type="dxa"/>
            <w:vAlign w:val="bottom"/>
          </w:tcPr>
          <w:p>
            <w:pPr>
              <w:spacing w:after="0" w:line="157" w:lineRule="exact"/>
              <w:rPr>
                <w:sz w:val="20"/>
                <w:szCs w:val="20"/>
                <w:color w:val="auto"/>
              </w:rPr>
            </w:pPr>
            <w:r>
              <w:rPr>
                <w:rFonts w:ascii="Arial" w:cs="Arial" w:eastAsia="Arial" w:hAnsi="Arial"/>
                <w:sz w:val="14"/>
                <w:szCs w:val="14"/>
                <w:color w:val="auto"/>
              </w:rPr>
              <w:t>and Services</w:t>
            </w:r>
          </w:p>
        </w:tc>
        <w:tc>
          <w:tcPr>
            <w:tcW w:w="2520" w:type="dxa"/>
            <w:vAlign w:val="bottom"/>
            <w:gridSpan w:val="3"/>
          </w:tcPr>
          <w:p>
            <w:pPr>
              <w:ind w:left="80"/>
              <w:spacing w:after="0" w:line="157" w:lineRule="exact"/>
              <w:rPr>
                <w:sz w:val="20"/>
                <w:szCs w:val="20"/>
                <w:color w:val="auto"/>
              </w:rPr>
            </w:pPr>
            <w:r>
              <w:rPr>
                <w:rFonts w:ascii="Arial" w:cs="Arial" w:eastAsia="Arial" w:hAnsi="Arial"/>
                <w:sz w:val="14"/>
                <w:szCs w:val="14"/>
                <w:color w:val="auto"/>
                <w:w w:val="99"/>
              </w:rPr>
              <w:t>price $337.50/share, expires 5/13/2031</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5/13/2021</w:t>
            </w:r>
          </w:p>
        </w:tc>
        <w:tc>
          <w:tcPr>
            <w:tcW w:w="1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1180" w:type="dxa"/>
            <w:vAlign w:val="bottom"/>
          </w:tcPr>
          <w:p>
            <w:pPr>
              <w:spacing w:after="0"/>
              <w:rPr>
                <w:sz w:val="12"/>
                <w:szCs w:val="12"/>
                <w:color w:val="auto"/>
              </w:rPr>
            </w:pPr>
          </w:p>
        </w:tc>
        <w:tc>
          <w:tcPr>
            <w:tcW w:w="2440" w:type="dxa"/>
            <w:vAlign w:val="bottom"/>
            <w:gridSpan w:val="2"/>
          </w:tcPr>
          <w:p>
            <w:pPr>
              <w:ind w:left="120"/>
              <w:spacing w:after="0"/>
              <w:rPr>
                <w:sz w:val="20"/>
                <w:szCs w:val="20"/>
                <w:color w:val="auto"/>
              </w:rPr>
            </w:pPr>
            <w:r>
              <w:rPr>
                <w:rFonts w:ascii="Arial" w:cs="Arial" w:eastAsia="Arial" w:hAnsi="Arial"/>
                <w:sz w:val="11"/>
                <w:szCs w:val="11"/>
                <w:color w:val="auto"/>
              </w:rPr>
              <w:t>(17)</w:t>
            </w: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line="149" w:lineRule="exact"/>
              <w:rPr>
                <w:sz w:val="20"/>
                <w:szCs w:val="20"/>
                <w:color w:val="auto"/>
              </w:rPr>
            </w:pPr>
            <w:r>
              <w:rPr>
                <w:rFonts w:ascii="Arial" w:cs="Arial" w:eastAsia="Arial" w:hAnsi="Arial"/>
                <w:sz w:val="14"/>
                <w:szCs w:val="14"/>
                <w:color w:val="auto"/>
              </w:rPr>
              <w:t>Application</w:t>
            </w:r>
          </w:p>
        </w:tc>
        <w:tc>
          <w:tcPr>
            <w:tcW w:w="80" w:type="dxa"/>
            <w:vAlign w:val="bottom"/>
          </w:tcPr>
          <w:p>
            <w:pPr>
              <w:spacing w:after="0"/>
              <w:rPr>
                <w:sz w:val="12"/>
                <w:szCs w:val="12"/>
                <w:color w:val="auto"/>
              </w:rPr>
            </w:pPr>
          </w:p>
        </w:tc>
        <w:tc>
          <w:tcPr>
            <w:tcW w:w="24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Warrant for Common Stock, exercise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line="149" w:lineRule="exact"/>
              <w:rPr>
                <w:sz w:val="20"/>
                <w:szCs w:val="20"/>
                <w:color w:val="auto"/>
              </w:rPr>
            </w:pPr>
            <w:r>
              <w:rPr>
                <w:rFonts w:ascii="Arial" w:cs="Arial" w:eastAsia="Arial" w:hAnsi="Arial"/>
                <w:sz w:val="14"/>
                <w:szCs w:val="14"/>
                <w:color w:val="auto"/>
              </w:rPr>
              <w:t>Software</w:t>
            </w:r>
          </w:p>
        </w:tc>
        <w:tc>
          <w:tcPr>
            <w:tcW w:w="25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price $0.01/share, expires 10/19/2030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1"/>
              </w:rPr>
              <w:t>10/19/2020</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194,673</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438,014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1,643,754</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0.34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line="149" w:lineRule="exact"/>
              <w:rPr>
                <w:sz w:val="20"/>
                <w:szCs w:val="20"/>
                <w:color w:val="auto"/>
              </w:rPr>
            </w:pPr>
            <w:r>
              <w:rPr>
                <w:rFonts w:ascii="Arial" w:cs="Arial" w:eastAsia="Arial" w:hAnsi="Arial"/>
                <w:sz w:val="14"/>
                <w:szCs w:val="14"/>
                <w:color w:val="auto"/>
              </w:rPr>
              <w:t>Health Care</w:t>
            </w:r>
          </w:p>
        </w:tc>
        <w:tc>
          <w:tcPr>
            <w:tcW w:w="80" w:type="dxa"/>
            <w:vAlign w:val="bottom"/>
          </w:tcPr>
          <w:p>
            <w:pPr>
              <w:spacing w:after="0"/>
              <w:rPr>
                <w:sz w:val="12"/>
                <w:szCs w:val="12"/>
                <w:color w:val="auto"/>
              </w:rPr>
            </w:pPr>
          </w:p>
        </w:tc>
        <w:tc>
          <w:tcPr>
            <w:tcW w:w="24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 xml:space="preserve">Success fee, expires 12/1/2027 </w:t>
            </w:r>
            <w:r>
              <w:rPr>
                <w:rFonts w:ascii="Arial" w:cs="Arial" w:eastAsia="Arial" w:hAnsi="Arial"/>
                <w:sz w:val="10"/>
                <w:szCs w:val="10"/>
                <w:color w:val="auto"/>
              </w:rPr>
              <w:t>(13)</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line="149" w:lineRule="exact"/>
              <w:rPr>
                <w:sz w:val="20"/>
                <w:szCs w:val="20"/>
                <w:color w:val="auto"/>
              </w:rPr>
            </w:pPr>
            <w:r>
              <w:rPr>
                <w:rFonts w:ascii="Arial" w:cs="Arial" w:eastAsia="Arial" w:hAnsi="Arial"/>
                <w:sz w:val="14"/>
                <w:szCs w:val="14"/>
                <w:color w:val="auto"/>
              </w:rPr>
              <w:t>Technology</w:t>
            </w:r>
          </w:p>
        </w:tc>
        <w:tc>
          <w:tcPr>
            <w:tcW w:w="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12/1/2020</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498,900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559,917</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line="149" w:lineRule="exact"/>
              <w:rPr>
                <w:sz w:val="20"/>
                <w:szCs w:val="20"/>
                <w:color w:val="auto"/>
              </w:rPr>
            </w:pPr>
            <w:r>
              <w:rPr>
                <w:rFonts w:ascii="Arial" w:cs="Arial" w:eastAsia="Arial" w:hAnsi="Arial"/>
                <w:sz w:val="14"/>
                <w:szCs w:val="14"/>
                <w:color w:val="auto"/>
              </w:rPr>
              <w:t>Internet Software</w:t>
            </w:r>
          </w:p>
        </w:tc>
        <w:tc>
          <w:tcPr>
            <w:tcW w:w="80" w:type="dxa"/>
            <w:vAlign w:val="bottom"/>
          </w:tcPr>
          <w:p>
            <w:pPr>
              <w:spacing w:after="0"/>
              <w:rPr>
                <w:sz w:val="12"/>
                <w:szCs w:val="12"/>
                <w:color w:val="auto"/>
              </w:rPr>
            </w:pPr>
          </w:p>
        </w:tc>
        <w:tc>
          <w:tcPr>
            <w:tcW w:w="24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Warrant for Common Stock, exercise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line="149" w:lineRule="exact"/>
              <w:rPr>
                <w:sz w:val="20"/>
                <w:szCs w:val="20"/>
                <w:color w:val="auto"/>
              </w:rPr>
            </w:pPr>
            <w:r>
              <w:rPr>
                <w:rFonts w:ascii="Arial" w:cs="Arial" w:eastAsia="Arial" w:hAnsi="Arial"/>
                <w:sz w:val="14"/>
                <w:szCs w:val="14"/>
                <w:color w:val="auto"/>
              </w:rPr>
              <w:t>and Services</w:t>
            </w:r>
          </w:p>
        </w:tc>
        <w:tc>
          <w:tcPr>
            <w:tcW w:w="25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price $9.29/share, expires 7/26/2029</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7/26/2019</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150,804</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522,083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1,141,521</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line="149" w:lineRule="exact"/>
              <w:rPr>
                <w:sz w:val="20"/>
                <w:szCs w:val="20"/>
                <w:color w:val="auto"/>
              </w:rPr>
            </w:pPr>
            <w:r>
              <w:rPr>
                <w:rFonts w:ascii="Arial" w:cs="Arial" w:eastAsia="Arial" w:hAnsi="Arial"/>
                <w:sz w:val="14"/>
                <w:szCs w:val="14"/>
                <w:color w:val="auto"/>
              </w:rPr>
              <w:t>Internet Software</w:t>
            </w:r>
          </w:p>
        </w:tc>
        <w:tc>
          <w:tcPr>
            <w:tcW w:w="80" w:type="dxa"/>
            <w:vAlign w:val="bottom"/>
          </w:tcPr>
          <w:p>
            <w:pPr>
              <w:spacing w:after="0"/>
              <w:rPr>
                <w:sz w:val="12"/>
                <w:szCs w:val="12"/>
                <w:color w:val="auto"/>
              </w:rPr>
            </w:pPr>
          </w:p>
        </w:tc>
        <w:tc>
          <w:tcPr>
            <w:tcW w:w="24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Warrant for Common Stock, exercise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line="149" w:lineRule="exact"/>
              <w:rPr>
                <w:sz w:val="20"/>
                <w:szCs w:val="20"/>
                <w:color w:val="auto"/>
              </w:rPr>
            </w:pPr>
            <w:r>
              <w:rPr>
                <w:rFonts w:ascii="Arial" w:cs="Arial" w:eastAsia="Arial" w:hAnsi="Arial"/>
                <w:sz w:val="14"/>
                <w:szCs w:val="14"/>
                <w:color w:val="auto"/>
              </w:rPr>
              <w:t>and Services</w:t>
            </w:r>
          </w:p>
        </w:tc>
        <w:tc>
          <w:tcPr>
            <w:tcW w:w="25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price $1.49/share, expires 12/12/2029</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1"/>
              </w:rPr>
              <w:t>12/12/2019</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387,596</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46,552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422,868</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line="149" w:lineRule="exact"/>
              <w:rPr>
                <w:sz w:val="20"/>
                <w:szCs w:val="20"/>
                <w:color w:val="auto"/>
              </w:rPr>
            </w:pPr>
            <w:r>
              <w:rPr>
                <w:rFonts w:ascii="Arial" w:cs="Arial" w:eastAsia="Arial" w:hAnsi="Arial"/>
                <w:sz w:val="14"/>
                <w:szCs w:val="14"/>
                <w:color w:val="auto"/>
              </w:rPr>
              <w:t>Computer &amp;</w:t>
            </w:r>
          </w:p>
        </w:tc>
        <w:tc>
          <w:tcPr>
            <w:tcW w:w="80" w:type="dxa"/>
            <w:vAlign w:val="bottom"/>
          </w:tcPr>
          <w:p>
            <w:pPr>
              <w:spacing w:after="0"/>
              <w:rPr>
                <w:sz w:val="12"/>
                <w:szCs w:val="12"/>
                <w:color w:val="auto"/>
              </w:rPr>
            </w:pPr>
          </w:p>
        </w:tc>
        <w:tc>
          <w:tcPr>
            <w:tcW w:w="24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Warrant for Series B Preferred Stock,</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line="149" w:lineRule="exact"/>
              <w:rPr>
                <w:sz w:val="20"/>
                <w:szCs w:val="20"/>
                <w:color w:val="auto"/>
              </w:rPr>
            </w:pPr>
            <w:r>
              <w:rPr>
                <w:rFonts w:ascii="Arial" w:cs="Arial" w:eastAsia="Arial" w:hAnsi="Arial"/>
                <w:sz w:val="14"/>
                <w:szCs w:val="14"/>
                <w:color w:val="auto"/>
              </w:rPr>
              <w:t>Electronics Retail</w:t>
            </w:r>
          </w:p>
        </w:tc>
        <w:tc>
          <w:tcPr>
            <w:tcW w:w="25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exercise price $1.1938/share, expires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24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7/22/2029</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7/22/2019</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848,093</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183,188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251,884</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0.05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line="149" w:lineRule="exact"/>
              <w:rPr>
                <w:sz w:val="20"/>
                <w:szCs w:val="20"/>
                <w:color w:val="auto"/>
              </w:rPr>
            </w:pPr>
            <w:r>
              <w:rPr>
                <w:rFonts w:ascii="Arial" w:cs="Arial" w:eastAsia="Arial" w:hAnsi="Arial"/>
                <w:sz w:val="14"/>
                <w:szCs w:val="14"/>
                <w:color w:val="auto"/>
              </w:rPr>
              <w:t>Health Care</w:t>
            </w:r>
          </w:p>
        </w:tc>
        <w:tc>
          <w:tcPr>
            <w:tcW w:w="80" w:type="dxa"/>
            <w:vAlign w:val="bottom"/>
          </w:tcPr>
          <w:p>
            <w:pPr>
              <w:spacing w:after="0"/>
              <w:rPr>
                <w:sz w:val="12"/>
                <w:szCs w:val="12"/>
                <w:color w:val="auto"/>
              </w:rPr>
            </w:pPr>
          </w:p>
        </w:tc>
        <w:tc>
          <w:tcPr>
            <w:tcW w:w="244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8"/>
              </w:rPr>
              <w:t>Warrant for Series AA Preferred Stock,</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line="149" w:lineRule="exact"/>
              <w:rPr>
                <w:sz w:val="20"/>
                <w:szCs w:val="20"/>
                <w:color w:val="auto"/>
              </w:rPr>
            </w:pPr>
            <w:r>
              <w:rPr>
                <w:rFonts w:ascii="Arial" w:cs="Arial" w:eastAsia="Arial" w:hAnsi="Arial"/>
                <w:sz w:val="14"/>
                <w:szCs w:val="14"/>
                <w:color w:val="auto"/>
              </w:rPr>
              <w:t>Technology</w:t>
            </w:r>
          </w:p>
        </w:tc>
        <w:tc>
          <w:tcPr>
            <w:tcW w:w="25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exercise price $0.24/share, expires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24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8/15/2028</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8/15/2018</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1,625,000</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492,375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180" w:type="dxa"/>
            <w:vAlign w:val="bottom"/>
          </w:tcPr>
          <w:p>
            <w:pPr>
              <w:spacing w:after="0" w:line="149" w:lineRule="exact"/>
              <w:rPr>
                <w:sz w:val="20"/>
                <w:szCs w:val="20"/>
                <w:color w:val="auto"/>
              </w:rPr>
            </w:pPr>
            <w:r>
              <w:rPr>
                <w:rFonts w:ascii="Arial" w:cs="Arial" w:eastAsia="Arial" w:hAnsi="Arial"/>
                <w:sz w:val="14"/>
                <w:szCs w:val="14"/>
                <w:color w:val="auto"/>
              </w:rPr>
              <w:t>Application</w:t>
            </w:r>
          </w:p>
        </w:tc>
        <w:tc>
          <w:tcPr>
            <w:tcW w:w="80" w:type="dxa"/>
            <w:vAlign w:val="bottom"/>
          </w:tcPr>
          <w:p>
            <w:pPr>
              <w:spacing w:after="0"/>
              <w:rPr>
                <w:sz w:val="12"/>
                <w:szCs w:val="12"/>
                <w:color w:val="auto"/>
              </w:rPr>
            </w:pPr>
          </w:p>
        </w:tc>
        <w:tc>
          <w:tcPr>
            <w:tcW w:w="244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7"/>
              </w:rPr>
              <w:t>Warrant for Series C-1 Preferred Stock,</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line="149" w:lineRule="exact"/>
              <w:rPr>
                <w:sz w:val="20"/>
                <w:szCs w:val="20"/>
                <w:color w:val="auto"/>
              </w:rPr>
            </w:pPr>
            <w:r>
              <w:rPr>
                <w:rFonts w:ascii="Arial" w:cs="Arial" w:eastAsia="Arial" w:hAnsi="Arial"/>
                <w:sz w:val="14"/>
                <w:szCs w:val="14"/>
                <w:color w:val="auto"/>
              </w:rPr>
              <w:t>Software</w:t>
            </w:r>
          </w:p>
        </w:tc>
        <w:tc>
          <w:tcPr>
            <w:tcW w:w="25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exercise price $1.4643/share, expires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24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12/28/2028</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1"/>
              </w:rPr>
              <w:t>12/28/2018</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273,164</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104,138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180" w:type="dxa"/>
            <w:vAlign w:val="bottom"/>
          </w:tcPr>
          <w:p>
            <w:pPr>
              <w:spacing w:after="0" w:line="149" w:lineRule="exact"/>
              <w:rPr>
                <w:sz w:val="20"/>
                <w:szCs w:val="20"/>
                <w:color w:val="auto"/>
              </w:rPr>
            </w:pPr>
            <w:r>
              <w:rPr>
                <w:rFonts w:ascii="Arial" w:cs="Arial" w:eastAsia="Arial" w:hAnsi="Arial"/>
                <w:sz w:val="14"/>
                <w:szCs w:val="14"/>
                <w:color w:val="auto"/>
              </w:rPr>
              <w:t>Application</w:t>
            </w:r>
          </w:p>
        </w:tc>
        <w:tc>
          <w:tcPr>
            <w:tcW w:w="80" w:type="dxa"/>
            <w:vAlign w:val="bottom"/>
          </w:tcPr>
          <w:p>
            <w:pPr>
              <w:spacing w:after="0"/>
              <w:rPr>
                <w:sz w:val="12"/>
                <w:szCs w:val="12"/>
                <w:color w:val="auto"/>
              </w:rPr>
            </w:pPr>
          </w:p>
        </w:tc>
        <w:tc>
          <w:tcPr>
            <w:tcW w:w="244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9"/>
              </w:rPr>
              <w:t xml:space="preserve">Earnout, expires 12/23/2023 </w:t>
            </w:r>
            <w:r>
              <w:rPr>
                <w:rFonts w:ascii="Arial" w:cs="Arial" w:eastAsia="Arial" w:hAnsi="Arial"/>
                <w:sz w:val="10"/>
                <w:szCs w:val="10"/>
                <w:color w:val="auto"/>
                <w:w w:val="99"/>
              </w:rPr>
              <w:t>(3), (13), (16)</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line="149" w:lineRule="exact"/>
              <w:rPr>
                <w:sz w:val="20"/>
                <w:szCs w:val="20"/>
                <w:color w:val="auto"/>
              </w:rPr>
            </w:pPr>
            <w:r>
              <w:rPr>
                <w:rFonts w:ascii="Arial" w:cs="Arial" w:eastAsia="Arial" w:hAnsi="Arial"/>
                <w:sz w:val="14"/>
                <w:szCs w:val="14"/>
                <w:color w:val="auto"/>
              </w:rPr>
              <w:t>Software</w:t>
            </w:r>
          </w:p>
        </w:tc>
        <w:tc>
          <w:tcPr>
            <w:tcW w:w="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1"/>
              </w:rPr>
              <w:t>12/23/2020</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1,412</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27,365</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0.01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line="149" w:lineRule="exact"/>
              <w:rPr>
                <w:sz w:val="20"/>
                <w:szCs w:val="20"/>
                <w:color w:val="auto"/>
              </w:rPr>
            </w:pPr>
            <w:r>
              <w:rPr>
                <w:rFonts w:ascii="Arial" w:cs="Arial" w:eastAsia="Arial" w:hAnsi="Arial"/>
                <w:sz w:val="14"/>
                <w:szCs w:val="14"/>
                <w:color w:val="auto"/>
              </w:rPr>
              <w:t>Technology</w:t>
            </w:r>
          </w:p>
        </w:tc>
        <w:tc>
          <w:tcPr>
            <w:tcW w:w="80" w:type="dxa"/>
            <w:vAlign w:val="bottom"/>
          </w:tcPr>
          <w:p>
            <w:pPr>
              <w:spacing w:after="0"/>
              <w:rPr>
                <w:sz w:val="12"/>
                <w:szCs w:val="12"/>
                <w:color w:val="auto"/>
              </w:rPr>
            </w:pPr>
          </w:p>
        </w:tc>
        <w:tc>
          <w:tcPr>
            <w:tcW w:w="24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Warrant for Series A Preferred Stock,</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line="149" w:lineRule="exact"/>
              <w:rPr>
                <w:sz w:val="20"/>
                <w:szCs w:val="20"/>
                <w:color w:val="auto"/>
              </w:rPr>
            </w:pPr>
            <w:r>
              <w:rPr>
                <w:rFonts w:ascii="Arial" w:cs="Arial" w:eastAsia="Arial" w:hAnsi="Arial"/>
                <w:sz w:val="14"/>
                <w:szCs w:val="14"/>
                <w:color w:val="auto"/>
                <w:w w:val="98"/>
              </w:rPr>
              <w:t>Hardware, Storage</w:t>
            </w:r>
          </w:p>
        </w:tc>
        <w:tc>
          <w:tcPr>
            <w:tcW w:w="25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exercise price $4.4464/share, expires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line="149" w:lineRule="exact"/>
              <w:rPr>
                <w:sz w:val="20"/>
                <w:szCs w:val="20"/>
                <w:color w:val="auto"/>
              </w:rPr>
            </w:pPr>
            <w:r>
              <w:rPr>
                <w:rFonts w:ascii="Arial" w:cs="Arial" w:eastAsia="Arial" w:hAnsi="Arial"/>
                <w:sz w:val="14"/>
                <w:szCs w:val="14"/>
                <w:color w:val="auto"/>
              </w:rPr>
              <w:t>&amp; Peripherals</w:t>
            </w:r>
          </w:p>
        </w:tc>
        <w:tc>
          <w:tcPr>
            <w:tcW w:w="24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10/5/2028</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10/5/2018</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112,451</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135,841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Warrant for Series A Preferred Stock,</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25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exercise price $4.4464/share, expires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24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12/28/2028</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1"/>
              </w:rPr>
              <w:t>12/28/2018</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22,491</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25,248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Warrant for Series A Preferred Stock,</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25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exercise price $6.78/share, expires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24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6/27/2029</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6/27/2019</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123,894</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380,850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180" w:type="dxa"/>
            <w:vAlign w:val="bottom"/>
          </w:tcPr>
          <w:p>
            <w:pPr>
              <w:spacing w:after="0" w:line="149" w:lineRule="exact"/>
              <w:rPr>
                <w:sz w:val="20"/>
                <w:szCs w:val="20"/>
                <w:color w:val="auto"/>
              </w:rPr>
            </w:pPr>
            <w:r>
              <w:rPr>
                <w:rFonts w:ascii="Arial" w:cs="Arial" w:eastAsia="Arial" w:hAnsi="Arial"/>
                <w:sz w:val="14"/>
                <w:szCs w:val="14"/>
                <w:color w:val="auto"/>
              </w:rPr>
              <w:t>System Software</w:t>
            </w:r>
          </w:p>
        </w:tc>
        <w:tc>
          <w:tcPr>
            <w:tcW w:w="80" w:type="dxa"/>
            <w:vAlign w:val="bottom"/>
          </w:tcPr>
          <w:p>
            <w:pPr>
              <w:spacing w:after="0"/>
              <w:rPr>
                <w:sz w:val="12"/>
                <w:szCs w:val="12"/>
                <w:color w:val="auto"/>
              </w:rPr>
            </w:pPr>
          </w:p>
        </w:tc>
        <w:tc>
          <w:tcPr>
            <w:tcW w:w="24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Warrant for Common Stock, exercise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25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price $0.80/share, expires 3/29/2029</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3/29/2019</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9,665,667</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345,816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180" w:type="dxa"/>
            <w:vAlign w:val="bottom"/>
          </w:tcPr>
          <w:p>
            <w:pPr>
              <w:spacing w:after="0" w:line="149" w:lineRule="exact"/>
              <w:rPr>
                <w:sz w:val="20"/>
                <w:szCs w:val="20"/>
                <w:color w:val="auto"/>
              </w:rPr>
            </w:pPr>
            <w:r>
              <w:rPr>
                <w:rFonts w:ascii="Arial" w:cs="Arial" w:eastAsia="Arial" w:hAnsi="Arial"/>
                <w:sz w:val="14"/>
                <w:szCs w:val="14"/>
                <w:color w:val="auto"/>
              </w:rPr>
              <w:t>Health Care</w:t>
            </w:r>
          </w:p>
        </w:tc>
        <w:tc>
          <w:tcPr>
            <w:tcW w:w="25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Warrant for Class B Preferred Stock,</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line="149" w:lineRule="exact"/>
              <w:rPr>
                <w:sz w:val="20"/>
                <w:szCs w:val="20"/>
                <w:color w:val="auto"/>
              </w:rPr>
            </w:pPr>
            <w:r>
              <w:rPr>
                <w:rFonts w:ascii="Arial" w:cs="Arial" w:eastAsia="Arial" w:hAnsi="Arial"/>
                <w:sz w:val="14"/>
                <w:szCs w:val="14"/>
                <w:color w:val="auto"/>
              </w:rPr>
              <w:t>Technology</w:t>
            </w:r>
          </w:p>
        </w:tc>
        <w:tc>
          <w:tcPr>
            <w:tcW w:w="25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exercise price $1.00/share, expires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24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 xml:space="preserve">6/29/2031 </w:t>
            </w:r>
            <w:r>
              <w:rPr>
                <w:rFonts w:ascii="Arial" w:cs="Arial" w:eastAsia="Arial" w:hAnsi="Arial"/>
                <w:sz w:val="10"/>
                <w:szCs w:val="10"/>
                <w:color w:val="auto"/>
              </w:rPr>
              <w:t>(3),(7)</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6/29/2021</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400,000</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14,060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14,060</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line="149" w:lineRule="exact"/>
              <w:rPr>
                <w:sz w:val="20"/>
                <w:szCs w:val="20"/>
                <w:color w:val="auto"/>
              </w:rPr>
            </w:pPr>
            <w:r>
              <w:rPr>
                <w:rFonts w:ascii="Arial" w:cs="Arial" w:eastAsia="Arial" w:hAnsi="Arial"/>
                <w:sz w:val="14"/>
                <w:szCs w:val="14"/>
                <w:color w:val="auto"/>
              </w:rPr>
              <w:t>Data Processing &amp;</w:t>
            </w:r>
          </w:p>
        </w:tc>
        <w:tc>
          <w:tcPr>
            <w:tcW w:w="80" w:type="dxa"/>
            <w:vAlign w:val="bottom"/>
          </w:tcPr>
          <w:p>
            <w:pPr>
              <w:spacing w:after="0"/>
              <w:rPr>
                <w:sz w:val="12"/>
                <w:szCs w:val="12"/>
                <w:color w:val="auto"/>
              </w:rPr>
            </w:pPr>
          </w:p>
        </w:tc>
        <w:tc>
          <w:tcPr>
            <w:tcW w:w="244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7"/>
              </w:rPr>
              <w:t>Warrant for Series D-3 Preferred Stock,</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line="149" w:lineRule="exact"/>
              <w:rPr>
                <w:sz w:val="20"/>
                <w:szCs w:val="20"/>
                <w:color w:val="auto"/>
              </w:rPr>
            </w:pPr>
            <w:r>
              <w:rPr>
                <w:rFonts w:ascii="Arial" w:cs="Arial" w:eastAsia="Arial" w:hAnsi="Arial"/>
                <w:sz w:val="14"/>
                <w:szCs w:val="14"/>
                <w:color w:val="auto"/>
              </w:rPr>
              <w:t>Outsourced</w:t>
            </w:r>
          </w:p>
        </w:tc>
        <w:tc>
          <w:tcPr>
            <w:tcW w:w="25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exercise price $2.4320/share, expires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line="149" w:lineRule="exact"/>
              <w:rPr>
                <w:sz w:val="20"/>
                <w:szCs w:val="20"/>
                <w:color w:val="auto"/>
              </w:rPr>
            </w:pPr>
            <w:r>
              <w:rPr>
                <w:rFonts w:ascii="Arial" w:cs="Arial" w:eastAsia="Arial" w:hAnsi="Arial"/>
                <w:sz w:val="14"/>
                <w:szCs w:val="14"/>
                <w:color w:val="auto"/>
              </w:rPr>
              <w:t>Services</w:t>
            </w:r>
          </w:p>
        </w:tc>
        <w:tc>
          <w:tcPr>
            <w:tcW w:w="24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12/3/2028</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12/3/2018</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647,615</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2,162,000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2,162,000</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0.45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line="149" w:lineRule="exact"/>
              <w:rPr>
                <w:sz w:val="20"/>
                <w:szCs w:val="20"/>
                <w:color w:val="auto"/>
              </w:rPr>
            </w:pPr>
            <w:r>
              <w:rPr>
                <w:rFonts w:ascii="Arial" w:cs="Arial" w:eastAsia="Arial" w:hAnsi="Arial"/>
                <w:sz w:val="14"/>
                <w:szCs w:val="14"/>
                <w:color w:val="auto"/>
              </w:rPr>
              <w:t>Advertising</w:t>
            </w:r>
          </w:p>
        </w:tc>
        <w:tc>
          <w:tcPr>
            <w:tcW w:w="25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Warrant for Class B Non-Voting Stock,</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25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exercise price $0.67/share, expires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24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 xml:space="preserve">6/30/2027 </w:t>
            </w:r>
            <w:r>
              <w:rPr>
                <w:rFonts w:ascii="Arial" w:cs="Arial" w:eastAsia="Arial" w:hAnsi="Arial"/>
                <w:sz w:val="10"/>
                <w:szCs w:val="10"/>
                <w:color w:val="auto"/>
              </w:rPr>
              <w:t>(3),(7)</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6/30/2017</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191,500</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246,461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11,000</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line="149" w:lineRule="exact"/>
              <w:rPr>
                <w:sz w:val="20"/>
                <w:szCs w:val="20"/>
                <w:color w:val="auto"/>
              </w:rPr>
            </w:pPr>
            <w:r>
              <w:rPr>
                <w:rFonts w:ascii="Arial" w:cs="Arial" w:eastAsia="Arial" w:hAnsi="Arial"/>
                <w:sz w:val="14"/>
                <w:szCs w:val="14"/>
                <w:color w:val="auto"/>
              </w:rPr>
              <w:t>Application</w:t>
            </w:r>
          </w:p>
        </w:tc>
        <w:tc>
          <w:tcPr>
            <w:tcW w:w="80" w:type="dxa"/>
            <w:vAlign w:val="bottom"/>
          </w:tcPr>
          <w:p>
            <w:pPr>
              <w:spacing w:after="0"/>
              <w:rPr>
                <w:sz w:val="12"/>
                <w:szCs w:val="12"/>
                <w:color w:val="auto"/>
              </w:rPr>
            </w:pPr>
          </w:p>
        </w:tc>
        <w:tc>
          <w:tcPr>
            <w:tcW w:w="24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Warrant for Common Stock, exercise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80" w:type="dxa"/>
            <w:vAlign w:val="bottom"/>
          </w:tcPr>
          <w:p>
            <w:pPr>
              <w:spacing w:after="0"/>
              <w:rPr>
                <w:sz w:val="20"/>
                <w:szCs w:val="20"/>
                <w:color w:val="auto"/>
              </w:rPr>
            </w:pPr>
            <w:r>
              <w:rPr>
                <w:rFonts w:ascii="Arial" w:cs="Arial" w:eastAsia="Arial" w:hAnsi="Arial"/>
                <w:sz w:val="14"/>
                <w:szCs w:val="14"/>
                <w:color w:val="auto"/>
              </w:rPr>
              <w:t>Software</w:t>
            </w:r>
          </w:p>
        </w:tc>
        <w:tc>
          <w:tcPr>
            <w:tcW w:w="2520" w:type="dxa"/>
            <w:vAlign w:val="bottom"/>
            <w:gridSpan w:val="3"/>
          </w:tcPr>
          <w:p>
            <w:pPr>
              <w:ind w:left="80"/>
              <w:spacing w:after="0"/>
              <w:rPr>
                <w:sz w:val="20"/>
                <w:szCs w:val="20"/>
                <w:color w:val="auto"/>
              </w:rPr>
            </w:pPr>
            <w:r>
              <w:rPr>
                <w:rFonts w:ascii="Arial" w:cs="Arial" w:eastAsia="Arial" w:hAnsi="Arial"/>
                <w:sz w:val="14"/>
                <w:szCs w:val="14"/>
                <w:color w:val="auto"/>
              </w:rPr>
              <w:t>price $0.01/share, expires 3/9/2030</w:t>
            </w:r>
          </w:p>
        </w:tc>
        <w:tc>
          <w:tcPr>
            <w:tcW w:w="700" w:type="dxa"/>
            <w:vAlign w:val="bottom"/>
          </w:tcPr>
          <w:p>
            <w:pPr>
              <w:jc w:val="right"/>
              <w:spacing w:after="0"/>
              <w:rPr>
                <w:sz w:val="20"/>
                <w:szCs w:val="20"/>
                <w:color w:val="auto"/>
              </w:rPr>
            </w:pPr>
            <w:r>
              <w:rPr>
                <w:rFonts w:ascii="Arial" w:cs="Arial" w:eastAsia="Arial" w:hAnsi="Arial"/>
                <w:sz w:val="14"/>
                <w:szCs w:val="14"/>
                <w:color w:val="auto"/>
              </w:rPr>
              <w:t>3/9/2020</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81,177</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453,751</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0.09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-1339850</wp:posOffset>
            </wp:positionH>
            <wp:positionV relativeFrom="paragraph">
              <wp:posOffset>-4723765</wp:posOffset>
            </wp:positionV>
            <wp:extent cx="6292215" cy="2832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83210"/>
                    </a:xfrm>
                    <a:prstGeom prst="rect">
                      <a:avLst/>
                    </a:prstGeom>
                    <a:noFill/>
                  </pic:spPr>
                </pic:pic>
              </a:graphicData>
            </a:graphic>
          </wp:anchor>
        </w:drawing>
        <w:drawing>
          <wp:anchor simplePos="0" relativeHeight="251657728" behindDoc="1" locked="0" layoutInCell="0" allowOverlap="1">
            <wp:simplePos x="0" y="0"/>
            <wp:positionH relativeFrom="column">
              <wp:posOffset>-1339850</wp:posOffset>
            </wp:positionH>
            <wp:positionV relativeFrom="paragraph">
              <wp:posOffset>-4157980</wp:posOffset>
            </wp:positionV>
            <wp:extent cx="6292215" cy="2825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82575"/>
                    </a:xfrm>
                    <a:prstGeom prst="rect">
                      <a:avLst/>
                    </a:prstGeom>
                    <a:noFill/>
                  </pic:spPr>
                </pic:pic>
              </a:graphicData>
            </a:graphic>
          </wp:anchor>
        </w:drawing>
        <w:drawing>
          <wp:anchor simplePos="0" relativeHeight="251657728" behindDoc="1" locked="0" layoutInCell="0" allowOverlap="1">
            <wp:simplePos x="0" y="0"/>
            <wp:positionH relativeFrom="column">
              <wp:posOffset>-1339850</wp:posOffset>
            </wp:positionH>
            <wp:positionV relativeFrom="paragraph">
              <wp:posOffset>-3686175</wp:posOffset>
            </wp:positionV>
            <wp:extent cx="6292215"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88595"/>
                    </a:xfrm>
                    <a:prstGeom prst="rect">
                      <a:avLst/>
                    </a:prstGeom>
                    <a:noFill/>
                  </pic:spPr>
                </pic:pic>
              </a:graphicData>
            </a:graphic>
          </wp:anchor>
        </w:drawing>
        <w:drawing>
          <wp:anchor simplePos="0" relativeHeight="251657728" behindDoc="1" locked="0" layoutInCell="0" allowOverlap="1">
            <wp:simplePos x="0" y="0"/>
            <wp:positionH relativeFrom="column">
              <wp:posOffset>-1339850</wp:posOffset>
            </wp:positionH>
            <wp:positionV relativeFrom="paragraph">
              <wp:posOffset>-3309620</wp:posOffset>
            </wp:positionV>
            <wp:extent cx="6292215"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88595"/>
                    </a:xfrm>
                    <a:prstGeom prst="rect">
                      <a:avLst/>
                    </a:prstGeom>
                    <a:noFill/>
                  </pic:spPr>
                </pic:pic>
              </a:graphicData>
            </a:graphic>
          </wp:anchor>
        </w:drawing>
        <w:drawing>
          <wp:anchor simplePos="0" relativeHeight="251657728" behindDoc="1" locked="0" layoutInCell="0" allowOverlap="1">
            <wp:simplePos x="0" y="0"/>
            <wp:positionH relativeFrom="column">
              <wp:posOffset>-1339850</wp:posOffset>
            </wp:positionH>
            <wp:positionV relativeFrom="paragraph">
              <wp:posOffset>-2837815</wp:posOffset>
            </wp:positionV>
            <wp:extent cx="6292215" cy="2832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83210"/>
                    </a:xfrm>
                    <a:prstGeom prst="rect">
                      <a:avLst/>
                    </a:prstGeom>
                    <a:noFill/>
                  </pic:spPr>
                </pic:pic>
              </a:graphicData>
            </a:graphic>
          </wp:anchor>
        </w:drawing>
        <w:drawing>
          <wp:anchor simplePos="0" relativeHeight="251657728" behindDoc="1" locked="0" layoutInCell="0" allowOverlap="1">
            <wp:simplePos x="0" y="0"/>
            <wp:positionH relativeFrom="column">
              <wp:posOffset>-1339850</wp:posOffset>
            </wp:positionH>
            <wp:positionV relativeFrom="paragraph">
              <wp:posOffset>-2272030</wp:posOffset>
            </wp:positionV>
            <wp:extent cx="6292215"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88595"/>
                    </a:xfrm>
                    <a:prstGeom prst="rect">
                      <a:avLst/>
                    </a:prstGeom>
                    <a:noFill/>
                  </pic:spPr>
                </pic:pic>
              </a:graphicData>
            </a:graphic>
          </wp:anchor>
        </w:drawing>
        <w:drawing>
          <wp:anchor simplePos="0" relativeHeight="251657728" behindDoc="1" locked="0" layoutInCell="0" allowOverlap="1">
            <wp:simplePos x="0" y="0"/>
            <wp:positionH relativeFrom="column">
              <wp:posOffset>-1339850</wp:posOffset>
            </wp:positionH>
            <wp:positionV relativeFrom="paragraph">
              <wp:posOffset>-1800225</wp:posOffset>
            </wp:positionV>
            <wp:extent cx="6292215" cy="2825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82575"/>
                    </a:xfrm>
                    <a:prstGeom prst="rect">
                      <a:avLst/>
                    </a:prstGeom>
                    <a:noFill/>
                  </pic:spPr>
                </pic:pic>
              </a:graphicData>
            </a:graphic>
          </wp:anchor>
        </w:drawing>
        <w:drawing>
          <wp:anchor simplePos="0" relativeHeight="251657728" behindDoc="1" locked="0" layoutInCell="0" allowOverlap="1">
            <wp:simplePos x="0" y="0"/>
            <wp:positionH relativeFrom="column">
              <wp:posOffset>-1339850</wp:posOffset>
            </wp:positionH>
            <wp:positionV relativeFrom="paragraph">
              <wp:posOffset>-1234440</wp:posOffset>
            </wp:positionV>
            <wp:extent cx="6292215"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88595"/>
                    </a:xfrm>
                    <a:prstGeom prst="rect">
                      <a:avLst/>
                    </a:prstGeom>
                    <a:noFill/>
                  </pic:spPr>
                </pic:pic>
              </a:graphicData>
            </a:graphic>
          </wp:anchor>
        </w:drawing>
        <w:drawing>
          <wp:anchor simplePos="0" relativeHeight="251657728" behindDoc="1" locked="0" layoutInCell="0" allowOverlap="1">
            <wp:simplePos x="0" y="0"/>
            <wp:positionH relativeFrom="column">
              <wp:posOffset>-1339850</wp:posOffset>
            </wp:positionH>
            <wp:positionV relativeFrom="paragraph">
              <wp:posOffset>-763270</wp:posOffset>
            </wp:positionV>
            <wp:extent cx="6292215" cy="2825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82575"/>
                    </a:xfrm>
                    <a:prstGeom prst="rect">
                      <a:avLst/>
                    </a:prstGeom>
                    <a:noFill/>
                  </pic:spPr>
                </pic:pic>
              </a:graphicData>
            </a:graphic>
          </wp:anchor>
        </w:drawing>
        <w:drawing>
          <wp:anchor simplePos="0" relativeHeight="251657728" behindDoc="1" locked="0" layoutInCell="0" allowOverlap="1">
            <wp:simplePos x="0" y="0"/>
            <wp:positionH relativeFrom="column">
              <wp:posOffset>-1339850</wp:posOffset>
            </wp:positionH>
            <wp:positionV relativeFrom="paragraph">
              <wp:posOffset>-197485</wp:posOffset>
            </wp:positionV>
            <wp:extent cx="6292215"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88595"/>
                    </a:xfrm>
                    <a:prstGeom prst="rect">
                      <a:avLst/>
                    </a:prstGeom>
                    <a:noFill/>
                  </pic:spPr>
                </pic:pic>
              </a:graphicData>
            </a:graphic>
          </wp:anchor>
        </w:drawing>
        <w:drawing>
          <wp:anchor simplePos="0" relativeHeight="251657728" behindDoc="1" locked="0" layoutInCell="0" allowOverlap="1">
            <wp:simplePos x="0" y="0"/>
            <wp:positionH relativeFrom="column">
              <wp:posOffset>-1339850</wp:posOffset>
            </wp:positionH>
            <wp:positionV relativeFrom="paragraph">
              <wp:posOffset>-5015230</wp:posOffset>
            </wp:positionV>
            <wp:extent cx="6292215" cy="196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96850"/>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2">
            <w:col w:w="1960" w:space="160"/>
            <w:col w:w="7800"/>
          </w:cols>
          <w:pgMar w:left="980" w:top="517" w:right="999" w:bottom="1440" w:gutter="0" w:footer="0" w:header="0"/>
        </w:sect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Acquisition</w:t>
            </w:r>
          </w:p>
        </w:tc>
        <w:tc>
          <w:tcPr>
            <w:tcW w:w="9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Principal/</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4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80" w:type="dxa"/>
            <w:vAlign w:val="bottom"/>
          </w:tcPr>
          <w:p>
            <w:pPr>
              <w:spacing w:after="0"/>
              <w:rPr>
                <w:sz w:val="12"/>
                <w:szCs w:val="12"/>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Sub-Industry</w:t>
            </w:r>
          </w:p>
        </w:tc>
        <w:tc>
          <w:tcPr>
            <w:tcW w:w="80" w:type="dxa"/>
            <w:vAlign w:val="bottom"/>
          </w:tcPr>
          <w:p>
            <w:pPr>
              <w:spacing w:after="0"/>
              <w:rPr>
                <w:sz w:val="12"/>
                <w:szCs w:val="12"/>
                <w:color w:val="auto"/>
              </w:rPr>
            </w:pPr>
          </w:p>
        </w:tc>
        <w:tc>
          <w:tcPr>
            <w:tcW w:w="23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780" w:type="dxa"/>
            <w:vAlign w:val="bottom"/>
            <w:gridSpan w:val="2"/>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(2),(6)</w:t>
            </w: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4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2"/>
            <w:vMerge w:val="continue"/>
          </w:tcPr>
          <w:p>
            <w:pPr>
              <w:spacing w:after="0"/>
              <w:rPr>
                <w:sz w:val="14"/>
                <w:szCs w:val="14"/>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Date</w:t>
            </w:r>
          </w:p>
        </w:tc>
        <w:tc>
          <w:tcPr>
            <w:tcW w:w="960" w:type="dxa"/>
            <w:vAlign w:val="bottom"/>
            <w:gridSpan w:val="3"/>
          </w:tcPr>
          <w:p>
            <w:pPr>
              <w:ind w:left="200"/>
              <w:spacing w:after="0"/>
              <w:rPr>
                <w:sz w:val="20"/>
                <w:szCs w:val="20"/>
                <w:color w:val="auto"/>
              </w:rPr>
            </w:pPr>
            <w:r>
              <w:rPr>
                <w:rFonts w:ascii="Arial" w:cs="Arial" w:eastAsia="Arial" w:hAnsi="Arial"/>
                <w:sz w:val="14"/>
                <w:szCs w:val="14"/>
                <w:b w:val="1"/>
                <w:bCs w:val="1"/>
                <w:color w:val="auto"/>
              </w:rPr>
              <w:t>Shares</w:t>
            </w: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20" w:type="dxa"/>
            <w:vAlign w:val="bottom"/>
            <w:tcBorders>
              <w:top w:val="single" w:sz="8" w:color="auto"/>
            </w:tcBorders>
            <w:gridSpan w:val="5"/>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3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1460" w:type="dxa"/>
            <w:vAlign w:val="bottom"/>
            <w:tcBorders>
              <w:top w:val="single" w:sz="8" w:color="auto"/>
              <w:bottom w:val="single" w:sz="8" w:color="auto"/>
            </w:tcBorders>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8"/>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32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36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3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(7)</w:t>
            </w:r>
            <w:r>
              <w:rPr>
                <w:rFonts w:ascii="Arial" w:cs="Arial" w:eastAsia="Arial" w:hAnsi="Arial"/>
                <w:sz w:val="14"/>
                <w:szCs w:val="14"/>
                <w:b w:val="1"/>
                <w:bCs w:val="1"/>
                <w:color w:val="auto"/>
              </w:rPr>
              <w:t xml:space="preserve"> (continued)</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5"/>
            <w:shd w:val="clear" w:color="auto" w:fill="CCEEFF"/>
          </w:tcPr>
          <w:p>
            <w:pPr>
              <w:spacing w:after="0" w:line="130" w:lineRule="exact"/>
              <w:rPr>
                <w:sz w:val="20"/>
                <w:szCs w:val="20"/>
                <w:color w:val="auto"/>
              </w:rPr>
            </w:pPr>
            <w:r>
              <w:rPr>
                <w:rFonts w:ascii="Arial" w:cs="Arial" w:eastAsia="Arial" w:hAnsi="Arial"/>
                <w:sz w:val="14"/>
                <w:szCs w:val="14"/>
                <w:color w:val="auto"/>
              </w:rPr>
              <w:t>VERO Biotech LLC</w:t>
            </w:r>
          </w:p>
        </w:tc>
        <w:tc>
          <w:tcPr>
            <w:tcW w:w="12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Health Care</w:t>
            </w:r>
          </w:p>
        </w:tc>
        <w:tc>
          <w:tcPr>
            <w:tcW w:w="80" w:type="dxa"/>
            <w:vAlign w:val="bottom"/>
            <w:shd w:val="clear" w:color="auto" w:fill="CCEEFF"/>
          </w:tcPr>
          <w:p>
            <w:pPr>
              <w:spacing w:after="0"/>
              <w:rPr>
                <w:sz w:val="11"/>
                <w:szCs w:val="11"/>
                <w:color w:val="auto"/>
              </w:rPr>
            </w:pPr>
          </w:p>
        </w:tc>
        <w:tc>
          <w:tcPr>
            <w:tcW w:w="23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 xml:space="preserve">Success fee, expires 12/29/2025 </w:t>
            </w:r>
            <w:r>
              <w:rPr>
                <w:rFonts w:ascii="Arial" w:cs="Arial" w:eastAsia="Arial" w:hAnsi="Arial"/>
                <w:sz w:val="10"/>
                <w:szCs w:val="10"/>
                <w:color w:val="auto"/>
              </w:rPr>
              <w:t>(14)</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Technology</w:t>
            </w:r>
          </w:p>
        </w:tc>
        <w:tc>
          <w:tcPr>
            <w:tcW w:w="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12/29/2020</w:t>
            </w:r>
          </w:p>
        </w:tc>
        <w:tc>
          <w:tcPr>
            <w:tcW w:w="8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376,500</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426,930</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0.09 %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Borders>
              <w:bottom w:val="single" w:sz="8" w:color="CCEEFF"/>
            </w:tcBorders>
            <w:gridSpan w:val="5"/>
          </w:tcPr>
          <w:p>
            <w:pPr>
              <w:spacing w:after="0" w:line="142" w:lineRule="exact"/>
              <w:rPr>
                <w:sz w:val="20"/>
                <w:szCs w:val="20"/>
                <w:color w:val="auto"/>
              </w:rPr>
            </w:pPr>
            <w:r>
              <w:rPr>
                <w:rFonts w:ascii="Arial" w:cs="Arial" w:eastAsia="Arial" w:hAnsi="Arial"/>
                <w:sz w:val="14"/>
                <w:szCs w:val="14"/>
                <w:b w:val="1"/>
                <w:bCs w:val="1"/>
                <w:color w:val="auto"/>
              </w:rPr>
              <w:t>Total Warrants</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3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17,796,684</w:t>
            </w: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24,394,480</w:t>
            </w:r>
          </w:p>
        </w:tc>
        <w:tc>
          <w:tcPr>
            <w:tcW w:w="8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20" w:type="dxa"/>
            <w:vAlign w:val="bottom"/>
            <w:gridSpan w:val="5"/>
            <w:shd w:val="clear" w:color="auto" w:fill="CCEEFF"/>
          </w:tcPr>
          <w:p>
            <w:pPr>
              <w:spacing w:after="0" w:line="115" w:lineRule="exact"/>
              <w:rPr>
                <w:sz w:val="20"/>
                <w:szCs w:val="20"/>
                <w:color w:val="auto"/>
              </w:rPr>
            </w:pPr>
            <w:r>
              <w:rPr>
                <w:rFonts w:ascii="Arial" w:cs="Arial" w:eastAsia="Arial" w:hAnsi="Arial"/>
                <w:sz w:val="13"/>
                <w:szCs w:val="13"/>
                <w:b w:val="1"/>
                <w:bCs w:val="1"/>
                <w:color w:val="auto"/>
              </w:rPr>
              <w:t>Total non-control/non-affiliate</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2"/>
              </w:rPr>
              <w:t>570,412,489</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5"/>
              </w:rPr>
              <w:t>575,594,218</w:t>
            </w:r>
          </w:p>
        </w:tc>
        <w:tc>
          <w:tcPr>
            <w:tcW w:w="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120.48</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3"/>
                <w:szCs w:val="13"/>
                <w:b w:val="1"/>
                <w:bCs w:val="1"/>
                <w:color w:val="auto"/>
                <w:w w:val="92"/>
              </w:rPr>
              <w:t>investments</w:t>
            </w:r>
          </w:p>
        </w:tc>
        <w:tc>
          <w:tcPr>
            <w:tcW w:w="1120" w:type="dxa"/>
            <w:vAlign w:val="bottom"/>
            <w:tcBorders>
              <w:top w:val="single" w:sz="8" w:color="auto"/>
              <w:bottom w:val="single" w:sz="8" w:color="CCEEFF"/>
            </w:tcBorders>
            <w:gridSpan w:val="3"/>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60" w:type="dxa"/>
            <w:vAlign w:val="bottom"/>
            <w:tcBorders>
              <w:top w:val="single" w:sz="8" w:color="CCEEFF"/>
              <w:bottom w:val="single" w:sz="8" w:color="CCEEFF"/>
            </w:tcBorders>
            <w:shd w:val="clear" w:color="auto" w:fill="CCEEFF"/>
          </w:tcPr>
          <w:p>
            <w:pPr>
              <w:spacing w:after="0"/>
              <w:rPr>
                <w:sz w:val="14"/>
                <w:szCs w:val="14"/>
                <w:color w:val="auto"/>
              </w:rPr>
            </w:pPr>
          </w:p>
        </w:tc>
        <w:tc>
          <w:tcPr>
            <w:tcW w:w="7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3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7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vMerge w:val="continue"/>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vMerge w:val="continue"/>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480" w:type="dxa"/>
            <w:vAlign w:val="bottom"/>
            <w:tcBorders>
              <w:top w:val="single" w:sz="8" w:color="CCEEFF"/>
              <w:bottom w:val="single" w:sz="8" w:color="CCEEFF"/>
            </w:tcBorders>
            <w:vMerge w:val="continue"/>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20" w:type="dxa"/>
            <w:vAlign w:val="bottom"/>
            <w:gridSpan w:val="5"/>
          </w:tcPr>
          <w:p>
            <w:pPr>
              <w:spacing w:after="0" w:line="129" w:lineRule="exact"/>
              <w:rPr>
                <w:sz w:val="20"/>
                <w:szCs w:val="20"/>
                <w:color w:val="auto"/>
              </w:rPr>
            </w:pPr>
            <w:r>
              <w:rPr>
                <w:rFonts w:ascii="Arial" w:cs="Arial" w:eastAsia="Arial" w:hAnsi="Arial"/>
                <w:sz w:val="14"/>
                <w:szCs w:val="14"/>
                <w:b w:val="1"/>
                <w:bCs w:val="1"/>
                <w:color w:val="auto"/>
              </w:rPr>
              <w:t>U.S. Treasury</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6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U.S. Treasury Bill, 0.025%, due</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3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 xml:space="preserve">07/08/2021 </w:t>
            </w:r>
            <w:r>
              <w:rPr>
                <w:rFonts w:ascii="Arial" w:cs="Arial" w:eastAsia="Arial" w:hAnsi="Arial"/>
                <w:sz w:val="10"/>
                <w:szCs w:val="10"/>
                <w:color w:val="auto"/>
              </w:rPr>
              <w:t>(9)</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6/30/2021</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ind w:left="80"/>
              <w:spacing w:after="0"/>
              <w:rPr>
                <w:sz w:val="20"/>
                <w:szCs w:val="20"/>
                <w:color w:val="auto"/>
              </w:rPr>
            </w:pPr>
            <w:r>
              <w:rPr>
                <w:rFonts w:ascii="Arial" w:cs="Arial" w:eastAsia="Arial" w:hAnsi="Arial"/>
                <w:sz w:val="14"/>
                <w:szCs w:val="14"/>
                <w:color w:val="auto"/>
                <w:w w:val="96"/>
              </w:rPr>
              <w:t>20,000,000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19,999,903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19,999,889</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6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U.S. Treasury Bill, 0.005%, due</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238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color w:val="auto"/>
              </w:rPr>
              <w:t>07/06/2021</w:t>
            </w: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6/30/2021</w:t>
            </w:r>
          </w:p>
        </w:tc>
        <w:tc>
          <w:tcPr>
            <w:tcW w:w="8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w w:val="96"/>
              </w:rPr>
              <w:t>10,000,000</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9,999,993</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9,999,992</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gridSpan w:val="5"/>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U.S.Treasury</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29,999,896</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29,999,881</w:t>
            </w:r>
          </w:p>
        </w:tc>
        <w:tc>
          <w:tcPr>
            <w:tcW w:w="8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6.28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20" w:type="dxa"/>
            <w:vAlign w:val="bottom"/>
            <w:gridSpan w:val="5"/>
          </w:tcPr>
          <w:p>
            <w:pPr>
              <w:spacing w:after="0"/>
              <w:rPr>
                <w:sz w:val="20"/>
                <w:szCs w:val="20"/>
                <w:color w:val="auto"/>
              </w:rPr>
            </w:pPr>
            <w:r>
              <w:rPr>
                <w:rFonts w:ascii="Arial" w:cs="Arial" w:eastAsia="Arial" w:hAnsi="Arial"/>
                <w:sz w:val="14"/>
                <w:szCs w:val="14"/>
                <w:b w:val="1"/>
                <w:bCs w:val="1"/>
                <w:color w:val="auto"/>
              </w:rPr>
              <w:t>Total Investments</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w w:val="92"/>
              </w:rPr>
              <w:t>614,323,879</w:t>
            </w:r>
          </w:p>
        </w:tc>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w w:val="95"/>
              </w:rPr>
              <w:t>617,617,043</w:t>
            </w:r>
          </w:p>
        </w:tc>
        <w:tc>
          <w:tcPr>
            <w:tcW w:w="80" w:type="dxa"/>
            <w:vAlign w:val="bottom"/>
          </w:tcPr>
          <w:p>
            <w:pPr>
              <w:spacing w:after="0"/>
              <w:rPr>
                <w:sz w:val="14"/>
                <w:szCs w:val="14"/>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color w:val="auto"/>
                <w:w w:val="97"/>
              </w:rPr>
              <w:t>129.28 %</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23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660" w:hanging="328"/>
        <w:spacing w:after="0" w:line="238" w:lineRule="auto"/>
        <w:tabs>
          <w:tab w:leader="none" w:pos="660" w:val="left"/>
        </w:tabs>
        <w:numPr>
          <w:ilvl w:val="0"/>
          <w:numId w:val="3"/>
        </w:numPr>
        <w:rPr>
          <w:rFonts w:ascii="Arial" w:cs="Arial" w:eastAsia="Arial" w:hAnsi="Arial"/>
          <w:sz w:val="11"/>
          <w:szCs w:val="11"/>
          <w:color w:val="auto"/>
        </w:rPr>
      </w:pPr>
      <w:r>
        <w:rPr>
          <w:rFonts w:ascii="Arial" w:cs="Arial" w:eastAsia="Arial" w:hAnsi="Arial"/>
          <w:sz w:val="14"/>
          <w:szCs w:val="14"/>
          <w:color w:val="auto"/>
        </w:rPr>
        <w:t>Disclosures of interest rates on notes include cash interest rates and payment-in-kind (“PIK”) interest rates, as applicable. Unless otherwise indicated, all of the Company’s variable rate debt investments bear interest at a rate that is determined by reference to the 3-Month London Interbank Offered Rate (“LIBOR”) or the U.S. Prime Rate. At June 30, 2021, the 3-Month LIBOR was 0.15% and the U.S. Prime Rate was 3.25%.</w:t>
      </w:r>
    </w:p>
    <w:p>
      <w:pPr>
        <w:spacing w:after="0" w:line="74" w:lineRule="exact"/>
        <w:rPr>
          <w:rFonts w:ascii="Arial" w:cs="Arial" w:eastAsia="Arial" w:hAnsi="Arial"/>
          <w:sz w:val="11"/>
          <w:szCs w:val="11"/>
          <w:color w:val="auto"/>
        </w:rPr>
      </w:pPr>
    </w:p>
    <w:p>
      <w:pPr>
        <w:ind w:left="660" w:right="20" w:hanging="328"/>
        <w:spacing w:after="0" w:line="253" w:lineRule="auto"/>
        <w:tabs>
          <w:tab w:leader="none" w:pos="660" w:val="left"/>
        </w:tabs>
        <w:numPr>
          <w:ilvl w:val="0"/>
          <w:numId w:val="3"/>
        </w:numPr>
        <w:rPr>
          <w:rFonts w:ascii="Arial" w:cs="Arial" w:eastAsia="Arial" w:hAnsi="Arial"/>
          <w:sz w:val="11"/>
          <w:szCs w:val="11"/>
          <w:color w:val="auto"/>
        </w:rPr>
      </w:pPr>
      <w:r>
        <w:rPr>
          <w:rFonts w:ascii="Arial" w:cs="Arial" w:eastAsia="Arial" w:hAnsi="Arial"/>
          <w:sz w:val="14"/>
          <w:szCs w:val="14"/>
          <w:color w:val="auto"/>
        </w:rPr>
        <w:t>All investments in portfolio companies, which as of June 30, 2021 represented 123.00% of the Company’s net assets, are restricted as to resale and were valued at fair value as determined in good faith by the Company’s Board of Directors.</w:t>
      </w:r>
    </w:p>
    <w:p>
      <w:pPr>
        <w:spacing w:after="0" w:line="65" w:lineRule="exact"/>
        <w:rPr>
          <w:rFonts w:ascii="Arial" w:cs="Arial" w:eastAsia="Arial" w:hAnsi="Arial"/>
          <w:sz w:val="11"/>
          <w:szCs w:val="11"/>
          <w:color w:val="auto"/>
        </w:rPr>
      </w:pPr>
    </w:p>
    <w:p>
      <w:pPr>
        <w:jc w:val="both"/>
        <w:ind w:left="660" w:right="20" w:hanging="328"/>
        <w:spacing w:after="0" w:line="255" w:lineRule="auto"/>
        <w:tabs>
          <w:tab w:leader="none" w:pos="660" w:val="left"/>
        </w:tabs>
        <w:numPr>
          <w:ilvl w:val="0"/>
          <w:numId w:val="3"/>
        </w:numPr>
        <w:rPr>
          <w:rFonts w:ascii="Arial" w:cs="Arial" w:eastAsia="Arial" w:hAnsi="Arial"/>
          <w:sz w:val="10"/>
          <w:szCs w:val="10"/>
          <w:color w:val="auto"/>
        </w:rPr>
      </w:pPr>
      <w:r>
        <w:rPr>
          <w:rFonts w:ascii="Arial" w:cs="Arial" w:eastAsia="Arial" w:hAnsi="Arial"/>
          <w:sz w:val="13"/>
          <w:szCs w:val="13"/>
          <w:color w:val="auto"/>
        </w:rPr>
        <w:t>Investment is not a qualifying asset as defined under Section 55(a) of the Investment Company Act of 1940, as amended (the “1940 Act”). Non-qualifying assets at fair value represent 16.00% of total assets as of June 30, 2021.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 of the 1940 Act.</w:t>
      </w:r>
    </w:p>
    <w:p>
      <w:pPr>
        <w:spacing w:after="0" w:line="66" w:lineRule="exact"/>
        <w:rPr>
          <w:rFonts w:ascii="Arial" w:cs="Arial" w:eastAsia="Arial" w:hAnsi="Arial"/>
          <w:sz w:val="10"/>
          <w:szCs w:val="10"/>
          <w:color w:val="auto"/>
        </w:rPr>
      </w:pPr>
    </w:p>
    <w:p>
      <w:pPr>
        <w:ind w:left="660" w:hanging="328"/>
        <w:spacing w:after="0"/>
        <w:tabs>
          <w:tab w:leader="none" w:pos="660" w:val="left"/>
        </w:tabs>
        <w:numPr>
          <w:ilvl w:val="0"/>
          <w:numId w:val="3"/>
        </w:numPr>
        <w:rPr>
          <w:rFonts w:ascii="Arial" w:cs="Arial" w:eastAsia="Arial" w:hAnsi="Arial"/>
          <w:sz w:val="11"/>
          <w:szCs w:val="11"/>
          <w:color w:val="auto"/>
        </w:rPr>
      </w:pPr>
      <w:r>
        <w:rPr>
          <w:rFonts w:ascii="Arial" w:cs="Arial" w:eastAsia="Arial" w:hAnsi="Arial"/>
          <w:sz w:val="14"/>
          <w:szCs w:val="14"/>
          <w:color w:val="auto"/>
        </w:rPr>
        <w:t>Represents a PIK security. PIK interest is accrued and will be paid at maturity.</w:t>
      </w:r>
    </w:p>
    <w:p>
      <w:pPr>
        <w:spacing w:after="0" w:line="95" w:lineRule="exact"/>
        <w:rPr>
          <w:rFonts w:ascii="Arial" w:cs="Arial" w:eastAsia="Arial" w:hAnsi="Arial"/>
          <w:sz w:val="11"/>
          <w:szCs w:val="11"/>
          <w:color w:val="auto"/>
        </w:rPr>
      </w:pPr>
    </w:p>
    <w:p>
      <w:pPr>
        <w:ind w:left="660" w:hanging="328"/>
        <w:spacing w:after="0"/>
        <w:tabs>
          <w:tab w:leader="none" w:pos="660" w:val="left"/>
        </w:tabs>
        <w:numPr>
          <w:ilvl w:val="0"/>
          <w:numId w:val="3"/>
        </w:numPr>
        <w:rPr>
          <w:rFonts w:ascii="Arial" w:cs="Arial" w:eastAsia="Arial" w:hAnsi="Arial"/>
          <w:sz w:val="11"/>
          <w:szCs w:val="11"/>
          <w:color w:val="auto"/>
        </w:rPr>
      </w:pPr>
      <w:r>
        <w:rPr>
          <w:rFonts w:ascii="Arial" w:cs="Arial" w:eastAsia="Arial" w:hAnsi="Arial"/>
          <w:sz w:val="14"/>
          <w:szCs w:val="14"/>
          <w:color w:val="auto"/>
        </w:rPr>
        <w:t>Disclosures of end-of-term-payments (“ETP”) are one-time payments stated as a percentage of original principal amount.</w:t>
      </w:r>
    </w:p>
    <w:p>
      <w:pPr>
        <w:spacing w:after="0" w:line="95" w:lineRule="exact"/>
        <w:rPr>
          <w:rFonts w:ascii="Arial" w:cs="Arial" w:eastAsia="Arial" w:hAnsi="Arial"/>
          <w:sz w:val="11"/>
          <w:szCs w:val="11"/>
          <w:color w:val="auto"/>
        </w:rPr>
      </w:pPr>
    </w:p>
    <w:p>
      <w:pPr>
        <w:ind w:left="660" w:hanging="328"/>
        <w:spacing w:after="0"/>
        <w:tabs>
          <w:tab w:leader="none" w:pos="660" w:val="left"/>
        </w:tabs>
        <w:numPr>
          <w:ilvl w:val="0"/>
          <w:numId w:val="3"/>
        </w:numPr>
        <w:rPr>
          <w:rFonts w:ascii="Arial" w:cs="Arial" w:eastAsia="Arial" w:hAnsi="Arial"/>
          <w:sz w:val="11"/>
          <w:szCs w:val="11"/>
          <w:color w:val="auto"/>
        </w:rPr>
      </w:pPr>
      <w:r>
        <w:rPr>
          <w:rFonts w:ascii="Arial" w:cs="Arial" w:eastAsia="Arial" w:hAnsi="Arial"/>
          <w:sz w:val="14"/>
          <w:szCs w:val="14"/>
          <w:color w:val="auto"/>
        </w:rPr>
        <w:t>Investments are held at Fair Value net of the Fair Value of Unfunded Commitments. See Note 3 for additional detail.</w:t>
      </w:r>
    </w:p>
    <w:p>
      <w:pPr>
        <w:spacing w:after="0" w:line="95" w:lineRule="exact"/>
        <w:rPr>
          <w:rFonts w:ascii="Arial" w:cs="Arial" w:eastAsia="Arial" w:hAnsi="Arial"/>
          <w:sz w:val="11"/>
          <w:szCs w:val="11"/>
          <w:color w:val="auto"/>
        </w:rPr>
      </w:pPr>
    </w:p>
    <w:p>
      <w:pPr>
        <w:ind w:left="660" w:hanging="328"/>
        <w:spacing w:after="0"/>
        <w:tabs>
          <w:tab w:leader="none" w:pos="660" w:val="left"/>
        </w:tabs>
        <w:numPr>
          <w:ilvl w:val="0"/>
          <w:numId w:val="3"/>
        </w:numPr>
        <w:rPr>
          <w:rFonts w:ascii="Arial" w:cs="Arial" w:eastAsia="Arial" w:hAnsi="Arial"/>
          <w:sz w:val="11"/>
          <w:szCs w:val="11"/>
          <w:color w:val="auto"/>
        </w:rPr>
      </w:pPr>
      <w:r>
        <w:rPr>
          <w:rFonts w:ascii="Arial" w:cs="Arial" w:eastAsia="Arial" w:hAnsi="Arial"/>
          <w:sz w:val="14"/>
          <w:szCs w:val="14"/>
          <w:color w:val="auto"/>
        </w:rPr>
        <w:t>Investments are non-income producing.</w:t>
      </w:r>
    </w:p>
    <w:p>
      <w:pPr>
        <w:spacing w:after="0" w:line="95" w:lineRule="exact"/>
        <w:rPr>
          <w:rFonts w:ascii="Arial" w:cs="Arial" w:eastAsia="Arial" w:hAnsi="Arial"/>
          <w:sz w:val="11"/>
          <w:szCs w:val="11"/>
          <w:color w:val="auto"/>
        </w:rPr>
      </w:pPr>
    </w:p>
    <w:p>
      <w:pPr>
        <w:ind w:left="660" w:right="20" w:hanging="328"/>
        <w:spacing w:after="0" w:line="253" w:lineRule="auto"/>
        <w:tabs>
          <w:tab w:leader="none" w:pos="660" w:val="left"/>
        </w:tabs>
        <w:numPr>
          <w:ilvl w:val="0"/>
          <w:numId w:val="3"/>
        </w:numPr>
        <w:rPr>
          <w:rFonts w:ascii="Arial" w:cs="Arial" w:eastAsia="Arial" w:hAnsi="Arial"/>
          <w:sz w:val="11"/>
          <w:szCs w:val="11"/>
          <w:color w:val="auto"/>
        </w:rPr>
      </w:pPr>
      <w:r>
        <w:rPr>
          <w:rFonts w:ascii="Arial" w:cs="Arial" w:eastAsia="Arial" w:hAnsi="Arial"/>
          <w:sz w:val="14"/>
          <w:szCs w:val="14"/>
          <w:color w:val="auto"/>
        </w:rPr>
        <w:t>The Credit Agreement (as defined in Note 10) is secured by a perfected first priority security interest in each of the Company’s senior secured term loan investments, except for the Mojix, Inc., Pivot3 Holdings, Inc., and The Kairn Corporation senior secured term loans.</w:t>
      </w:r>
    </w:p>
    <w:p>
      <w:pPr>
        <w:spacing w:after="0" w:line="92" w:lineRule="exact"/>
        <w:rPr>
          <w:rFonts w:ascii="Arial" w:cs="Arial" w:eastAsia="Arial" w:hAnsi="Arial"/>
          <w:sz w:val="11"/>
          <w:szCs w:val="11"/>
          <w:color w:val="auto"/>
        </w:rPr>
      </w:pPr>
    </w:p>
    <w:p>
      <w:pPr>
        <w:jc w:val="both"/>
        <w:ind w:left="660" w:hanging="328"/>
        <w:spacing w:after="0" w:line="238" w:lineRule="auto"/>
        <w:tabs>
          <w:tab w:leader="none" w:pos="660" w:val="left"/>
        </w:tabs>
        <w:numPr>
          <w:ilvl w:val="0"/>
          <w:numId w:val="3"/>
        </w:numPr>
        <w:rPr>
          <w:rFonts w:ascii="Arial" w:cs="Arial" w:eastAsia="Arial" w:hAnsi="Arial"/>
          <w:sz w:val="11"/>
          <w:szCs w:val="11"/>
          <w:color w:val="auto"/>
        </w:rPr>
      </w:pPr>
      <w:r>
        <w:rPr>
          <w:rFonts w:ascii="Arial" w:cs="Arial" w:eastAsia="Arial" w:hAnsi="Arial"/>
          <w:sz w:val="14"/>
          <w:szCs w:val="14"/>
          <w:color w:val="auto"/>
        </w:rPr>
        <w:t>Treasury bill with $20,000,000 par value was purchased pursuant to a 0.30% reverse repurchase agreement with Goldman Sachs dated June 30, 2021, due July 8, 2021, with a repurchase price of $19,900,000 collateralized by a 0.025% U.S. Treasury Bill due July 8, 2021 with a par value of 20,000,000 and fair value of $19,999,889.</w:t>
      </w:r>
    </w:p>
    <w:p>
      <w:pPr>
        <w:spacing w:after="0" w:line="74" w:lineRule="exact"/>
        <w:rPr>
          <w:rFonts w:ascii="Arial" w:cs="Arial" w:eastAsia="Arial" w:hAnsi="Arial"/>
          <w:sz w:val="11"/>
          <w:szCs w:val="11"/>
          <w:color w:val="auto"/>
        </w:rPr>
      </w:pPr>
    </w:p>
    <w:p>
      <w:pPr>
        <w:ind w:left="660" w:hanging="328"/>
        <w:spacing w:after="0"/>
        <w:tabs>
          <w:tab w:leader="none" w:pos="660" w:val="left"/>
        </w:tabs>
        <w:numPr>
          <w:ilvl w:val="0"/>
          <w:numId w:val="3"/>
        </w:numPr>
        <w:rPr>
          <w:rFonts w:ascii="Arial" w:cs="Arial" w:eastAsia="Arial" w:hAnsi="Arial"/>
          <w:sz w:val="11"/>
          <w:szCs w:val="11"/>
          <w:color w:val="auto"/>
        </w:rPr>
      </w:pPr>
      <w:r>
        <w:rPr>
          <w:rFonts w:ascii="Arial" w:cs="Arial" w:eastAsia="Arial" w:hAnsi="Arial"/>
          <w:sz w:val="14"/>
          <w:szCs w:val="14"/>
          <w:color w:val="auto"/>
        </w:rPr>
        <w:t>All investments are domiciled in the United States, unless otherwise noted.</w:t>
      </w:r>
    </w:p>
    <w:p>
      <w:pPr>
        <w:spacing w:after="0" w:line="95" w:lineRule="exact"/>
        <w:rPr>
          <w:rFonts w:ascii="Arial" w:cs="Arial" w:eastAsia="Arial" w:hAnsi="Arial"/>
          <w:sz w:val="11"/>
          <w:szCs w:val="11"/>
          <w:color w:val="auto"/>
        </w:rPr>
      </w:pPr>
    </w:p>
    <w:p>
      <w:pPr>
        <w:ind w:left="660" w:hanging="328"/>
        <w:spacing w:after="0"/>
        <w:tabs>
          <w:tab w:leader="none" w:pos="660" w:val="left"/>
        </w:tabs>
        <w:numPr>
          <w:ilvl w:val="0"/>
          <w:numId w:val="3"/>
        </w:numPr>
        <w:rPr>
          <w:rFonts w:ascii="Arial" w:cs="Arial" w:eastAsia="Arial" w:hAnsi="Arial"/>
          <w:sz w:val="11"/>
          <w:szCs w:val="11"/>
          <w:color w:val="auto"/>
        </w:rPr>
      </w:pPr>
      <w:r>
        <w:rPr>
          <w:rFonts w:ascii="Arial" w:cs="Arial" w:eastAsia="Arial" w:hAnsi="Arial"/>
          <w:sz w:val="14"/>
          <w:szCs w:val="14"/>
          <w:color w:val="auto"/>
        </w:rPr>
        <w:t>Investment is domiciled in Canada.</w:t>
      </w:r>
    </w:p>
    <w:p>
      <w:pPr>
        <w:spacing w:after="0" w:line="95" w:lineRule="exact"/>
        <w:rPr>
          <w:rFonts w:ascii="Arial" w:cs="Arial" w:eastAsia="Arial" w:hAnsi="Arial"/>
          <w:sz w:val="11"/>
          <w:szCs w:val="11"/>
          <w:color w:val="auto"/>
        </w:rPr>
      </w:pPr>
    </w:p>
    <w:p>
      <w:pPr>
        <w:ind w:left="660" w:hanging="328"/>
        <w:spacing w:after="0"/>
        <w:tabs>
          <w:tab w:leader="none" w:pos="660" w:val="left"/>
        </w:tabs>
        <w:numPr>
          <w:ilvl w:val="0"/>
          <w:numId w:val="3"/>
        </w:numPr>
        <w:rPr>
          <w:rFonts w:ascii="Arial" w:cs="Arial" w:eastAsia="Arial" w:hAnsi="Arial"/>
          <w:sz w:val="11"/>
          <w:szCs w:val="11"/>
          <w:color w:val="auto"/>
        </w:rPr>
      </w:pPr>
      <w:r>
        <w:rPr>
          <w:rFonts w:ascii="Arial" w:cs="Arial" w:eastAsia="Arial" w:hAnsi="Arial"/>
          <w:sz w:val="14"/>
          <w:szCs w:val="14"/>
          <w:color w:val="auto"/>
        </w:rPr>
        <w:t>Investment is domiciled in Germany.</w:t>
      </w:r>
    </w:p>
    <w:p>
      <w:pPr>
        <w:spacing w:after="0" w:line="95" w:lineRule="exact"/>
        <w:rPr>
          <w:rFonts w:ascii="Arial" w:cs="Arial" w:eastAsia="Arial" w:hAnsi="Arial"/>
          <w:sz w:val="11"/>
          <w:szCs w:val="11"/>
          <w:color w:val="auto"/>
        </w:rPr>
      </w:pPr>
    </w:p>
    <w:p>
      <w:pPr>
        <w:ind w:left="660" w:hanging="328"/>
        <w:spacing w:after="0"/>
        <w:tabs>
          <w:tab w:leader="none" w:pos="660" w:val="left"/>
        </w:tabs>
        <w:numPr>
          <w:ilvl w:val="0"/>
          <w:numId w:val="3"/>
        </w:numPr>
        <w:rPr>
          <w:rFonts w:ascii="Arial" w:cs="Arial" w:eastAsia="Arial" w:hAnsi="Arial"/>
          <w:sz w:val="11"/>
          <w:szCs w:val="11"/>
          <w:color w:val="auto"/>
        </w:rPr>
      </w:pPr>
      <w:r>
        <w:rPr>
          <w:rFonts w:ascii="Arial" w:cs="Arial" w:eastAsia="Arial" w:hAnsi="Arial"/>
          <w:sz w:val="14"/>
          <w:szCs w:val="14"/>
          <w:color w:val="auto"/>
        </w:rPr>
        <w:t>Investment is domiciled in the United Kingdom.</w:t>
      </w:r>
    </w:p>
    <w:p>
      <w:pPr>
        <w:spacing w:after="0" w:line="95" w:lineRule="exact"/>
        <w:rPr>
          <w:rFonts w:ascii="Arial" w:cs="Arial" w:eastAsia="Arial" w:hAnsi="Arial"/>
          <w:sz w:val="11"/>
          <w:szCs w:val="11"/>
          <w:color w:val="auto"/>
        </w:rPr>
      </w:pPr>
    </w:p>
    <w:p>
      <w:pPr>
        <w:ind w:left="660" w:hanging="328"/>
        <w:spacing w:after="0"/>
        <w:tabs>
          <w:tab w:leader="none" w:pos="660" w:val="left"/>
        </w:tabs>
        <w:numPr>
          <w:ilvl w:val="0"/>
          <w:numId w:val="3"/>
        </w:numPr>
        <w:rPr>
          <w:rFonts w:ascii="Arial" w:cs="Arial" w:eastAsia="Arial" w:hAnsi="Arial"/>
          <w:sz w:val="11"/>
          <w:szCs w:val="11"/>
          <w:color w:val="auto"/>
        </w:rPr>
      </w:pPr>
      <w:r>
        <w:rPr>
          <w:rFonts w:ascii="Arial" w:cs="Arial" w:eastAsia="Arial" w:hAnsi="Arial"/>
          <w:sz w:val="14"/>
          <w:szCs w:val="14"/>
          <w:color w:val="auto"/>
        </w:rPr>
        <w:t>Investment is either a cash success fee payable or earnout of shares based on the consummation of certain trigger events.</w:t>
      </w:r>
    </w:p>
    <w:p>
      <w:pPr>
        <w:spacing w:after="0" w:line="95" w:lineRule="exact"/>
        <w:rPr>
          <w:rFonts w:ascii="Arial" w:cs="Arial" w:eastAsia="Arial" w:hAnsi="Arial"/>
          <w:sz w:val="11"/>
          <w:szCs w:val="11"/>
          <w:color w:val="auto"/>
        </w:rPr>
      </w:pPr>
    </w:p>
    <w:p>
      <w:pPr>
        <w:ind w:left="660" w:hanging="328"/>
        <w:spacing w:after="0" w:line="253" w:lineRule="auto"/>
        <w:tabs>
          <w:tab w:leader="none" w:pos="660" w:val="left"/>
        </w:tabs>
        <w:numPr>
          <w:ilvl w:val="0"/>
          <w:numId w:val="3"/>
        </w:numPr>
        <w:rPr>
          <w:rFonts w:ascii="Arial" w:cs="Arial" w:eastAsia="Arial" w:hAnsi="Arial"/>
          <w:sz w:val="11"/>
          <w:szCs w:val="11"/>
          <w:color w:val="auto"/>
        </w:rPr>
      </w:pPr>
      <w:r>
        <w:rPr>
          <w:rFonts w:ascii="Arial" w:cs="Arial" w:eastAsia="Arial" w:hAnsi="Arial"/>
          <w:sz w:val="14"/>
          <w:szCs w:val="14"/>
          <w:color w:val="auto"/>
        </w:rPr>
        <w:t>Control investment, as defined under the 1940 Act, in which the Company owns at least 25% of the investment’s voting securities or has greater than 50% representation on its board.</w:t>
      </w:r>
    </w:p>
    <w:p>
      <w:pPr>
        <w:spacing w:after="0" w:line="65" w:lineRule="exact"/>
        <w:rPr>
          <w:rFonts w:ascii="Arial" w:cs="Arial" w:eastAsia="Arial" w:hAnsi="Arial"/>
          <w:sz w:val="11"/>
          <w:szCs w:val="11"/>
          <w:color w:val="auto"/>
        </w:rPr>
      </w:pPr>
    </w:p>
    <w:p>
      <w:pPr>
        <w:ind w:left="660" w:hanging="328"/>
        <w:spacing w:after="0"/>
        <w:tabs>
          <w:tab w:leader="none" w:pos="660" w:val="left"/>
        </w:tabs>
        <w:numPr>
          <w:ilvl w:val="0"/>
          <w:numId w:val="3"/>
        </w:numPr>
        <w:rPr>
          <w:rFonts w:ascii="Arial" w:cs="Arial" w:eastAsia="Arial" w:hAnsi="Arial"/>
          <w:sz w:val="11"/>
          <w:szCs w:val="11"/>
          <w:color w:val="auto"/>
        </w:rPr>
      </w:pPr>
      <w:r>
        <w:rPr>
          <w:rFonts w:ascii="Arial" w:cs="Arial" w:eastAsia="Arial" w:hAnsi="Arial"/>
          <w:sz w:val="14"/>
          <w:szCs w:val="14"/>
          <w:color w:val="auto"/>
        </w:rPr>
        <w:t>Investment is publicly traded and listed on NASDAQ.</w:t>
      </w:r>
    </w:p>
    <w:p>
      <w:pPr>
        <w:spacing w:after="0" w:line="136" w:lineRule="exact"/>
        <w:rPr>
          <w:rFonts w:ascii="Arial" w:cs="Arial" w:eastAsia="Arial" w:hAnsi="Arial"/>
          <w:sz w:val="11"/>
          <w:szCs w:val="11"/>
          <w:color w:val="auto"/>
        </w:rPr>
      </w:pPr>
    </w:p>
    <w:p>
      <w:pPr>
        <w:ind w:left="660" w:hanging="328"/>
        <w:spacing w:after="0"/>
        <w:tabs>
          <w:tab w:leader="none" w:pos="660" w:val="left"/>
        </w:tabs>
        <w:numPr>
          <w:ilvl w:val="0"/>
          <w:numId w:val="3"/>
        </w:numPr>
        <w:rPr>
          <w:rFonts w:ascii="Arial" w:cs="Arial" w:eastAsia="Arial" w:hAnsi="Arial"/>
          <w:sz w:val="11"/>
          <w:szCs w:val="11"/>
          <w:color w:val="auto"/>
        </w:rPr>
      </w:pPr>
      <w:r>
        <w:rPr>
          <w:rFonts w:ascii="Arial" w:cs="Arial" w:eastAsia="Arial" w:hAnsi="Arial"/>
          <w:sz w:val="14"/>
          <w:szCs w:val="14"/>
          <w:color w:val="auto"/>
        </w:rPr>
        <w:t>The warrant count is based upon a percentage of ownership of Fidelis Cybersecurity, Inc..</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14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following table shows the fair value of the portfolio company investments in which we are deemed to exercise a controlling influence over the management or policies of the portfolio company, as defined in the 1940 Act, due to beneficially owning, either directly or through one or more controlled companies, more than 25% of the outstanding voting securities of the portfolio company as of June 30, 2021, along with the transactions during the six months ended June 30, 2021:</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7"/>
          </w:tcPr>
          <w:p>
            <w:pPr>
              <w:jc w:val="right"/>
              <w:ind w:right="17"/>
              <w:spacing w:after="0"/>
              <w:rPr>
                <w:sz w:val="20"/>
                <w:szCs w:val="20"/>
                <w:color w:val="auto"/>
              </w:rPr>
            </w:pPr>
            <w:r>
              <w:rPr>
                <w:rFonts w:ascii="Arial" w:cs="Arial" w:eastAsia="Arial" w:hAnsi="Arial"/>
                <w:sz w:val="13"/>
                <w:szCs w:val="13"/>
                <w:b w:val="1"/>
                <w:bCs w:val="1"/>
                <w:color w:val="auto"/>
                <w:w w:val="91"/>
              </w:rPr>
              <w:t>For the Six Months Ended June 30, 2021</w:t>
            </w: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w w:val="94"/>
              </w:rPr>
              <w:t>Net Change in</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w w:val="99"/>
              </w:rPr>
              <w:t>Fair Value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Net Realized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1"/>
              </w:rPr>
              <w:t>Unrealized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0"/>
              </w:rPr>
              <w:t>Fair Value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337"/>
              <w:spacing w:after="0" w:line="135" w:lineRule="exact"/>
              <w:rPr>
                <w:sz w:val="20"/>
                <w:szCs w:val="20"/>
                <w:color w:val="auto"/>
              </w:rPr>
            </w:pPr>
            <w:r>
              <w:rPr>
                <w:rFonts w:ascii="Arial" w:cs="Arial" w:eastAsia="Arial" w:hAnsi="Arial"/>
                <w:sz w:val="13"/>
                <w:szCs w:val="13"/>
                <w:b w:val="1"/>
                <w:bCs w:val="1"/>
                <w:color w:val="auto"/>
              </w:rPr>
              <w:t>as of</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Gross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Gross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8"/>
              </w:rPr>
              <w:t>Gains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0"/>
              </w:rPr>
              <w:t>Appreciation</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78"/>
              </w:rPr>
              <w:t>as of</w:t>
            </w:r>
          </w:p>
        </w:tc>
        <w:tc>
          <w:tcPr>
            <w:tcW w:w="0" w:type="dxa"/>
            <w:vAlign w:val="bottom"/>
          </w:tcPr>
          <w:p>
            <w:pPr>
              <w:spacing w:after="0"/>
              <w:rPr>
                <w:sz w:val="1"/>
                <w:szCs w:val="1"/>
                <w:color w:val="auto"/>
              </w:rPr>
            </w:pPr>
          </w:p>
        </w:tc>
      </w:tr>
      <w:tr>
        <w:trPr>
          <w:trHeight w:val="153"/>
        </w:trPr>
        <w:tc>
          <w:tcPr>
            <w:tcW w:w="2100" w:type="dxa"/>
            <w:vAlign w:val="bottom"/>
            <w:gridSpan w:val="2"/>
          </w:tcPr>
          <w:p>
            <w:pPr>
              <w:spacing w:after="0" w:line="154" w:lineRule="exact"/>
              <w:rPr>
                <w:sz w:val="20"/>
                <w:szCs w:val="20"/>
                <w:color w:val="auto"/>
              </w:rPr>
            </w:pPr>
            <w:r>
              <w:rPr>
                <w:rFonts w:ascii="Arial" w:cs="Arial" w:eastAsia="Arial" w:hAnsi="Arial"/>
                <w:sz w:val="12"/>
                <w:szCs w:val="12"/>
                <w:b w:val="1"/>
                <w:bCs w:val="1"/>
                <w:color w:val="auto"/>
              </w:rPr>
              <w:t>Portfolio Company</w:t>
            </w:r>
            <w:r>
              <w:rPr>
                <w:rFonts w:ascii="Arial" w:cs="Arial" w:eastAsia="Arial" w:hAnsi="Arial"/>
                <w:sz w:val="17"/>
                <w:szCs w:val="17"/>
                <w:b w:val="1"/>
                <w:bCs w:val="1"/>
                <w:color w:val="auto"/>
                <w:vertAlign w:val="superscript"/>
              </w:rPr>
              <w:t>(4)</w:t>
            </w:r>
          </w:p>
        </w:tc>
        <w:tc>
          <w:tcPr>
            <w:tcW w:w="2460" w:type="dxa"/>
            <w:vAlign w:val="bottom"/>
            <w:gridSpan w:val="2"/>
          </w:tcPr>
          <w:p>
            <w:pPr>
              <w:ind w:left="60"/>
              <w:spacing w:after="0"/>
              <w:rPr>
                <w:sz w:val="20"/>
                <w:szCs w:val="20"/>
                <w:color w:val="auto"/>
              </w:rPr>
            </w:pPr>
            <w:r>
              <w:rPr>
                <w:rFonts w:ascii="Arial" w:cs="Arial" w:eastAsia="Arial" w:hAnsi="Arial"/>
                <w:sz w:val="13"/>
                <w:szCs w:val="13"/>
                <w:b w:val="1"/>
                <w:bCs w:val="1"/>
                <w:color w:val="auto"/>
              </w:rPr>
              <w:t>Investment Description</w:t>
            </w:r>
          </w:p>
        </w:tc>
        <w:tc>
          <w:tcPr>
            <w:tcW w:w="6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Arial" w:cs="Arial" w:eastAsia="Arial" w:hAnsi="Arial"/>
                <w:sz w:val="13"/>
                <w:szCs w:val="13"/>
                <w:b w:val="1"/>
                <w:bCs w:val="1"/>
                <w:color w:val="auto"/>
                <w:w w:val="87"/>
              </w:rPr>
              <w:t>December 31, 2020</w:t>
            </w:r>
          </w:p>
        </w:tc>
        <w:tc>
          <w:tcPr>
            <w:tcW w:w="60" w:type="dxa"/>
            <w:vAlign w:val="bottom"/>
          </w:tcPr>
          <w:p>
            <w:pPr>
              <w:spacing w:after="0"/>
              <w:rPr>
                <w:sz w:val="13"/>
                <w:szCs w:val="13"/>
                <w:color w:val="auto"/>
              </w:rPr>
            </w:pPr>
          </w:p>
        </w:tc>
        <w:tc>
          <w:tcPr>
            <w:tcW w:w="720" w:type="dxa"/>
            <w:vAlign w:val="bottom"/>
            <w:gridSpan w:val="2"/>
          </w:tcPr>
          <w:p>
            <w:pPr>
              <w:jc w:val="right"/>
              <w:spacing w:after="0" w:line="154" w:lineRule="exact"/>
              <w:rPr>
                <w:sz w:val="20"/>
                <w:szCs w:val="20"/>
                <w:color w:val="auto"/>
              </w:rPr>
            </w:pPr>
            <w:r>
              <w:rPr>
                <w:rFonts w:ascii="Arial" w:cs="Arial" w:eastAsia="Arial" w:hAnsi="Arial"/>
                <w:sz w:val="12"/>
                <w:szCs w:val="12"/>
                <w:b w:val="1"/>
                <w:bCs w:val="1"/>
                <w:color w:val="auto"/>
                <w:w w:val="95"/>
              </w:rPr>
              <w:t>Additions</w:t>
            </w:r>
            <w:r>
              <w:rPr>
                <w:rFonts w:ascii="Arial" w:cs="Arial" w:eastAsia="Arial" w:hAnsi="Arial"/>
                <w:sz w:val="17"/>
                <w:szCs w:val="17"/>
                <w:b w:val="1"/>
                <w:bCs w:val="1"/>
                <w:color w:val="auto"/>
                <w:w w:val="95"/>
                <w:vertAlign w:val="superscript"/>
              </w:rPr>
              <w:t>(1)</w:t>
            </w:r>
          </w:p>
        </w:tc>
        <w:tc>
          <w:tcPr>
            <w:tcW w:w="80" w:type="dxa"/>
            <w:vAlign w:val="bottom"/>
          </w:tcPr>
          <w:p>
            <w:pPr>
              <w:spacing w:after="0"/>
              <w:rPr>
                <w:sz w:val="13"/>
                <w:szCs w:val="13"/>
                <w:color w:val="auto"/>
              </w:rPr>
            </w:pPr>
          </w:p>
        </w:tc>
        <w:tc>
          <w:tcPr>
            <w:tcW w:w="760" w:type="dxa"/>
            <w:vAlign w:val="bottom"/>
            <w:gridSpan w:val="2"/>
          </w:tcPr>
          <w:p>
            <w:pPr>
              <w:jc w:val="right"/>
              <w:spacing w:after="0" w:line="154" w:lineRule="exact"/>
              <w:rPr>
                <w:sz w:val="20"/>
                <w:szCs w:val="20"/>
                <w:color w:val="auto"/>
              </w:rPr>
            </w:pPr>
            <w:r>
              <w:rPr>
                <w:rFonts w:ascii="Arial" w:cs="Arial" w:eastAsia="Arial" w:hAnsi="Arial"/>
                <w:sz w:val="12"/>
                <w:szCs w:val="12"/>
                <w:b w:val="1"/>
                <w:bCs w:val="1"/>
                <w:color w:val="auto"/>
                <w:w w:val="90"/>
              </w:rPr>
              <w:t>Reductions</w:t>
            </w:r>
            <w:r>
              <w:rPr>
                <w:rFonts w:ascii="Arial" w:cs="Arial" w:eastAsia="Arial" w:hAnsi="Arial"/>
                <w:sz w:val="17"/>
                <w:szCs w:val="17"/>
                <w:b w:val="1"/>
                <w:bCs w:val="1"/>
                <w:color w:val="auto"/>
                <w:w w:val="90"/>
                <w:vertAlign w:val="superscript"/>
              </w:rPr>
              <w:t>(2)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center"/>
              <w:ind w:right="17"/>
              <w:spacing w:after="0"/>
              <w:rPr>
                <w:sz w:val="20"/>
                <w:szCs w:val="20"/>
                <w:color w:val="auto"/>
              </w:rPr>
            </w:pPr>
            <w:r>
              <w:rPr>
                <w:rFonts w:ascii="Arial" w:cs="Arial" w:eastAsia="Arial" w:hAnsi="Arial"/>
                <w:sz w:val="13"/>
                <w:szCs w:val="13"/>
                <w:b w:val="1"/>
                <w:bCs w:val="1"/>
                <w:color w:val="auto"/>
                <w:w w:val="82"/>
              </w:rPr>
              <w:t>(Losses)</w:t>
            </w:r>
          </w:p>
        </w:tc>
        <w:tc>
          <w:tcPr>
            <w:tcW w:w="60" w:type="dxa"/>
            <w:vAlign w:val="bottom"/>
          </w:tcPr>
          <w:p>
            <w:pPr>
              <w:spacing w:after="0"/>
              <w:rPr>
                <w:sz w:val="13"/>
                <w:szCs w:val="13"/>
                <w:color w:val="auto"/>
              </w:rPr>
            </w:pP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(Depreciation)</w:t>
            </w:r>
          </w:p>
        </w:tc>
        <w:tc>
          <w:tcPr>
            <w:tcW w:w="60" w:type="dxa"/>
            <w:vAlign w:val="bottom"/>
          </w:tcPr>
          <w:p>
            <w:pPr>
              <w:spacing w:after="0"/>
              <w:rPr>
                <w:sz w:val="13"/>
                <w:szCs w:val="13"/>
                <w:color w:val="auto"/>
              </w:rPr>
            </w:pPr>
          </w:p>
        </w:tc>
        <w:tc>
          <w:tcPr>
            <w:tcW w:w="880" w:type="dxa"/>
            <w:vAlign w:val="bottom"/>
            <w:gridSpan w:val="2"/>
          </w:tcPr>
          <w:p>
            <w:pPr>
              <w:jc w:val="center"/>
              <w:spacing w:after="0" w:line="154" w:lineRule="exact"/>
              <w:rPr>
                <w:sz w:val="20"/>
                <w:szCs w:val="20"/>
                <w:color w:val="auto"/>
              </w:rPr>
            </w:pPr>
            <w:r>
              <w:rPr>
                <w:rFonts w:ascii="Arial" w:cs="Arial" w:eastAsia="Arial" w:hAnsi="Arial"/>
                <w:sz w:val="12"/>
                <w:szCs w:val="12"/>
                <w:b w:val="1"/>
                <w:bCs w:val="1"/>
                <w:color w:val="auto"/>
                <w:w w:val="91"/>
              </w:rPr>
              <w:t>June 30, 2021</w:t>
            </w:r>
            <w:r>
              <w:rPr>
                <w:rFonts w:ascii="Arial" w:cs="Arial" w:eastAsia="Arial" w:hAnsi="Arial"/>
                <w:sz w:val="17"/>
                <w:szCs w:val="17"/>
                <w:b w:val="1"/>
                <w:bCs w:val="1"/>
                <w:color w:val="auto"/>
                <w:w w:val="91"/>
                <w:vertAlign w:val="superscript"/>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Senior Secured Term Loans</w:t>
            </w:r>
          </w:p>
        </w:tc>
        <w:tc>
          <w:tcPr>
            <w:tcW w:w="60" w:type="dxa"/>
            <w:vAlign w:val="bottom"/>
            <w:tcBorders>
              <w:top w:val="single" w:sz="8" w:color="CCEEFF"/>
            </w:tcBorders>
            <w:shd w:val="clear" w:color="auto" w:fill="CCEEFF"/>
          </w:tcPr>
          <w:p>
            <w:pPr>
              <w:spacing w:after="0"/>
              <w:rPr>
                <w:sz w:val="11"/>
                <w:szCs w:val="11"/>
                <w:color w:val="auto"/>
              </w:rPr>
            </w:pPr>
          </w:p>
        </w:tc>
        <w:tc>
          <w:tcPr>
            <w:tcW w:w="24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tcPr>
          <w:p>
            <w:pPr>
              <w:spacing w:after="0" w:line="121" w:lineRule="exact"/>
              <w:rPr>
                <w:sz w:val="20"/>
                <w:szCs w:val="20"/>
                <w:color w:val="auto"/>
              </w:rPr>
            </w:pPr>
            <w:r>
              <w:rPr>
                <w:rFonts w:ascii="Arial" w:cs="Arial" w:eastAsia="Arial" w:hAnsi="Arial"/>
                <w:sz w:val="13"/>
                <w:szCs w:val="13"/>
                <w:color w:val="auto"/>
              </w:rPr>
              <w:t>Mojix, Inc.</w:t>
            </w:r>
          </w:p>
        </w:tc>
        <w:tc>
          <w:tcPr>
            <w:tcW w:w="2460" w:type="dxa"/>
            <w:vAlign w:val="bottom"/>
            <w:gridSpan w:val="2"/>
          </w:tcPr>
          <w:p>
            <w:pPr>
              <w:ind w:left="60"/>
              <w:spacing w:after="0" w:line="121" w:lineRule="exact"/>
              <w:rPr>
                <w:sz w:val="20"/>
                <w:szCs w:val="20"/>
                <w:color w:val="auto"/>
              </w:rPr>
            </w:pPr>
            <w:r>
              <w:rPr>
                <w:rFonts w:ascii="Arial" w:cs="Arial" w:eastAsia="Arial" w:hAnsi="Arial"/>
                <w:sz w:val="13"/>
                <w:szCs w:val="13"/>
                <w:color w:val="auto"/>
                <w:w w:val="91"/>
              </w:rPr>
              <w:t>Tranche I: LIBOR+12.00% PIK, 12.00% floor,</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460" w:type="dxa"/>
            <w:vAlign w:val="bottom"/>
            <w:gridSpan w:val="2"/>
          </w:tcPr>
          <w:p>
            <w:pPr>
              <w:ind w:left="60"/>
              <w:spacing w:after="0"/>
              <w:rPr>
                <w:sz w:val="20"/>
                <w:szCs w:val="20"/>
                <w:color w:val="auto"/>
              </w:rPr>
            </w:pPr>
            <w:r>
              <w:rPr>
                <w:rFonts w:ascii="Arial" w:cs="Arial" w:eastAsia="Arial" w:hAnsi="Arial"/>
                <w:sz w:val="13"/>
                <w:szCs w:val="13"/>
                <w:color w:val="auto"/>
              </w:rPr>
              <w:t>5% ETP, due 7/15/2021</w:t>
            </w:r>
          </w:p>
        </w:tc>
        <w:tc>
          <w:tcPr>
            <w:tcW w:w="22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4,913,150</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ind w:left="440"/>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1,070,739</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5,983,889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shd w:val="clear" w:color="auto" w:fill="CCEEFF"/>
          </w:tcPr>
          <w:p>
            <w:pPr>
              <w:spacing w:after="0"/>
              <w:rPr>
                <w:sz w:val="10"/>
                <w:szCs w:val="10"/>
                <w:color w:val="auto"/>
              </w:rPr>
            </w:pPr>
          </w:p>
        </w:tc>
        <w:tc>
          <w:tcPr>
            <w:tcW w:w="2460" w:type="dxa"/>
            <w:vAlign w:val="bottom"/>
            <w:gridSpan w:val="2"/>
            <w:shd w:val="clear" w:color="auto" w:fill="CCEEFF"/>
          </w:tcPr>
          <w:p>
            <w:pPr>
              <w:ind w:left="60"/>
              <w:spacing w:after="0" w:line="121" w:lineRule="exact"/>
              <w:rPr>
                <w:sz w:val="20"/>
                <w:szCs w:val="20"/>
                <w:color w:val="auto"/>
              </w:rPr>
            </w:pPr>
            <w:r>
              <w:rPr>
                <w:rFonts w:ascii="Arial" w:cs="Arial" w:eastAsia="Arial" w:hAnsi="Arial"/>
                <w:sz w:val="13"/>
                <w:szCs w:val="13"/>
                <w:color w:val="auto"/>
              </w:rPr>
              <w:t>Tranche II: LIBOR+12.00% PIK, 12.00%</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24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floor, 5% ETP, due 7/15/2021</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1,637,717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356,913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1,994,630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460" w:type="dxa"/>
            <w:vAlign w:val="bottom"/>
            <w:gridSpan w:val="2"/>
          </w:tcPr>
          <w:p>
            <w:pPr>
              <w:ind w:left="60"/>
              <w:spacing w:after="0" w:line="121" w:lineRule="exact"/>
              <w:rPr>
                <w:sz w:val="20"/>
                <w:szCs w:val="20"/>
                <w:color w:val="auto"/>
              </w:rPr>
            </w:pPr>
            <w:r>
              <w:rPr>
                <w:rFonts w:ascii="Arial" w:cs="Arial" w:eastAsia="Arial" w:hAnsi="Arial"/>
                <w:sz w:val="13"/>
                <w:szCs w:val="13"/>
                <w:color w:val="auto"/>
              </w:rPr>
              <w:t>Tranche III: LIBOR+12.00% PIK, 12.00%</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460" w:type="dxa"/>
            <w:vAlign w:val="bottom"/>
            <w:gridSpan w:val="2"/>
          </w:tcPr>
          <w:p>
            <w:pPr>
              <w:ind w:left="60"/>
              <w:spacing w:after="0"/>
              <w:rPr>
                <w:sz w:val="20"/>
                <w:szCs w:val="20"/>
                <w:color w:val="auto"/>
              </w:rPr>
            </w:pPr>
            <w:r>
              <w:rPr>
                <w:rFonts w:ascii="Arial" w:cs="Arial" w:eastAsia="Arial" w:hAnsi="Arial"/>
                <w:sz w:val="13"/>
                <w:szCs w:val="13"/>
                <w:color w:val="auto"/>
              </w:rPr>
              <w:t>floor, 5% ETP, due 7/15/2021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409,016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4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89,138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498,154</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shd w:val="clear" w:color="auto" w:fill="CCEEFF"/>
          </w:tcPr>
          <w:p>
            <w:pPr>
              <w:spacing w:after="0"/>
              <w:rPr>
                <w:sz w:val="10"/>
                <w:szCs w:val="10"/>
                <w:color w:val="auto"/>
              </w:rPr>
            </w:pPr>
          </w:p>
        </w:tc>
        <w:tc>
          <w:tcPr>
            <w:tcW w:w="2460" w:type="dxa"/>
            <w:vAlign w:val="bottom"/>
            <w:gridSpan w:val="2"/>
            <w:shd w:val="clear" w:color="auto" w:fill="CCEEFF"/>
          </w:tcPr>
          <w:p>
            <w:pPr>
              <w:ind w:left="60"/>
              <w:spacing w:after="0" w:line="121" w:lineRule="exact"/>
              <w:rPr>
                <w:sz w:val="20"/>
                <w:szCs w:val="20"/>
                <w:color w:val="auto"/>
              </w:rPr>
            </w:pPr>
            <w:r>
              <w:rPr>
                <w:rFonts w:ascii="Arial" w:cs="Arial" w:eastAsia="Arial" w:hAnsi="Arial"/>
                <w:sz w:val="13"/>
                <w:szCs w:val="13"/>
                <w:color w:val="auto"/>
              </w:rPr>
              <w:t>Tranche IV: LIBOR+12.00% PIK, 12.00%</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24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floor, 5% ETP, due 7/15/2021</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408,445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89,014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497,459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460" w:type="dxa"/>
            <w:vAlign w:val="bottom"/>
            <w:gridSpan w:val="2"/>
          </w:tcPr>
          <w:p>
            <w:pPr>
              <w:ind w:left="60"/>
              <w:spacing w:after="0" w:line="121" w:lineRule="exact"/>
              <w:rPr>
                <w:sz w:val="20"/>
                <w:szCs w:val="20"/>
                <w:color w:val="auto"/>
              </w:rPr>
            </w:pPr>
            <w:r>
              <w:rPr>
                <w:rFonts w:ascii="Arial" w:cs="Arial" w:eastAsia="Arial" w:hAnsi="Arial"/>
                <w:sz w:val="13"/>
                <w:szCs w:val="13"/>
                <w:color w:val="auto"/>
              </w:rPr>
              <w:t>Tranche V: LIBOR+12.00% PIK, 12.00%</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460" w:type="dxa"/>
            <w:vAlign w:val="bottom"/>
            <w:gridSpan w:val="2"/>
          </w:tcPr>
          <w:p>
            <w:pPr>
              <w:ind w:left="60"/>
              <w:spacing w:after="0"/>
              <w:rPr>
                <w:sz w:val="20"/>
                <w:szCs w:val="20"/>
                <w:color w:val="auto"/>
              </w:rPr>
            </w:pPr>
            <w:r>
              <w:rPr>
                <w:rFonts w:ascii="Arial" w:cs="Arial" w:eastAsia="Arial" w:hAnsi="Arial"/>
                <w:sz w:val="13"/>
                <w:szCs w:val="13"/>
                <w:color w:val="auto"/>
              </w:rPr>
              <w:t>floor, 5% ETP, due 7/15/2021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813,382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4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177,263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990,645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shd w:val="clear" w:color="auto" w:fill="CCEEFF"/>
          </w:tcPr>
          <w:p>
            <w:pPr>
              <w:spacing w:after="0"/>
              <w:rPr>
                <w:sz w:val="10"/>
                <w:szCs w:val="10"/>
                <w:color w:val="auto"/>
              </w:rPr>
            </w:pPr>
          </w:p>
        </w:tc>
        <w:tc>
          <w:tcPr>
            <w:tcW w:w="2460" w:type="dxa"/>
            <w:vAlign w:val="bottom"/>
            <w:gridSpan w:val="2"/>
            <w:shd w:val="clear" w:color="auto" w:fill="CCEEFF"/>
          </w:tcPr>
          <w:p>
            <w:pPr>
              <w:ind w:left="60"/>
              <w:spacing w:after="0" w:line="121" w:lineRule="exact"/>
              <w:rPr>
                <w:sz w:val="20"/>
                <w:szCs w:val="20"/>
                <w:color w:val="auto"/>
              </w:rPr>
            </w:pPr>
            <w:r>
              <w:rPr>
                <w:rFonts w:ascii="Arial" w:cs="Arial" w:eastAsia="Arial" w:hAnsi="Arial"/>
                <w:sz w:val="13"/>
                <w:szCs w:val="13"/>
                <w:color w:val="auto"/>
              </w:rPr>
              <w:t>Tranche VI: LIBOR+12.00% PIK, 12.00%</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24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floor, 5% ETP, due 7/31/2021</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779,370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169,851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949,221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460" w:type="dxa"/>
            <w:vAlign w:val="bottom"/>
            <w:gridSpan w:val="2"/>
          </w:tcPr>
          <w:p>
            <w:pPr>
              <w:ind w:left="60"/>
              <w:spacing w:after="0" w:line="121" w:lineRule="exact"/>
              <w:rPr>
                <w:sz w:val="20"/>
                <w:szCs w:val="20"/>
                <w:color w:val="auto"/>
              </w:rPr>
            </w:pPr>
            <w:r>
              <w:rPr>
                <w:rFonts w:ascii="Arial" w:cs="Arial" w:eastAsia="Arial" w:hAnsi="Arial"/>
                <w:sz w:val="13"/>
                <w:szCs w:val="13"/>
                <w:color w:val="auto"/>
                <w:w w:val="98"/>
              </w:rPr>
              <w:t>Tranche VII: LIBOR+12.00% PIK, 12.00%</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2460" w:type="dxa"/>
            <w:vAlign w:val="bottom"/>
            <w:tcBorders>
              <w:bottom w:val="single" w:sz="8" w:color="CCEEFF"/>
            </w:tcBorders>
            <w:gridSpan w:val="2"/>
          </w:tcPr>
          <w:p>
            <w:pPr>
              <w:ind w:left="60"/>
              <w:spacing w:after="0"/>
              <w:rPr>
                <w:sz w:val="20"/>
                <w:szCs w:val="20"/>
                <w:color w:val="auto"/>
              </w:rPr>
            </w:pPr>
            <w:r>
              <w:rPr>
                <w:rFonts w:ascii="Arial" w:cs="Arial" w:eastAsia="Arial" w:hAnsi="Arial"/>
                <w:sz w:val="13"/>
                <w:szCs w:val="13"/>
                <w:color w:val="auto"/>
              </w:rPr>
              <w:t>floor, due 4/30/21</w:t>
            </w: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500,000</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(500,000)</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8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9"/>
              </w:rPr>
              <w:t>Total Senior Secured Term Loans</w:t>
            </w:r>
          </w:p>
        </w:tc>
        <w:tc>
          <w:tcPr>
            <w:tcW w:w="6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8,961,080</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500,000.00</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(500,000.00)</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ind w:left="440"/>
              <w:spacing w:after="0" w:line="12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1,952,918</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10,913,998</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0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Preferred Stocks</w:t>
            </w:r>
          </w:p>
        </w:tc>
        <w:tc>
          <w:tcPr>
            <w:tcW w:w="6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tcPr>
          <w:p>
            <w:pPr>
              <w:spacing w:after="0" w:line="135" w:lineRule="exact"/>
              <w:rPr>
                <w:sz w:val="20"/>
                <w:szCs w:val="20"/>
                <w:color w:val="auto"/>
              </w:rPr>
            </w:pPr>
            <w:r>
              <w:rPr>
                <w:rFonts w:ascii="Arial" w:cs="Arial" w:eastAsia="Arial" w:hAnsi="Arial"/>
                <w:sz w:val="13"/>
                <w:szCs w:val="13"/>
                <w:color w:val="auto"/>
              </w:rPr>
              <w:t>Mojix, Inc.</w:t>
            </w:r>
          </w:p>
        </w:tc>
        <w:tc>
          <w:tcPr>
            <w:tcW w:w="60" w:type="dxa"/>
            <w:vAlign w:val="bottom"/>
          </w:tcPr>
          <w:p>
            <w:pPr>
              <w:spacing w:after="0"/>
              <w:rPr>
                <w:sz w:val="11"/>
                <w:szCs w:val="11"/>
                <w:color w:val="auto"/>
              </w:rPr>
            </w:pPr>
          </w:p>
        </w:tc>
        <w:tc>
          <w:tcPr>
            <w:tcW w:w="2400" w:type="dxa"/>
            <w:vAlign w:val="bottom"/>
          </w:tcPr>
          <w:p>
            <w:pPr>
              <w:ind w:left="40"/>
              <w:spacing w:after="0" w:line="135" w:lineRule="exact"/>
              <w:rPr>
                <w:sz w:val="20"/>
                <w:szCs w:val="20"/>
                <w:color w:val="auto"/>
              </w:rPr>
            </w:pPr>
            <w:r>
              <w:rPr>
                <w:rFonts w:ascii="Arial" w:cs="Arial" w:eastAsia="Arial" w:hAnsi="Arial"/>
                <w:sz w:val="13"/>
                <w:szCs w:val="13"/>
                <w:color w:val="auto"/>
              </w:rPr>
              <w:t>Series A-1 Preferred Stock</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884,774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ind w:left="4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224,172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1,108,946</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080" w:type="dxa"/>
            <w:vAlign w:val="bottom"/>
          </w:tcPr>
          <w:p>
            <w:pPr>
              <w:spacing w:after="0" w:line="135" w:lineRule="exact"/>
              <w:rPr>
                <w:sz w:val="20"/>
                <w:szCs w:val="20"/>
                <w:color w:val="auto"/>
              </w:rPr>
            </w:pPr>
            <w:r>
              <w:rPr>
                <w:rFonts w:ascii="Arial" w:cs="Arial" w:eastAsia="Arial" w:hAnsi="Arial"/>
                <w:sz w:val="13"/>
                <w:szCs w:val="13"/>
                <w:b w:val="1"/>
                <w:bCs w:val="1"/>
                <w:color w:val="auto"/>
              </w:rPr>
              <w:t>Warrants</w:t>
            </w:r>
          </w:p>
        </w:tc>
        <w:tc>
          <w:tcPr>
            <w:tcW w:w="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Mojix, Inc.</w:t>
            </w:r>
          </w:p>
        </w:tc>
        <w:tc>
          <w:tcPr>
            <w:tcW w:w="2460" w:type="dxa"/>
            <w:vAlign w:val="bottom"/>
            <w:gridSpan w:val="2"/>
            <w:shd w:val="clear" w:color="auto" w:fill="CCEEFF"/>
          </w:tcPr>
          <w:p>
            <w:pPr>
              <w:ind w:left="60"/>
              <w:spacing w:after="0" w:line="121" w:lineRule="exact"/>
              <w:rPr>
                <w:sz w:val="20"/>
                <w:szCs w:val="20"/>
                <w:color w:val="auto"/>
              </w:rPr>
            </w:pPr>
            <w:r>
              <w:rPr>
                <w:rFonts w:ascii="Arial" w:cs="Arial" w:eastAsia="Arial" w:hAnsi="Arial"/>
                <w:sz w:val="13"/>
                <w:szCs w:val="13"/>
                <w:color w:val="auto"/>
                <w:w w:val="97"/>
              </w:rPr>
              <w:t>Warrant for Common Stock, exercise price</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24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$1.286/share, expires 12/13/2030</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460" w:type="dxa"/>
            <w:vAlign w:val="bottom"/>
            <w:gridSpan w:val="2"/>
          </w:tcPr>
          <w:p>
            <w:pPr>
              <w:ind w:left="60"/>
              <w:spacing w:after="0" w:line="121" w:lineRule="exact"/>
              <w:rPr>
                <w:sz w:val="20"/>
                <w:szCs w:val="20"/>
                <w:color w:val="auto"/>
              </w:rPr>
            </w:pPr>
            <w:r>
              <w:rPr>
                <w:rFonts w:ascii="Arial" w:cs="Arial" w:eastAsia="Arial" w:hAnsi="Arial"/>
                <w:sz w:val="13"/>
                <w:szCs w:val="13"/>
                <w:color w:val="auto"/>
                <w:w w:val="97"/>
              </w:rPr>
              <w:t>Warrant for Common Stock, exercise price</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460" w:type="dxa"/>
            <w:vAlign w:val="bottom"/>
            <w:gridSpan w:val="2"/>
          </w:tcPr>
          <w:p>
            <w:pPr>
              <w:ind w:left="60"/>
              <w:spacing w:after="0"/>
              <w:rPr>
                <w:sz w:val="20"/>
                <w:szCs w:val="20"/>
                <w:color w:val="auto"/>
              </w:rPr>
            </w:pPr>
            <w:r>
              <w:rPr>
                <w:rFonts w:ascii="Arial" w:cs="Arial" w:eastAsia="Arial" w:hAnsi="Arial"/>
                <w:sz w:val="13"/>
                <w:szCs w:val="13"/>
                <w:color w:val="auto"/>
              </w:rPr>
              <w:t>$2.1286/share, expires 12/13/2030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4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shd w:val="clear" w:color="auto" w:fill="CCEEFF"/>
          </w:tcPr>
          <w:p>
            <w:pPr>
              <w:spacing w:after="0"/>
              <w:rPr>
                <w:sz w:val="10"/>
                <w:szCs w:val="10"/>
                <w:color w:val="auto"/>
              </w:rPr>
            </w:pPr>
          </w:p>
        </w:tc>
        <w:tc>
          <w:tcPr>
            <w:tcW w:w="2460" w:type="dxa"/>
            <w:vAlign w:val="bottom"/>
            <w:gridSpan w:val="2"/>
            <w:shd w:val="clear" w:color="auto" w:fill="CCEEFF"/>
          </w:tcPr>
          <w:p>
            <w:pPr>
              <w:ind w:left="60"/>
              <w:spacing w:after="0" w:line="121" w:lineRule="exact"/>
              <w:rPr>
                <w:sz w:val="20"/>
                <w:szCs w:val="20"/>
                <w:color w:val="auto"/>
              </w:rPr>
            </w:pPr>
            <w:r>
              <w:rPr>
                <w:rFonts w:ascii="Arial" w:cs="Arial" w:eastAsia="Arial" w:hAnsi="Arial"/>
                <w:sz w:val="13"/>
                <w:szCs w:val="13"/>
                <w:color w:val="auto"/>
                <w:w w:val="97"/>
              </w:rPr>
              <w:t>Warrant for Common Stock, exercise price</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24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$5.57338/share, expires 12/13/2030</w:t>
            </w:r>
          </w:p>
        </w:tc>
        <w:tc>
          <w:tcPr>
            <w:tcW w:w="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8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b w:val="1"/>
                <w:bCs w:val="1"/>
                <w:color w:val="auto"/>
              </w:rPr>
              <w:t>Total Warrants</w:t>
            </w:r>
          </w:p>
        </w:tc>
        <w:tc>
          <w:tcPr>
            <w:tcW w:w="60" w:type="dxa"/>
            <w:vAlign w:val="bottom"/>
            <w:tcBorders>
              <w:bottom w:val="single" w:sz="8" w:color="CCEEFF"/>
            </w:tcBorders>
          </w:tcPr>
          <w:p>
            <w:pPr>
              <w:spacing w:after="0"/>
              <w:rPr>
                <w:sz w:val="11"/>
                <w:szCs w:val="11"/>
                <w:color w:val="auto"/>
              </w:rPr>
            </w:pPr>
          </w:p>
        </w:tc>
        <w:tc>
          <w:tcPr>
            <w:tcW w:w="24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ind w:left="440"/>
              <w:spacing w:after="0" w:line="129"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8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8"/>
              </w:rPr>
              <w:t>Total Control/affiliate investments</w:t>
            </w:r>
          </w:p>
        </w:tc>
        <w:tc>
          <w:tcPr>
            <w:tcW w:w="60" w:type="dxa"/>
            <w:vAlign w:val="bottom"/>
            <w:tcBorders>
              <w:bottom w:val="single" w:sz="8" w:color="CCEEFF"/>
            </w:tcBorders>
            <w:shd w:val="clear" w:color="auto" w:fill="CCEEFF"/>
          </w:tcPr>
          <w:p>
            <w:pPr>
              <w:spacing w:after="0"/>
              <w:rPr>
                <w:sz w:val="11"/>
                <w:szCs w:val="11"/>
                <w:color w:val="auto"/>
              </w:rPr>
            </w:pPr>
          </w:p>
        </w:tc>
        <w:tc>
          <w:tcPr>
            <w:tcW w:w="24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9,845,854</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500,000</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(500,000)</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ind w:left="440"/>
              <w:spacing w:after="0" w:line="129"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2,177,090</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12,022,944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163195</wp:posOffset>
            </wp:positionV>
            <wp:extent cx="15684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26" w:lineRule="exact"/>
        <w:rPr>
          <w:sz w:val="20"/>
          <w:szCs w:val="20"/>
          <w:color w:val="auto"/>
        </w:rPr>
      </w:pPr>
    </w:p>
    <w:p>
      <w:pPr>
        <w:ind w:left="660" w:hanging="328"/>
        <w:spacing w:after="0" w:line="290" w:lineRule="auto"/>
        <w:tabs>
          <w:tab w:leader="none" w:pos="660" w:val="left"/>
        </w:tabs>
        <w:numPr>
          <w:ilvl w:val="0"/>
          <w:numId w:val="4"/>
        </w:numPr>
        <w:rPr>
          <w:rFonts w:ascii="Arial" w:cs="Arial" w:eastAsia="Arial" w:hAnsi="Arial"/>
          <w:sz w:val="10"/>
          <w:szCs w:val="10"/>
          <w:color w:val="auto"/>
        </w:rPr>
      </w:pPr>
      <w:r>
        <w:rPr>
          <w:rFonts w:ascii="Arial" w:cs="Arial" w:eastAsia="Arial" w:hAnsi="Arial"/>
          <w:sz w:val="13"/>
          <w:szCs w:val="13"/>
          <w:color w:val="auto"/>
        </w:rPr>
        <w:t>Gross additions includes increases in the basis of investments resulting from new portfolio investments, PIK interest, accretion of OID, the exchange of one or more existing investments for one or more new investments and the movement of an existing portfolio company into this category from a different category.</w:t>
      </w:r>
    </w:p>
    <w:p>
      <w:pPr>
        <w:spacing w:after="0" w:line="43" w:lineRule="exact"/>
        <w:rPr>
          <w:rFonts w:ascii="Arial" w:cs="Arial" w:eastAsia="Arial" w:hAnsi="Arial"/>
          <w:sz w:val="10"/>
          <w:szCs w:val="10"/>
          <w:color w:val="auto"/>
        </w:rPr>
      </w:pPr>
    </w:p>
    <w:p>
      <w:pPr>
        <w:jc w:val="both"/>
        <w:ind w:left="660" w:right="20" w:hanging="328"/>
        <w:spacing w:after="0" w:line="238" w:lineRule="auto"/>
        <w:tabs>
          <w:tab w:leader="none" w:pos="660" w:val="left"/>
        </w:tabs>
        <w:numPr>
          <w:ilvl w:val="0"/>
          <w:numId w:val="4"/>
        </w:numPr>
        <w:rPr>
          <w:rFonts w:ascii="Arial" w:cs="Arial" w:eastAsia="Arial" w:hAnsi="Arial"/>
          <w:sz w:val="11"/>
          <w:szCs w:val="11"/>
          <w:color w:val="auto"/>
        </w:rPr>
      </w:pPr>
      <w:r>
        <w:rPr>
          <w:rFonts w:ascii="Arial" w:cs="Arial" w:eastAsia="Arial" w:hAnsi="Arial"/>
          <w:sz w:val="14"/>
          <w:szCs w:val="14"/>
          <w:color w:val="auto"/>
        </w:rPr>
        <w:t>Gross reductions include decreases in the basis of investments resulting from principal collections related to investment repayments or sales, the exchange of one or more existing investments for one or more new investments and the movement of an existing portfolio company out of this category into a different category.</w:t>
      </w:r>
    </w:p>
    <w:p>
      <w:pPr>
        <w:spacing w:after="0" w:line="74" w:lineRule="exact"/>
        <w:rPr>
          <w:rFonts w:ascii="Arial" w:cs="Arial" w:eastAsia="Arial" w:hAnsi="Arial"/>
          <w:sz w:val="11"/>
          <w:szCs w:val="11"/>
          <w:color w:val="auto"/>
        </w:rPr>
      </w:pPr>
    </w:p>
    <w:p>
      <w:pPr>
        <w:ind w:left="660" w:right="20" w:hanging="328"/>
        <w:spacing w:after="0" w:line="253" w:lineRule="auto"/>
        <w:tabs>
          <w:tab w:leader="none" w:pos="660" w:val="left"/>
        </w:tabs>
        <w:numPr>
          <w:ilvl w:val="0"/>
          <w:numId w:val="4"/>
        </w:numPr>
        <w:rPr>
          <w:rFonts w:ascii="Arial" w:cs="Arial" w:eastAsia="Arial" w:hAnsi="Arial"/>
          <w:sz w:val="11"/>
          <w:szCs w:val="11"/>
          <w:color w:val="auto"/>
        </w:rPr>
      </w:pPr>
      <w:r>
        <w:rPr>
          <w:rFonts w:ascii="Arial" w:cs="Arial" w:eastAsia="Arial" w:hAnsi="Arial"/>
          <w:sz w:val="14"/>
          <w:szCs w:val="14"/>
          <w:color w:val="auto"/>
        </w:rPr>
        <w:t>All investments in the portfolio company, which as of June 30, 2021 represented 2.52% of the Company’s net assets, are restricted as to resale and were valued at fair value as determined in good faith by the Company’s Board of Directors.</w:t>
      </w:r>
    </w:p>
    <w:p>
      <w:pPr>
        <w:spacing w:after="0" w:line="65" w:lineRule="exact"/>
        <w:rPr>
          <w:rFonts w:ascii="Arial" w:cs="Arial" w:eastAsia="Arial" w:hAnsi="Arial"/>
          <w:sz w:val="11"/>
          <w:szCs w:val="11"/>
          <w:color w:val="auto"/>
        </w:rPr>
      </w:pPr>
    </w:p>
    <w:p>
      <w:pPr>
        <w:ind w:left="660" w:hanging="328"/>
        <w:spacing w:after="0"/>
        <w:tabs>
          <w:tab w:leader="none" w:pos="660" w:val="left"/>
        </w:tabs>
        <w:numPr>
          <w:ilvl w:val="0"/>
          <w:numId w:val="4"/>
        </w:numPr>
        <w:rPr>
          <w:rFonts w:ascii="Arial" w:cs="Arial" w:eastAsia="Arial" w:hAnsi="Arial"/>
          <w:sz w:val="11"/>
          <w:szCs w:val="11"/>
          <w:color w:val="auto"/>
        </w:rPr>
      </w:pPr>
      <w:r>
        <w:rPr>
          <w:rFonts w:ascii="Arial" w:cs="Arial" w:eastAsia="Arial" w:hAnsi="Arial"/>
          <w:sz w:val="14"/>
          <w:szCs w:val="14"/>
          <w:color w:val="auto"/>
        </w:rPr>
        <w:t>The Company earned no investment income from control investments.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tables show the fair value of our portfolio of investments (excluding any U.S. Treasury Bills held) by geographic region and industry as of June 30,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ind w:right="633"/>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Geographic Region</w:t>
            </w:r>
          </w:p>
        </w:tc>
        <w:tc>
          <w:tcPr>
            <w:tcW w:w="100" w:type="dxa"/>
            <w:vAlign w:val="bottom"/>
          </w:tcPr>
          <w:p>
            <w:pPr>
              <w:spacing w:after="0"/>
              <w:rPr>
                <w:sz w:val="10"/>
                <w:szCs w:val="10"/>
                <w:color w:val="auto"/>
              </w:rPr>
            </w:pPr>
          </w:p>
        </w:tc>
        <w:tc>
          <w:tcPr>
            <w:tcW w:w="128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8"/>
              </w:rPr>
              <w:t>Investments at</w:t>
            </w: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Percentage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4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5"/>
              </w:rPr>
              <w:t>Net Assets</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Western United States</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276,039,672</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57.78</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Northeastern United States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134,288,940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28.11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Northwestern United States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72,368,444</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Southeastern United States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47,150,499</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25,543,554</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17,110,084</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Central United States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14,534,370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Canada</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581,597</w:t>
            </w:r>
          </w:p>
        </w:tc>
        <w:tc>
          <w:tcPr>
            <w:tcW w:w="2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587,617,160</w:t>
            </w: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633"/>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Industry</w:t>
            </w:r>
          </w:p>
        </w:tc>
        <w:tc>
          <w:tcPr>
            <w:tcW w:w="100" w:type="dxa"/>
            <w:vAlign w:val="bottom"/>
          </w:tcPr>
          <w:p>
            <w:pPr>
              <w:spacing w:after="0"/>
              <w:rPr>
                <w:sz w:val="10"/>
                <w:szCs w:val="10"/>
                <w:color w:val="auto"/>
              </w:rPr>
            </w:pPr>
          </w:p>
        </w:tc>
        <w:tc>
          <w:tcPr>
            <w:tcW w:w="128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8"/>
              </w:rPr>
              <w:t>Investments at</w:t>
            </w: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Percentage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4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Fair Value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Net Assets</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Application Software</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167,775,535</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Healthcare Technology</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125,380,444</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26.24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Internet Retail</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84,339,455</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Internet Software &amp; Services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64,071,708</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Specialized Consumer Services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46,591,343</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Data Processing &amp; Outsourced Services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37,788,010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Human Resource &amp; Employment Services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25,543,554</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Education Services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20,969,520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 Hardware, Storage &amp; Peripherals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14,324,110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System Software</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570,597</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&amp; Electronics Retail</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251,884</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Advertising</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11,000</w:t>
            </w:r>
          </w:p>
        </w:tc>
        <w:tc>
          <w:tcPr>
            <w:tcW w:w="2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587,617,160</w:t>
            </w: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Schedule of Investments</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2020</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spacing w:after="0"/>
        <w:tabs>
          <w:tab w:leader="none" w:pos="2260" w:val="left"/>
        </w:tabs>
        <w:rPr>
          <w:sz w:val="20"/>
          <w:szCs w:val="20"/>
          <w:color w:val="auto"/>
        </w:rPr>
      </w:pPr>
      <w:r>
        <w:rPr>
          <w:rFonts w:ascii="Arial" w:cs="Arial" w:eastAsia="Arial" w:hAnsi="Arial"/>
          <w:sz w:val="14"/>
          <w:szCs w:val="14"/>
          <w:b w:val="1"/>
          <w:bCs w:val="1"/>
          <w:color w:val="auto"/>
        </w:rPr>
        <w:t>Portfolio Companies</w:t>
      </w:r>
      <w:r>
        <w:rPr>
          <w:sz w:val="20"/>
          <w:szCs w:val="20"/>
          <w:color w:val="auto"/>
        </w:rPr>
        <w:tab/>
      </w:r>
      <w:r>
        <w:rPr>
          <w:rFonts w:ascii="Arial" w:cs="Arial" w:eastAsia="Arial" w:hAnsi="Arial"/>
          <w:sz w:val="13"/>
          <w:szCs w:val="13"/>
          <w:b w:val="1"/>
          <w:bCs w:val="1"/>
          <w:color w:val="auto"/>
        </w:rPr>
        <w:t>Sub-Industry</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Control/affiliate investments</w:t>
      </w:r>
      <w:r>
        <w:rPr>
          <w:rFonts w:ascii="Arial" w:cs="Arial" w:eastAsia="Arial" w:hAnsi="Arial"/>
          <w:sz w:val="10"/>
          <w:szCs w:val="10"/>
          <w:b w:val="1"/>
          <w:bCs w:val="1"/>
          <w:u w:val="single" w:color="auto"/>
          <w:color w:val="auto"/>
        </w:rPr>
        <w:t>(14)</w:t>
      </w:r>
    </w:p>
    <w:p>
      <w:pPr>
        <w:spacing w:after="0" w:line="221" w:lineRule="auto"/>
        <w:rPr>
          <w:sz w:val="20"/>
          <w:szCs w:val="20"/>
          <w:color w:val="auto"/>
        </w:rPr>
      </w:pPr>
      <w:r>
        <w:rPr>
          <w:rFonts w:ascii="Arial" w:cs="Arial" w:eastAsia="Arial" w:hAnsi="Arial"/>
          <w:sz w:val="14"/>
          <w:szCs w:val="14"/>
          <w:b w:val="1"/>
          <w:bCs w:val="1"/>
          <w:color w:val="auto"/>
        </w:rPr>
        <w:t>Senior Secured Term Loans</w:t>
      </w:r>
      <w:r>
        <w:rPr>
          <w:rFonts w:ascii="Arial" w:cs="Arial" w:eastAsia="Arial" w:hAnsi="Arial"/>
          <w:sz w:val="10"/>
          <w:szCs w:val="10"/>
          <w:b w:val="1"/>
          <w:bCs w:val="1"/>
          <w:color w:val="auto"/>
        </w:rPr>
        <w:t>(13)</w:t>
      </w:r>
    </w:p>
    <w:p>
      <w:pPr>
        <w:ind w:left="2120" w:right="360" w:hanging="2119"/>
        <w:spacing w:after="0" w:line="271" w:lineRule="auto"/>
        <w:tabs>
          <w:tab w:leader="none" w:pos="2100" w:val="left"/>
        </w:tabs>
        <w:rPr>
          <w:sz w:val="20"/>
          <w:szCs w:val="20"/>
          <w:color w:val="auto"/>
        </w:rPr>
      </w:pPr>
      <w:r>
        <w:rPr>
          <w:rFonts w:ascii="Arial" w:cs="Arial" w:eastAsia="Arial" w:hAnsi="Arial"/>
          <w:sz w:val="14"/>
          <w:szCs w:val="14"/>
          <w:color w:val="auto"/>
        </w:rPr>
        <w:t>Mojix, Inc.</w:t>
      </w:r>
      <w:r>
        <w:rPr>
          <w:sz w:val="20"/>
          <w:szCs w:val="20"/>
          <w:color w:val="auto"/>
        </w:rPr>
        <w:tab/>
      </w:r>
      <w:r>
        <w:rPr>
          <w:rFonts w:ascii="Arial" w:cs="Arial" w:eastAsia="Arial" w:hAnsi="Arial"/>
          <w:sz w:val="13"/>
          <w:szCs w:val="13"/>
          <w:color w:val="auto"/>
        </w:rPr>
        <w:t>Application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Senior Secured Term</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Loans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Preferred Stocks</w:t>
      </w:r>
    </w:p>
    <w:p>
      <w:pPr>
        <w:spacing w:after="0" w:line="4" w:lineRule="exact"/>
        <w:rPr>
          <w:sz w:val="20"/>
          <w:szCs w:val="20"/>
          <w:color w:val="auto"/>
        </w:rPr>
      </w:pPr>
    </w:p>
    <w:p>
      <w:pPr>
        <w:ind w:left="2120" w:right="360" w:hanging="2119"/>
        <w:spacing w:after="0" w:line="271" w:lineRule="auto"/>
        <w:tabs>
          <w:tab w:leader="none" w:pos="2100" w:val="left"/>
        </w:tabs>
        <w:rPr>
          <w:sz w:val="20"/>
          <w:szCs w:val="20"/>
          <w:color w:val="auto"/>
        </w:rPr>
      </w:pPr>
      <w:r>
        <w:rPr>
          <w:rFonts w:ascii="Arial" w:cs="Arial" w:eastAsia="Arial" w:hAnsi="Arial"/>
          <w:sz w:val="14"/>
          <w:szCs w:val="14"/>
          <w:color w:val="auto"/>
        </w:rPr>
        <w:t>Mojix, Inc.</w:t>
      </w:r>
      <w:r>
        <w:rPr>
          <w:sz w:val="20"/>
          <w:szCs w:val="20"/>
          <w:color w:val="auto"/>
        </w:rPr>
        <w:tab/>
      </w:r>
      <w:r>
        <w:rPr>
          <w:rFonts w:ascii="Arial" w:cs="Arial" w:eastAsia="Arial" w:hAnsi="Arial"/>
          <w:sz w:val="13"/>
          <w:szCs w:val="13"/>
          <w:color w:val="auto"/>
        </w:rPr>
        <w:t>Application Software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(8)</w:t>
      </w:r>
    </w:p>
    <w:p>
      <w:pPr>
        <w:spacing w:after="0" w:line="4" w:lineRule="exact"/>
        <w:rPr>
          <w:sz w:val="20"/>
          <w:szCs w:val="20"/>
          <w:color w:val="auto"/>
        </w:rPr>
      </w:pPr>
    </w:p>
    <w:p>
      <w:pPr>
        <w:ind w:left="2120" w:right="360" w:hanging="2119"/>
        <w:spacing w:after="0" w:line="271" w:lineRule="auto"/>
        <w:tabs>
          <w:tab w:leader="none" w:pos="2100" w:val="left"/>
        </w:tabs>
        <w:rPr>
          <w:sz w:val="20"/>
          <w:szCs w:val="20"/>
          <w:color w:val="auto"/>
        </w:rPr>
      </w:pPr>
      <w:r>
        <w:rPr>
          <w:rFonts w:ascii="Arial" w:cs="Arial" w:eastAsia="Arial" w:hAnsi="Arial"/>
          <w:sz w:val="14"/>
          <w:szCs w:val="14"/>
          <w:color w:val="auto"/>
        </w:rPr>
        <w:t>Mojix, Inc.</w:t>
      </w:r>
      <w:r>
        <w:rPr>
          <w:sz w:val="20"/>
          <w:szCs w:val="20"/>
          <w:color w:val="auto"/>
        </w:rPr>
        <w:tab/>
      </w:r>
      <w:r>
        <w:rPr>
          <w:rFonts w:ascii="Arial" w:cs="Arial" w:eastAsia="Arial" w:hAnsi="Arial"/>
          <w:sz w:val="13"/>
          <w:szCs w:val="13"/>
          <w:color w:val="auto"/>
        </w:rPr>
        <w:t>Application Software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Warrants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Total Control/affiliate</w:t>
      </w:r>
    </w:p>
    <w:p>
      <w:pPr>
        <w:spacing w:after="0" w:line="221" w:lineRule="auto"/>
        <w:rPr>
          <w:sz w:val="20"/>
          <w:szCs w:val="20"/>
          <w:color w:val="auto"/>
        </w:rPr>
      </w:pPr>
      <w:r>
        <w:rPr>
          <w:rFonts w:ascii="Arial" w:cs="Arial" w:eastAsia="Arial" w:hAnsi="Arial"/>
          <w:sz w:val="14"/>
          <w:szCs w:val="14"/>
          <w:b w:val="1"/>
          <w:bCs w:val="1"/>
          <w:u w:val="single" w:color="auto"/>
          <w:color w:val="auto"/>
        </w:rPr>
        <w:t>investments</w:t>
      </w:r>
    </w:p>
    <w:p>
      <w:pPr>
        <w:spacing w:after="0" w:line="221" w:lineRule="auto"/>
        <w:rPr>
          <w:sz w:val="20"/>
          <w:szCs w:val="20"/>
          <w:color w:val="auto"/>
        </w:rPr>
      </w:pPr>
      <w:r>
        <w:rPr>
          <w:rFonts w:ascii="Arial" w:cs="Arial" w:eastAsia="Arial" w:hAnsi="Arial"/>
          <w:sz w:val="14"/>
          <w:szCs w:val="14"/>
          <w:b w:val="1"/>
          <w:bCs w:val="1"/>
          <w:u w:val="single" w:color="auto"/>
          <w:color w:val="auto"/>
        </w:rPr>
        <w:t>Non-control/non-affiliate</w:t>
      </w:r>
    </w:p>
    <w:p>
      <w:pPr>
        <w:spacing w:after="0" w:line="222" w:lineRule="auto"/>
        <w:rPr>
          <w:sz w:val="20"/>
          <w:szCs w:val="20"/>
          <w:color w:val="auto"/>
        </w:rPr>
      </w:pPr>
      <w:r>
        <w:rPr>
          <w:rFonts w:ascii="Arial" w:cs="Arial" w:eastAsia="Arial" w:hAnsi="Arial"/>
          <w:sz w:val="14"/>
          <w:szCs w:val="14"/>
          <w:b w:val="1"/>
          <w:bCs w:val="1"/>
          <w:u w:val="single" w:color="auto"/>
          <w:color w:val="auto"/>
        </w:rPr>
        <w:t>investments</w:t>
      </w:r>
    </w:p>
    <w:p>
      <w:pPr>
        <w:spacing w:after="0" w:line="221" w:lineRule="auto"/>
        <w:rPr>
          <w:sz w:val="20"/>
          <w:szCs w:val="20"/>
          <w:color w:val="auto"/>
        </w:rPr>
      </w:pPr>
      <w:r>
        <w:rPr>
          <w:rFonts w:ascii="Arial" w:cs="Arial" w:eastAsia="Arial" w:hAnsi="Arial"/>
          <w:sz w:val="14"/>
          <w:szCs w:val="14"/>
          <w:b w:val="1"/>
          <w:bCs w:val="1"/>
          <w:color w:val="auto"/>
        </w:rPr>
        <w:t>Corporate Bond</w:t>
      </w:r>
    </w:p>
    <w:p>
      <w:pPr>
        <w:spacing w:after="0" w:line="237" w:lineRule="auto"/>
        <w:rPr>
          <w:sz w:val="20"/>
          <w:szCs w:val="20"/>
          <w:color w:val="auto"/>
        </w:rPr>
      </w:pPr>
      <w:r>
        <w:rPr>
          <w:rFonts w:ascii="Arial" w:cs="Arial" w:eastAsia="Arial" w:hAnsi="Arial"/>
          <w:sz w:val="14"/>
          <w:szCs w:val="14"/>
          <w:color w:val="auto"/>
        </w:rPr>
        <w:t>TriplePoint Venture Growth BDC Specialty Finance Corp.</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Senior Secured Term Loans</w:t>
      </w:r>
      <w:r>
        <w:rPr>
          <w:rFonts w:ascii="Arial" w:cs="Arial" w:eastAsia="Arial" w:hAnsi="Arial"/>
          <w:sz w:val="10"/>
          <w:szCs w:val="10"/>
          <w:b w:val="1"/>
          <w:bCs w:val="1"/>
          <w:color w:val="auto"/>
        </w:rPr>
        <w:t>(13)</w:t>
      </w:r>
    </w:p>
    <w:p>
      <w:pPr>
        <w:spacing w:after="0" w:line="4" w:lineRule="exact"/>
        <w:rPr>
          <w:sz w:val="20"/>
          <w:szCs w:val="20"/>
          <w:color w:val="auto"/>
        </w:rPr>
      </w:pPr>
    </w:p>
    <w:p>
      <w:pPr>
        <w:ind w:left="2120" w:right="360" w:hanging="2119"/>
        <w:spacing w:after="0" w:line="271" w:lineRule="auto"/>
        <w:tabs>
          <w:tab w:leader="none" w:pos="2100" w:val="left"/>
        </w:tabs>
        <w:rPr>
          <w:sz w:val="20"/>
          <w:szCs w:val="20"/>
          <w:color w:val="auto"/>
        </w:rPr>
      </w:pPr>
      <w:r>
        <w:rPr>
          <w:rFonts w:ascii="Arial" w:cs="Arial" w:eastAsia="Arial" w:hAnsi="Arial"/>
          <w:sz w:val="14"/>
          <w:szCs w:val="14"/>
          <w:color w:val="auto"/>
        </w:rPr>
        <w:t>Aria Systems, Inc.</w:t>
      </w:r>
      <w:r>
        <w:rPr>
          <w:sz w:val="20"/>
          <w:szCs w:val="20"/>
          <w:color w:val="auto"/>
        </w:rPr>
        <w:tab/>
      </w:r>
      <w:r>
        <w:rPr>
          <w:rFonts w:ascii="Arial" w:cs="Arial" w:eastAsia="Arial" w:hAnsi="Arial"/>
          <w:sz w:val="13"/>
          <w:szCs w:val="13"/>
          <w:color w:val="auto"/>
        </w:rPr>
        <w:t>Application Software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Acquisition</w:t>
            </w:r>
          </w:p>
        </w:tc>
        <w:tc>
          <w:tcPr>
            <w:tcW w:w="80" w:type="dxa"/>
            <w:vAlign w:val="bottom"/>
          </w:tcPr>
          <w:p>
            <w:pPr>
              <w:spacing w:after="0"/>
              <w:rPr>
                <w:sz w:val="14"/>
                <w:szCs w:val="14"/>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3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80" w:type="dxa"/>
            <w:vAlign w:val="bottom"/>
            <w:vMerge w:val="restart"/>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Cost</w:t>
            </w:r>
          </w:p>
        </w:tc>
        <w:tc>
          <w:tcPr>
            <w:tcW w:w="10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(2),(8)</w:t>
            </w: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23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420"/>
        </w:trPr>
        <w:tc>
          <w:tcPr>
            <w:tcW w:w="23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Tranche I: LIBOR+12.00% PIK,</w:t>
            </w:r>
          </w:p>
        </w:tc>
        <w:tc>
          <w:tcPr>
            <w:tcW w:w="8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400" w:type="dxa"/>
            <w:vAlign w:val="bottom"/>
            <w:gridSpan w:val="2"/>
          </w:tcPr>
          <w:p>
            <w:pPr>
              <w:spacing w:after="0" w:line="157" w:lineRule="exact"/>
              <w:rPr>
                <w:sz w:val="20"/>
                <w:szCs w:val="20"/>
                <w:color w:val="auto"/>
              </w:rPr>
            </w:pPr>
            <w:r>
              <w:rPr>
                <w:rFonts w:ascii="Arial" w:cs="Arial" w:eastAsia="Arial" w:hAnsi="Arial"/>
                <w:sz w:val="14"/>
                <w:szCs w:val="14"/>
                <w:color w:val="auto"/>
              </w:rPr>
              <w:t>12.00% floor, 5% ETP, due 5/15/2021</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5/16/2017</w:t>
            </w: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color w:val="auto"/>
              </w:rPr>
              <w:t>$  6,519,240</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  6,502,036</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   4,913,150</w:t>
            </w:r>
          </w:p>
        </w:tc>
        <w:tc>
          <w:tcPr>
            <w:tcW w:w="80" w:type="dxa"/>
            <w:vAlign w:val="bottom"/>
          </w:tcPr>
          <w:p>
            <w:pPr>
              <w:spacing w:after="0"/>
              <w:rPr>
                <w:sz w:val="13"/>
                <w:szCs w:val="13"/>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color w:val="auto"/>
              </w:rPr>
              <w:t>1.05 %</w:t>
            </w:r>
          </w:p>
        </w:tc>
        <w:tc>
          <w:tcPr>
            <w:tcW w:w="0" w:type="dxa"/>
            <w:vAlign w:val="bottom"/>
          </w:tcPr>
          <w:p>
            <w:pPr>
              <w:spacing w:after="0"/>
              <w:rPr>
                <w:sz w:val="1"/>
                <w:szCs w:val="1"/>
                <w:color w:val="auto"/>
              </w:rPr>
            </w:pPr>
          </w:p>
        </w:tc>
      </w:tr>
      <w:tr>
        <w:trPr>
          <w:trHeight w:val="113"/>
        </w:trPr>
        <w:tc>
          <w:tcPr>
            <w:tcW w:w="2320" w:type="dxa"/>
            <w:vAlign w:val="bottom"/>
          </w:tcPr>
          <w:p>
            <w:pPr>
              <w:spacing w:after="0" w:line="113" w:lineRule="exact"/>
              <w:rPr>
                <w:sz w:val="20"/>
                <w:szCs w:val="20"/>
                <w:color w:val="auto"/>
              </w:rPr>
            </w:pPr>
            <w:r>
              <w:rPr>
                <w:rFonts w:ascii="Arial" w:cs="Arial" w:eastAsia="Arial" w:hAnsi="Arial"/>
                <w:sz w:val="11"/>
                <w:szCs w:val="11"/>
                <w:color w:val="auto"/>
              </w:rPr>
              <w:t>(4)</w:t>
            </w:r>
          </w:p>
        </w:tc>
        <w:tc>
          <w:tcPr>
            <w:tcW w:w="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400" w:type="dxa"/>
            <w:vAlign w:val="bottom"/>
            <w:gridSpan w:val="2"/>
          </w:tcPr>
          <w:p>
            <w:pPr>
              <w:spacing w:after="0" w:line="149" w:lineRule="exact"/>
              <w:rPr>
                <w:sz w:val="20"/>
                <w:szCs w:val="20"/>
                <w:color w:val="auto"/>
              </w:rPr>
            </w:pPr>
            <w:r>
              <w:rPr>
                <w:rFonts w:ascii="Arial" w:cs="Arial" w:eastAsia="Arial" w:hAnsi="Arial"/>
                <w:sz w:val="14"/>
                <w:szCs w:val="14"/>
                <w:color w:val="auto"/>
              </w:rPr>
              <w:t>Tranche II: LIBOR+12.00% PIK,</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400" w:type="dxa"/>
            <w:vAlign w:val="bottom"/>
            <w:gridSpan w:val="2"/>
          </w:tcPr>
          <w:p>
            <w:pPr>
              <w:spacing w:after="0" w:line="157" w:lineRule="exact"/>
              <w:rPr>
                <w:sz w:val="20"/>
                <w:szCs w:val="20"/>
                <w:color w:val="auto"/>
              </w:rPr>
            </w:pPr>
            <w:r>
              <w:rPr>
                <w:rFonts w:ascii="Arial" w:cs="Arial" w:eastAsia="Arial" w:hAnsi="Arial"/>
                <w:sz w:val="14"/>
                <w:szCs w:val="14"/>
                <w:color w:val="auto"/>
              </w:rPr>
              <w:t>12.00% floor, 5% ETP, due 5/15/2021</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8/3/2017</w:t>
            </w: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color w:val="auto"/>
              </w:rPr>
              <w:t>2,173,080</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2,170,069</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1,637,717</w:t>
            </w:r>
          </w:p>
        </w:tc>
        <w:tc>
          <w:tcPr>
            <w:tcW w:w="8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0.35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320" w:type="dxa"/>
            <w:vAlign w:val="bottom"/>
          </w:tcPr>
          <w:p>
            <w:pPr>
              <w:spacing w:after="0" w:line="113" w:lineRule="exact"/>
              <w:rPr>
                <w:sz w:val="20"/>
                <w:szCs w:val="20"/>
                <w:color w:val="auto"/>
              </w:rPr>
            </w:pPr>
            <w:r>
              <w:rPr>
                <w:rFonts w:ascii="Arial" w:cs="Arial" w:eastAsia="Arial" w:hAnsi="Arial"/>
                <w:sz w:val="11"/>
                <w:szCs w:val="11"/>
                <w:color w:val="auto"/>
              </w:rPr>
              <w:t>(4)</w:t>
            </w:r>
          </w:p>
        </w:tc>
        <w:tc>
          <w:tcPr>
            <w:tcW w:w="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400" w:type="dxa"/>
            <w:vAlign w:val="bottom"/>
            <w:gridSpan w:val="2"/>
          </w:tcPr>
          <w:p>
            <w:pPr>
              <w:spacing w:after="0" w:line="149" w:lineRule="exact"/>
              <w:rPr>
                <w:sz w:val="20"/>
                <w:szCs w:val="20"/>
                <w:color w:val="auto"/>
              </w:rPr>
            </w:pPr>
            <w:r>
              <w:rPr>
                <w:rFonts w:ascii="Arial" w:cs="Arial" w:eastAsia="Arial" w:hAnsi="Arial"/>
                <w:sz w:val="14"/>
                <w:szCs w:val="14"/>
                <w:color w:val="auto"/>
              </w:rPr>
              <w:t>Tranche III: LIBOR+12.00% PIK,</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400" w:type="dxa"/>
            <w:vAlign w:val="bottom"/>
            <w:gridSpan w:val="2"/>
          </w:tcPr>
          <w:p>
            <w:pPr>
              <w:spacing w:after="0" w:line="157" w:lineRule="exact"/>
              <w:rPr>
                <w:sz w:val="20"/>
                <w:szCs w:val="20"/>
                <w:color w:val="auto"/>
              </w:rPr>
            </w:pPr>
            <w:r>
              <w:rPr>
                <w:rFonts w:ascii="Arial" w:cs="Arial" w:eastAsia="Arial" w:hAnsi="Arial"/>
                <w:sz w:val="14"/>
                <w:szCs w:val="14"/>
                <w:color w:val="auto"/>
              </w:rPr>
              <w:t>12.00% floor, 5% ETP, due 5/15/2021</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7/6/2018</w:t>
            </w: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color w:val="auto"/>
              </w:rPr>
              <w:t>542,721</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543,783</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409,016</w:t>
            </w:r>
          </w:p>
        </w:tc>
        <w:tc>
          <w:tcPr>
            <w:tcW w:w="8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0.09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320" w:type="dxa"/>
            <w:vAlign w:val="bottom"/>
          </w:tcPr>
          <w:p>
            <w:pPr>
              <w:spacing w:after="0" w:line="113" w:lineRule="exact"/>
              <w:rPr>
                <w:sz w:val="20"/>
                <w:szCs w:val="20"/>
                <w:color w:val="auto"/>
              </w:rPr>
            </w:pPr>
            <w:r>
              <w:rPr>
                <w:rFonts w:ascii="Arial" w:cs="Arial" w:eastAsia="Arial" w:hAnsi="Arial"/>
                <w:sz w:val="11"/>
                <w:szCs w:val="11"/>
                <w:color w:val="auto"/>
              </w:rPr>
              <w:t>(4)</w:t>
            </w:r>
          </w:p>
        </w:tc>
        <w:tc>
          <w:tcPr>
            <w:tcW w:w="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400" w:type="dxa"/>
            <w:vAlign w:val="bottom"/>
            <w:gridSpan w:val="2"/>
          </w:tcPr>
          <w:p>
            <w:pPr>
              <w:spacing w:after="0" w:line="149" w:lineRule="exact"/>
              <w:rPr>
                <w:sz w:val="20"/>
                <w:szCs w:val="20"/>
                <w:color w:val="auto"/>
              </w:rPr>
            </w:pPr>
            <w:r>
              <w:rPr>
                <w:rFonts w:ascii="Arial" w:cs="Arial" w:eastAsia="Arial" w:hAnsi="Arial"/>
                <w:sz w:val="14"/>
                <w:szCs w:val="14"/>
                <w:color w:val="auto"/>
              </w:rPr>
              <w:t>Tranche IV: LIBOR+12.00% PIK,</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400" w:type="dxa"/>
            <w:vAlign w:val="bottom"/>
            <w:gridSpan w:val="2"/>
          </w:tcPr>
          <w:p>
            <w:pPr>
              <w:spacing w:after="0" w:line="157" w:lineRule="exact"/>
              <w:rPr>
                <w:sz w:val="20"/>
                <w:szCs w:val="20"/>
                <w:color w:val="auto"/>
              </w:rPr>
            </w:pPr>
            <w:r>
              <w:rPr>
                <w:rFonts w:ascii="Arial" w:cs="Arial" w:eastAsia="Arial" w:hAnsi="Arial"/>
                <w:sz w:val="14"/>
                <w:szCs w:val="14"/>
                <w:color w:val="auto"/>
              </w:rPr>
              <w:t>12.00% floor, 5% ETP, due 5/15/2021</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9/5/2018</w:t>
            </w: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color w:val="auto"/>
              </w:rPr>
              <w:t>541,964</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542,215</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408,445</w:t>
            </w:r>
          </w:p>
        </w:tc>
        <w:tc>
          <w:tcPr>
            <w:tcW w:w="8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0.09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320" w:type="dxa"/>
            <w:vAlign w:val="bottom"/>
          </w:tcPr>
          <w:p>
            <w:pPr>
              <w:spacing w:after="0" w:line="113" w:lineRule="exact"/>
              <w:rPr>
                <w:sz w:val="20"/>
                <w:szCs w:val="20"/>
                <w:color w:val="auto"/>
              </w:rPr>
            </w:pPr>
            <w:r>
              <w:rPr>
                <w:rFonts w:ascii="Arial" w:cs="Arial" w:eastAsia="Arial" w:hAnsi="Arial"/>
                <w:sz w:val="11"/>
                <w:szCs w:val="11"/>
                <w:color w:val="auto"/>
              </w:rPr>
              <w:t>(4)</w:t>
            </w:r>
          </w:p>
        </w:tc>
        <w:tc>
          <w:tcPr>
            <w:tcW w:w="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400" w:type="dxa"/>
            <w:vAlign w:val="bottom"/>
            <w:gridSpan w:val="2"/>
          </w:tcPr>
          <w:p>
            <w:pPr>
              <w:spacing w:after="0" w:line="149" w:lineRule="exact"/>
              <w:rPr>
                <w:sz w:val="20"/>
                <w:szCs w:val="20"/>
                <w:color w:val="auto"/>
              </w:rPr>
            </w:pPr>
            <w:r>
              <w:rPr>
                <w:rFonts w:ascii="Arial" w:cs="Arial" w:eastAsia="Arial" w:hAnsi="Arial"/>
                <w:sz w:val="14"/>
                <w:szCs w:val="14"/>
                <w:color w:val="auto"/>
              </w:rPr>
              <w:t>Tranche V: LIBOR+12.00% PIK,</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400" w:type="dxa"/>
            <w:vAlign w:val="bottom"/>
            <w:gridSpan w:val="2"/>
          </w:tcPr>
          <w:p>
            <w:pPr>
              <w:spacing w:after="0" w:line="157" w:lineRule="exact"/>
              <w:rPr>
                <w:sz w:val="20"/>
                <w:szCs w:val="20"/>
                <w:color w:val="auto"/>
              </w:rPr>
            </w:pPr>
            <w:r>
              <w:rPr>
                <w:rFonts w:ascii="Arial" w:cs="Arial" w:eastAsia="Arial" w:hAnsi="Arial"/>
                <w:sz w:val="14"/>
                <w:szCs w:val="14"/>
                <w:color w:val="auto"/>
              </w:rPr>
              <w:t>12.00% floor, 5% ETP, due 5/15/2021</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1/28/2019</w:t>
            </w: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color w:val="auto"/>
              </w:rPr>
              <w:t>1,079,293</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1,073,081</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813,382</w:t>
            </w:r>
          </w:p>
        </w:tc>
        <w:tc>
          <w:tcPr>
            <w:tcW w:w="8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320" w:type="dxa"/>
            <w:vAlign w:val="bottom"/>
          </w:tcPr>
          <w:p>
            <w:pPr>
              <w:spacing w:after="0" w:line="113" w:lineRule="exact"/>
              <w:rPr>
                <w:sz w:val="20"/>
                <w:szCs w:val="20"/>
                <w:color w:val="auto"/>
              </w:rPr>
            </w:pPr>
            <w:r>
              <w:rPr>
                <w:rFonts w:ascii="Arial" w:cs="Arial" w:eastAsia="Arial" w:hAnsi="Arial"/>
                <w:sz w:val="11"/>
                <w:szCs w:val="11"/>
                <w:color w:val="auto"/>
              </w:rPr>
              <w:t>(4)</w:t>
            </w:r>
          </w:p>
        </w:tc>
        <w:tc>
          <w:tcPr>
            <w:tcW w:w="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400" w:type="dxa"/>
            <w:vAlign w:val="bottom"/>
            <w:gridSpan w:val="2"/>
          </w:tcPr>
          <w:p>
            <w:pPr>
              <w:spacing w:after="0" w:line="149" w:lineRule="exact"/>
              <w:rPr>
                <w:sz w:val="20"/>
                <w:szCs w:val="20"/>
                <w:color w:val="auto"/>
              </w:rPr>
            </w:pPr>
            <w:r>
              <w:rPr>
                <w:rFonts w:ascii="Arial" w:cs="Arial" w:eastAsia="Arial" w:hAnsi="Arial"/>
                <w:sz w:val="14"/>
                <w:szCs w:val="14"/>
                <w:color w:val="auto"/>
              </w:rPr>
              <w:t>Tranche VI: LIBOR+12.00% PIK,</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400" w:type="dxa"/>
            <w:vAlign w:val="bottom"/>
            <w:gridSpan w:val="2"/>
          </w:tcPr>
          <w:p>
            <w:pPr>
              <w:spacing w:after="0" w:line="157" w:lineRule="exact"/>
              <w:rPr>
                <w:sz w:val="20"/>
                <w:szCs w:val="20"/>
                <w:color w:val="auto"/>
              </w:rPr>
            </w:pPr>
            <w:r>
              <w:rPr>
                <w:rFonts w:ascii="Arial" w:cs="Arial" w:eastAsia="Arial" w:hAnsi="Arial"/>
                <w:sz w:val="14"/>
                <w:szCs w:val="14"/>
                <w:color w:val="auto"/>
              </w:rPr>
              <w:t>12.00% floor, 5% ETP, due 4/30/2021</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w w:val="94"/>
              </w:rPr>
              <w:t>12/18/2019</w:t>
            </w: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color w:val="auto"/>
              </w:rPr>
              <w:t>1,034,143</w:t>
            </w:r>
          </w:p>
        </w:tc>
        <w:tc>
          <w:tcPr>
            <w:tcW w:w="80" w:type="dxa"/>
            <w:vAlign w:val="bottom"/>
            <w:vMerge w:val="restart"/>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1,034,143</w:t>
            </w:r>
          </w:p>
        </w:tc>
        <w:tc>
          <w:tcPr>
            <w:tcW w:w="80" w:type="dxa"/>
            <w:vAlign w:val="bottom"/>
            <w:vMerge w:val="restart"/>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779,370</w:t>
            </w:r>
          </w:p>
        </w:tc>
        <w:tc>
          <w:tcPr>
            <w:tcW w:w="8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320" w:type="dxa"/>
            <w:vAlign w:val="bottom"/>
          </w:tcPr>
          <w:p>
            <w:pPr>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2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11,865,327</w:t>
            </w:r>
          </w:p>
        </w:tc>
        <w:tc>
          <w:tcPr>
            <w:tcW w:w="8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8,961,080</w:t>
            </w:r>
          </w:p>
        </w:tc>
        <w:tc>
          <w:tcPr>
            <w:tcW w:w="80" w:type="dxa"/>
            <w:vAlign w:val="bottom"/>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2400" w:type="dxa"/>
            <w:vAlign w:val="bottom"/>
            <w:gridSpan w:val="2"/>
          </w:tcPr>
          <w:p>
            <w:pPr>
              <w:ind w:left="40"/>
              <w:spacing w:after="0"/>
              <w:rPr>
                <w:sz w:val="20"/>
                <w:szCs w:val="20"/>
                <w:color w:val="auto"/>
              </w:rPr>
            </w:pPr>
            <w:r>
              <w:rPr>
                <w:rFonts w:ascii="Arial" w:cs="Arial" w:eastAsia="Arial" w:hAnsi="Arial"/>
                <w:sz w:val="14"/>
                <w:szCs w:val="14"/>
                <w:color w:val="auto"/>
              </w:rPr>
              <w:t xml:space="preserve">Series A-1 Preferred Stock </w:t>
            </w:r>
            <w:r>
              <w:rPr>
                <w:rFonts w:ascii="Arial" w:cs="Arial" w:eastAsia="Arial" w:hAnsi="Arial"/>
                <w:sz w:val="10"/>
                <w:szCs w:val="10"/>
                <w:color w:val="auto"/>
              </w:rPr>
              <w:t>(7)</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w w:val="94"/>
              </w:rPr>
              <w:t>12/14/2020</w:t>
            </w: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color w:val="auto"/>
              </w:rPr>
              <w:t>67,114,092</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800,000</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884,774</w:t>
            </w:r>
          </w:p>
        </w:tc>
        <w:tc>
          <w:tcPr>
            <w:tcW w:w="80" w:type="dxa"/>
            <w:vAlign w:val="bottom"/>
          </w:tcPr>
          <w:p>
            <w:pPr>
              <w:spacing w:after="0"/>
              <w:rPr>
                <w:sz w:val="24"/>
                <w:szCs w:val="24"/>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0.19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2"/>
        </w:trPr>
        <w:tc>
          <w:tcPr>
            <w:tcW w:w="2400" w:type="dxa"/>
            <w:vAlign w:val="bottom"/>
            <w:gridSpan w:val="2"/>
          </w:tcPr>
          <w:p>
            <w:pPr>
              <w:ind w:left="40"/>
              <w:spacing w:after="0"/>
              <w:rPr>
                <w:sz w:val="20"/>
                <w:szCs w:val="20"/>
                <w:color w:val="auto"/>
              </w:rPr>
            </w:pPr>
            <w:r>
              <w:rPr>
                <w:rFonts w:ascii="Arial" w:cs="Arial" w:eastAsia="Arial" w:hAnsi="Arial"/>
                <w:sz w:val="14"/>
                <w:szCs w:val="14"/>
                <w:color w:val="auto"/>
              </w:rPr>
              <w:t>Warrant for Common Stock, exercise</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400" w:type="dxa"/>
            <w:vAlign w:val="bottom"/>
            <w:gridSpan w:val="2"/>
          </w:tcPr>
          <w:p>
            <w:pPr>
              <w:spacing w:after="0" w:line="149" w:lineRule="exact"/>
              <w:rPr>
                <w:sz w:val="20"/>
                <w:szCs w:val="20"/>
                <w:color w:val="auto"/>
              </w:rPr>
            </w:pPr>
            <w:r>
              <w:rPr>
                <w:rFonts w:ascii="Arial" w:cs="Arial" w:eastAsia="Arial" w:hAnsi="Arial"/>
                <w:sz w:val="14"/>
                <w:szCs w:val="14"/>
                <w:color w:val="auto"/>
                <w:w w:val="98"/>
              </w:rPr>
              <w:t>price $1.286/share, expires 12/13/2030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4"/>
              </w:rPr>
              <w:t>12/14/2020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2,349</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119,320</w:t>
            </w:r>
          </w:p>
        </w:tc>
        <w:tc>
          <w:tcPr>
            <w:tcW w:w="8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4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Warrant for Common Stock, exercise</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gridSpan w:val="2"/>
          </w:tcPr>
          <w:p>
            <w:pPr>
              <w:spacing w:after="0" w:line="149" w:lineRule="exact"/>
              <w:rPr>
                <w:sz w:val="20"/>
                <w:szCs w:val="20"/>
                <w:color w:val="auto"/>
              </w:rPr>
            </w:pPr>
            <w:r>
              <w:rPr>
                <w:rFonts w:ascii="Arial" w:cs="Arial" w:eastAsia="Arial" w:hAnsi="Arial"/>
                <w:sz w:val="14"/>
                <w:szCs w:val="14"/>
                <w:color w:val="auto"/>
                <w:w w:val="94"/>
              </w:rPr>
              <w:t>price $2.1286/share, expires 12/13/2030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4"/>
              </w:rPr>
              <w:t>12/14/2020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5,873</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298,325</w:t>
            </w:r>
          </w:p>
        </w:tc>
        <w:tc>
          <w:tcPr>
            <w:tcW w:w="8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Warrant for Common Stock, exercise</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gridSpan w:val="2"/>
          </w:tcPr>
          <w:p>
            <w:pPr>
              <w:spacing w:after="0" w:line="149" w:lineRule="exact"/>
              <w:rPr>
                <w:sz w:val="20"/>
                <w:szCs w:val="20"/>
                <w:color w:val="auto"/>
              </w:rPr>
            </w:pPr>
            <w:r>
              <w:rPr>
                <w:rFonts w:ascii="Arial" w:cs="Arial" w:eastAsia="Arial" w:hAnsi="Arial"/>
                <w:sz w:val="14"/>
                <w:szCs w:val="14"/>
                <w:color w:val="auto"/>
              </w:rPr>
              <w:t>price $5.57338/share, expires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20" w:type="dxa"/>
            <w:vAlign w:val="bottom"/>
          </w:tcPr>
          <w:p>
            <w:pPr>
              <w:spacing w:after="0"/>
              <w:rPr>
                <w:sz w:val="20"/>
                <w:szCs w:val="20"/>
                <w:color w:val="auto"/>
              </w:rPr>
            </w:pPr>
            <w:r>
              <w:rPr>
                <w:rFonts w:ascii="Arial" w:cs="Arial" w:eastAsia="Arial" w:hAnsi="Arial"/>
                <w:sz w:val="14"/>
                <w:szCs w:val="14"/>
                <w:color w:val="auto"/>
              </w:rPr>
              <w:t>12/13/2030</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12/14/2020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394,733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828,522</w:t>
            </w:r>
          </w:p>
        </w:tc>
        <w:tc>
          <w:tcPr>
            <w:tcW w:w="8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1,246,167</w:t>
            </w:r>
          </w:p>
        </w:tc>
        <w:tc>
          <w:tcPr>
            <w:tcW w:w="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13,911,494</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9,845,854</w:t>
            </w:r>
          </w:p>
        </w:tc>
        <w:tc>
          <w:tcPr>
            <w:tcW w:w="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2.11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2400" w:type="dxa"/>
            <w:vAlign w:val="bottom"/>
            <w:gridSpan w:val="2"/>
          </w:tcPr>
          <w:p>
            <w:pPr>
              <w:spacing w:after="0"/>
              <w:rPr>
                <w:sz w:val="20"/>
                <w:szCs w:val="20"/>
                <w:color w:val="auto"/>
              </w:rPr>
            </w:pPr>
            <w:r>
              <w:rPr>
                <w:rFonts w:ascii="Arial" w:cs="Arial" w:eastAsia="Arial" w:hAnsi="Arial"/>
                <w:sz w:val="14"/>
                <w:szCs w:val="14"/>
                <w:color w:val="auto"/>
              </w:rPr>
              <w:t>Bonds, 5.75% Interest rate, due</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320" w:type="dxa"/>
            <w:vAlign w:val="bottom"/>
          </w:tcPr>
          <w:p>
            <w:pPr>
              <w:spacing w:after="0"/>
              <w:rPr>
                <w:sz w:val="20"/>
                <w:szCs w:val="20"/>
                <w:color w:val="auto"/>
              </w:rPr>
            </w:pPr>
            <w:r>
              <w:rPr>
                <w:rFonts w:ascii="Arial" w:cs="Arial" w:eastAsia="Arial" w:hAnsi="Arial"/>
                <w:sz w:val="14"/>
                <w:szCs w:val="14"/>
                <w:color w:val="auto"/>
              </w:rPr>
              <w:t xml:space="preserve">7/15/2022 </w:t>
            </w:r>
            <w:r>
              <w:rPr>
                <w:rFonts w:ascii="Arial" w:cs="Arial" w:eastAsia="Arial" w:hAnsi="Arial"/>
                <w:sz w:val="10"/>
                <w:szCs w:val="10"/>
                <w:color w:val="auto"/>
              </w:rPr>
              <w:t>(3)</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3/23/2020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13,227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253,095</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333,453</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0.07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2400" w:type="dxa"/>
            <w:vAlign w:val="bottom"/>
            <w:gridSpan w:val="2"/>
          </w:tcPr>
          <w:p>
            <w:pPr>
              <w:spacing w:after="0"/>
              <w:rPr>
                <w:sz w:val="20"/>
                <w:szCs w:val="20"/>
                <w:color w:val="auto"/>
              </w:rPr>
            </w:pPr>
            <w:r>
              <w:rPr>
                <w:rFonts w:ascii="Arial" w:cs="Arial" w:eastAsia="Arial" w:hAnsi="Arial"/>
                <w:sz w:val="14"/>
                <w:szCs w:val="14"/>
                <w:color w:val="auto"/>
              </w:rPr>
              <w:t>Tranche I: LIBOR+9.00%, 11.35%</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400" w:type="dxa"/>
            <w:vAlign w:val="bottom"/>
            <w:gridSpan w:val="2"/>
          </w:tcPr>
          <w:p>
            <w:pPr>
              <w:spacing w:after="0" w:line="149" w:lineRule="exact"/>
              <w:rPr>
                <w:sz w:val="20"/>
                <w:szCs w:val="20"/>
                <w:color w:val="auto"/>
              </w:rPr>
            </w:pPr>
            <w:r>
              <w:rPr>
                <w:rFonts w:ascii="Arial" w:cs="Arial" w:eastAsia="Arial" w:hAnsi="Arial"/>
                <w:sz w:val="14"/>
                <w:szCs w:val="14"/>
                <w:color w:val="auto"/>
              </w:rPr>
              <w:t>floor, 4.50% ETP, due 12/15/2021</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6/29/2018</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25,573,394</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26,487,949</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5.68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gridSpan w:val="2"/>
          </w:tcPr>
          <w:p>
            <w:pPr>
              <w:spacing w:after="0" w:line="149" w:lineRule="exact"/>
              <w:rPr>
                <w:sz w:val="20"/>
                <w:szCs w:val="20"/>
                <w:color w:val="auto"/>
              </w:rPr>
            </w:pPr>
            <w:r>
              <w:rPr>
                <w:rFonts w:ascii="Arial" w:cs="Arial" w:eastAsia="Arial" w:hAnsi="Arial"/>
                <w:sz w:val="14"/>
                <w:szCs w:val="14"/>
                <w:color w:val="auto"/>
              </w:rPr>
              <w:t>Tranche II: LIBOR+9.00%, 11.35%</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00" w:type="dxa"/>
            <w:vAlign w:val="bottom"/>
            <w:gridSpan w:val="2"/>
          </w:tcPr>
          <w:p>
            <w:pPr>
              <w:spacing w:after="0"/>
              <w:rPr>
                <w:sz w:val="20"/>
                <w:szCs w:val="20"/>
                <w:color w:val="auto"/>
              </w:rPr>
            </w:pPr>
            <w:r>
              <w:rPr>
                <w:rFonts w:ascii="Arial" w:cs="Arial" w:eastAsia="Arial" w:hAnsi="Arial"/>
                <w:sz w:val="14"/>
                <w:szCs w:val="14"/>
                <w:color w:val="auto"/>
              </w:rPr>
              <w:t>floor, 4.50% ETP, due 12/15/2021</w:t>
            </w:r>
          </w:p>
        </w:tc>
        <w:tc>
          <w:tcPr>
            <w:tcW w:w="720" w:type="dxa"/>
            <w:vAlign w:val="bottom"/>
          </w:tcPr>
          <w:p>
            <w:pPr>
              <w:jc w:val="right"/>
              <w:spacing w:after="0"/>
              <w:rPr>
                <w:sz w:val="20"/>
                <w:szCs w:val="20"/>
                <w:color w:val="auto"/>
              </w:rPr>
            </w:pPr>
            <w:r>
              <w:rPr>
                <w:rFonts w:ascii="Arial" w:cs="Arial" w:eastAsia="Arial" w:hAnsi="Arial"/>
                <w:sz w:val="14"/>
                <w:szCs w:val="14"/>
                <w:color w:val="auto"/>
              </w:rPr>
              <w:t>3/31/2020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2,500,000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2,546,484</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2,648,795</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0.57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-2127250</wp:posOffset>
            </wp:positionH>
            <wp:positionV relativeFrom="paragraph">
              <wp:posOffset>-4354830</wp:posOffset>
            </wp:positionV>
            <wp:extent cx="6292215" cy="2660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6065"/>
                    </a:xfrm>
                    <a:prstGeom prst="rect">
                      <a:avLst/>
                    </a:prstGeom>
                    <a:noFill/>
                  </pic:spPr>
                </pic:pic>
              </a:graphicData>
            </a:graphic>
          </wp:anchor>
        </w:drawing>
        <w:drawing>
          <wp:anchor simplePos="0" relativeHeight="251657728" behindDoc="1" locked="0" layoutInCell="0" allowOverlap="1">
            <wp:simplePos x="0" y="0"/>
            <wp:positionH relativeFrom="column">
              <wp:posOffset>-2127250</wp:posOffset>
            </wp:positionH>
            <wp:positionV relativeFrom="paragraph">
              <wp:posOffset>-3823335</wp:posOffset>
            </wp:positionV>
            <wp:extent cx="6292215" cy="265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5430"/>
                    </a:xfrm>
                    <a:prstGeom prst="rect">
                      <a:avLst/>
                    </a:prstGeom>
                    <a:noFill/>
                  </pic:spPr>
                </pic:pic>
              </a:graphicData>
            </a:graphic>
          </wp:anchor>
        </w:drawing>
        <w:drawing>
          <wp:anchor simplePos="0" relativeHeight="251657728" behindDoc="1" locked="0" layoutInCell="0" allowOverlap="1">
            <wp:simplePos x="0" y="0"/>
            <wp:positionH relativeFrom="column">
              <wp:posOffset>-2127250</wp:posOffset>
            </wp:positionH>
            <wp:positionV relativeFrom="paragraph">
              <wp:posOffset>-3291840</wp:posOffset>
            </wp:positionV>
            <wp:extent cx="6292215" cy="265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5430"/>
                    </a:xfrm>
                    <a:prstGeom prst="rect">
                      <a:avLst/>
                    </a:prstGeom>
                    <a:noFill/>
                  </pic:spPr>
                </pic:pic>
              </a:graphicData>
            </a:graphic>
          </wp:anchor>
        </w:drawing>
        <w:drawing>
          <wp:anchor simplePos="0" relativeHeight="251657728" behindDoc="1" locked="0" layoutInCell="0" allowOverlap="1">
            <wp:simplePos x="0" y="0"/>
            <wp:positionH relativeFrom="column">
              <wp:posOffset>-2127250</wp:posOffset>
            </wp:positionH>
            <wp:positionV relativeFrom="paragraph">
              <wp:posOffset>-2760345</wp:posOffset>
            </wp:positionV>
            <wp:extent cx="6292215"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88595"/>
                    </a:xfrm>
                    <a:prstGeom prst="rect">
                      <a:avLst/>
                    </a:prstGeom>
                    <a:noFill/>
                  </pic:spPr>
                </pic:pic>
              </a:graphicData>
            </a:graphic>
          </wp:anchor>
        </w:drawing>
        <w:drawing>
          <wp:anchor simplePos="0" relativeHeight="251657728" behindDoc="1" locked="0" layoutInCell="0" allowOverlap="1">
            <wp:simplePos x="0" y="0"/>
            <wp:positionH relativeFrom="column">
              <wp:posOffset>-2127250</wp:posOffset>
            </wp:positionH>
            <wp:positionV relativeFrom="paragraph">
              <wp:posOffset>-2468880</wp:posOffset>
            </wp:positionV>
            <wp:extent cx="6292215" cy="946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94615"/>
                    </a:xfrm>
                    <a:prstGeom prst="rect">
                      <a:avLst/>
                    </a:prstGeom>
                    <a:noFill/>
                  </pic:spPr>
                </pic:pic>
              </a:graphicData>
            </a:graphic>
          </wp:anchor>
        </w:drawing>
        <w:drawing>
          <wp:anchor simplePos="0" relativeHeight="251657728" behindDoc="1" locked="0" layoutInCell="0" allowOverlap="1">
            <wp:simplePos x="0" y="0"/>
            <wp:positionH relativeFrom="column">
              <wp:posOffset>-2127250</wp:posOffset>
            </wp:positionH>
            <wp:positionV relativeFrom="paragraph">
              <wp:posOffset>-2186305</wp:posOffset>
            </wp:positionV>
            <wp:extent cx="6292215" cy="946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94615"/>
                    </a:xfrm>
                    <a:prstGeom prst="rect">
                      <a:avLst/>
                    </a:prstGeom>
                    <a:noFill/>
                  </pic:spPr>
                </pic:pic>
              </a:graphicData>
            </a:graphic>
          </wp:anchor>
        </w:drawing>
        <w:drawing>
          <wp:anchor simplePos="0" relativeHeight="251657728" behindDoc="1" locked="0" layoutInCell="0" allowOverlap="1">
            <wp:simplePos x="0" y="0"/>
            <wp:positionH relativeFrom="column">
              <wp:posOffset>-2127250</wp:posOffset>
            </wp:positionH>
            <wp:positionV relativeFrom="paragraph">
              <wp:posOffset>-1997710</wp:posOffset>
            </wp:positionV>
            <wp:extent cx="6292215"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88595"/>
                    </a:xfrm>
                    <a:prstGeom prst="rect">
                      <a:avLst/>
                    </a:prstGeom>
                    <a:noFill/>
                  </pic:spPr>
                </pic:pic>
              </a:graphicData>
            </a:graphic>
          </wp:anchor>
        </w:drawing>
        <w:drawing>
          <wp:anchor simplePos="0" relativeHeight="251657728" behindDoc="1" locked="0" layoutInCell="0" allowOverlap="1">
            <wp:simplePos x="0" y="0"/>
            <wp:positionH relativeFrom="column">
              <wp:posOffset>-2127250</wp:posOffset>
            </wp:positionH>
            <wp:positionV relativeFrom="paragraph">
              <wp:posOffset>-1620520</wp:posOffset>
            </wp:positionV>
            <wp:extent cx="6292215" cy="2825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82575"/>
                    </a:xfrm>
                    <a:prstGeom prst="rect">
                      <a:avLst/>
                    </a:prstGeom>
                    <a:noFill/>
                  </pic:spPr>
                </pic:pic>
              </a:graphicData>
            </a:graphic>
          </wp:anchor>
        </w:drawing>
        <w:drawing>
          <wp:anchor simplePos="0" relativeHeight="251657728" behindDoc="1" locked="0" layoutInCell="0" allowOverlap="1">
            <wp:simplePos x="0" y="0"/>
            <wp:positionH relativeFrom="column">
              <wp:posOffset>-2127250</wp:posOffset>
            </wp:positionH>
            <wp:positionV relativeFrom="paragraph">
              <wp:posOffset>-1234440</wp:posOffset>
            </wp:positionV>
            <wp:extent cx="6292215"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88595"/>
                    </a:xfrm>
                    <a:prstGeom prst="rect">
                      <a:avLst/>
                    </a:prstGeom>
                    <a:noFill/>
                  </pic:spPr>
                </pic:pic>
              </a:graphicData>
            </a:graphic>
          </wp:anchor>
        </w:drawing>
        <w:drawing>
          <wp:anchor simplePos="0" relativeHeight="251657728" behindDoc="1" locked="0" layoutInCell="0" allowOverlap="1">
            <wp:simplePos x="0" y="0"/>
            <wp:positionH relativeFrom="column">
              <wp:posOffset>-2127250</wp:posOffset>
            </wp:positionH>
            <wp:positionV relativeFrom="paragraph">
              <wp:posOffset>-857250</wp:posOffset>
            </wp:positionV>
            <wp:extent cx="6292215" cy="939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93980"/>
                    </a:xfrm>
                    <a:prstGeom prst="rect">
                      <a:avLst/>
                    </a:prstGeom>
                    <a:noFill/>
                  </pic:spPr>
                </pic:pic>
              </a:graphicData>
            </a:graphic>
          </wp:anchor>
        </w:drawing>
        <w:drawing>
          <wp:anchor simplePos="0" relativeHeight="251657728" behindDoc="1" locked="0" layoutInCell="0" allowOverlap="1">
            <wp:simplePos x="0" y="0"/>
            <wp:positionH relativeFrom="column">
              <wp:posOffset>-2127250</wp:posOffset>
            </wp:positionH>
            <wp:positionV relativeFrom="paragraph">
              <wp:posOffset>-574675</wp:posOffset>
            </wp:positionV>
            <wp:extent cx="6292215" cy="939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93980"/>
                    </a:xfrm>
                    <a:prstGeom prst="rect">
                      <a:avLst/>
                    </a:prstGeom>
                    <a:noFill/>
                  </pic:spPr>
                </pic:pic>
              </a:graphicData>
            </a:graphic>
          </wp:anchor>
        </w:drawing>
        <w:drawing>
          <wp:anchor simplePos="0" relativeHeight="251657728" behindDoc="1" locked="0" layoutInCell="0" allowOverlap="1">
            <wp:simplePos x="0" y="0"/>
            <wp:positionH relativeFrom="column">
              <wp:posOffset>-2127250</wp:posOffset>
            </wp:positionH>
            <wp:positionV relativeFrom="paragraph">
              <wp:posOffset>-386080</wp:posOffset>
            </wp:positionV>
            <wp:extent cx="6292215"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88595"/>
                    </a:xfrm>
                    <a:prstGeom prst="rect">
                      <a:avLst/>
                    </a:prstGeom>
                    <a:noFill/>
                  </pic:spPr>
                </pic:pic>
              </a:graphicData>
            </a:graphic>
          </wp:anchor>
        </w:drawing>
        <w:drawing>
          <wp:anchor simplePos="0" relativeHeight="251657728" behindDoc="1" locked="0" layoutInCell="0" allowOverlap="1">
            <wp:simplePos x="0" y="0"/>
            <wp:positionH relativeFrom="column">
              <wp:posOffset>-2127250</wp:posOffset>
            </wp:positionH>
            <wp:positionV relativeFrom="paragraph">
              <wp:posOffset>-4552315</wp:posOffset>
            </wp:positionV>
            <wp:extent cx="6292215" cy="1028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02870"/>
                    </a:xfrm>
                    <a:prstGeom prst="rect">
                      <a:avLst/>
                    </a:prstGeom>
                    <a:noFill/>
                  </pic:spPr>
                </pic:pic>
              </a:graphicData>
            </a:graphic>
          </wp:anchor>
        </w:drawing>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-2127250</wp:posOffset>
            </wp:positionH>
            <wp:positionV relativeFrom="paragraph">
              <wp:posOffset>357505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2">
            <w:col w:w="3160" w:space="200"/>
            <w:col w:w="6560"/>
          </w:cols>
          <w:pgMar w:left="980" w:top="517" w:right="99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Acquisition</w:t>
            </w:r>
          </w:p>
        </w:tc>
        <w:tc>
          <w:tcPr>
            <w:tcW w:w="80" w:type="dxa"/>
            <w:vAlign w:val="bottom"/>
          </w:tcPr>
          <w:p>
            <w:pPr>
              <w:spacing w:after="0"/>
              <w:rPr>
                <w:sz w:val="14"/>
                <w:szCs w:val="14"/>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80" w:type="dxa"/>
            <w:vAlign w:val="bottom"/>
          </w:tcPr>
          <w:p>
            <w:pPr>
              <w:spacing w:after="0"/>
              <w:rPr>
                <w:sz w:val="12"/>
                <w:szCs w:val="12"/>
                <w:color w:val="auto"/>
              </w:rPr>
            </w:pPr>
          </w:p>
        </w:tc>
        <w:tc>
          <w:tcPr>
            <w:tcW w:w="11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Sub-Industry</w:t>
            </w:r>
          </w:p>
        </w:tc>
        <w:tc>
          <w:tcPr>
            <w:tcW w:w="80" w:type="dxa"/>
            <w:vAlign w:val="bottom"/>
          </w:tcPr>
          <w:p>
            <w:pPr>
              <w:spacing w:after="0"/>
              <w:rPr>
                <w:sz w:val="12"/>
                <w:szCs w:val="12"/>
                <w:color w:val="auto"/>
              </w:rPr>
            </w:pPr>
          </w:p>
        </w:tc>
        <w:tc>
          <w:tcPr>
            <w:tcW w:w="24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Cost</w:t>
            </w:r>
          </w:p>
        </w:tc>
        <w:tc>
          <w:tcPr>
            <w:tcW w:w="10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(2),(8)</w:t>
            </w: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204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2"/>
            <w:vMerge w:val="continue"/>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8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3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4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7"/>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3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9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4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Senior Secured Term Loans</w:t>
            </w:r>
            <w:r>
              <w:rPr>
                <w:rFonts w:ascii="Arial" w:cs="Arial" w:eastAsia="Arial" w:hAnsi="Arial"/>
                <w:sz w:val="9"/>
                <w:szCs w:val="9"/>
                <w:b w:val="1"/>
                <w:bCs w:val="1"/>
                <w:color w:val="auto"/>
              </w:rPr>
              <w:t>(13)</w:t>
            </w: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40" w:type="dxa"/>
            <w:vAlign w:val="bottom"/>
            <w:gridSpan w:val="5"/>
          </w:tcPr>
          <w:p>
            <w:pPr>
              <w:spacing w:after="0"/>
              <w:rPr>
                <w:sz w:val="20"/>
                <w:szCs w:val="20"/>
                <w:color w:val="auto"/>
              </w:rPr>
            </w:pPr>
            <w:r>
              <w:rPr>
                <w:rFonts w:ascii="Arial" w:cs="Arial" w:eastAsia="Arial" w:hAnsi="Arial"/>
                <w:sz w:val="14"/>
                <w:szCs w:val="14"/>
                <w:b w:val="1"/>
                <w:bCs w:val="1"/>
                <w:color w:val="auto"/>
              </w:rPr>
              <w:t>(continued)</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Brilliant Earth, LLC</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Internet Retail</w:t>
            </w:r>
          </w:p>
        </w:tc>
        <w:tc>
          <w:tcPr>
            <w:tcW w:w="24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w w:val="99"/>
              </w:rPr>
              <w:t>Tranche I: LIBOR+8.25%, 9.25% floor,</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4.50% ETP, due 10/15/2023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9/30/2019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$ 35,000,000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$ 34,722,601</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  34,722,601</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91"/>
              </w:rPr>
              <w:t>7.45 %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8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II: LIBOR+8.25%, 9.25%</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80" w:type="dxa"/>
            <w:vAlign w:val="bottom"/>
            <w:gridSpan w:val="3"/>
          </w:tcPr>
          <w:p>
            <w:pPr>
              <w:ind w:left="80"/>
              <w:spacing w:after="0"/>
              <w:rPr>
                <w:sz w:val="20"/>
                <w:szCs w:val="20"/>
                <w:color w:val="auto"/>
              </w:rPr>
            </w:pPr>
            <w:r>
              <w:rPr>
                <w:rFonts w:ascii="Arial" w:cs="Arial" w:eastAsia="Arial" w:hAnsi="Arial"/>
                <w:sz w:val="14"/>
                <w:szCs w:val="14"/>
                <w:color w:val="auto"/>
              </w:rPr>
              <w:t>floor, 0.75% ETP, due 10/15/2023</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12/17/2020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30,000,000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29,733,181</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29,758,229</w:t>
            </w:r>
          </w:p>
        </w:tc>
        <w:tc>
          <w:tcPr>
            <w:tcW w:w="80" w:type="dxa"/>
            <w:vAlign w:val="bottom"/>
          </w:tcPr>
          <w:p>
            <w:pPr>
              <w:spacing w:after="0"/>
              <w:rPr>
                <w:sz w:val="14"/>
                <w:szCs w:val="14"/>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auto"/>
              </w:rPr>
              <w:t>6.38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Circadence Corporation</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Application</w:t>
            </w:r>
          </w:p>
        </w:tc>
        <w:tc>
          <w:tcPr>
            <w:tcW w:w="8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LIBOR+9.50%, 12.00% floor, 7.50%</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Software</w:t>
            </w: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ETP, due 12/15/2022</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12/20/2018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17,400,000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16,348,200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15,598,546</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3.35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CloudPassage, Inc.</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w w:val="98"/>
              </w:rPr>
              <w:t>Data Processing &amp;</w:t>
            </w:r>
          </w:p>
        </w:tc>
        <w:tc>
          <w:tcPr>
            <w:tcW w:w="24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LIBOR+7.50%, 1.00% PIK, 10.00%</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Outsourced</w:t>
            </w:r>
          </w:p>
        </w:tc>
        <w:tc>
          <w:tcPr>
            <w:tcW w:w="248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 xml:space="preserve">floor, 2.75% ETP, due 6/13/2023 </w:t>
            </w:r>
            <w:r>
              <w:rPr>
                <w:rFonts w:ascii="Arial" w:cs="Arial" w:eastAsia="Arial" w:hAnsi="Arial"/>
                <w:sz w:val="10"/>
                <w:szCs w:val="10"/>
                <w:color w:val="auto"/>
              </w:rPr>
              <w:t>(4)</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Services</w:t>
            </w:r>
          </w:p>
        </w:tc>
        <w:tc>
          <w:tcPr>
            <w:tcW w:w="8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6/13/2019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7,615,625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7,540,959</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7,447,536</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1.60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CloudPay Solutions Ltd.</w:t>
            </w: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w w:val="93"/>
              </w:rPr>
              <w:t>Human Resource &amp;</w:t>
            </w:r>
          </w:p>
        </w:tc>
        <w:tc>
          <w:tcPr>
            <w:tcW w:w="248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LIBOR+9.50%, 1.25% PIK, 11.25%</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Employment</w:t>
            </w:r>
          </w:p>
        </w:tc>
        <w:tc>
          <w:tcPr>
            <w:tcW w:w="2480" w:type="dxa"/>
            <w:vAlign w:val="bottom"/>
            <w:gridSpan w:val="3"/>
          </w:tcPr>
          <w:p>
            <w:pPr>
              <w:ind w:left="80"/>
              <w:spacing w:after="0" w:line="149" w:lineRule="exact"/>
              <w:rPr>
                <w:sz w:val="20"/>
                <w:szCs w:val="20"/>
                <w:color w:val="auto"/>
              </w:rPr>
            </w:pPr>
            <w:r>
              <w:rPr>
                <w:rFonts w:ascii="Arial" w:cs="Arial" w:eastAsia="Arial" w:hAnsi="Arial"/>
                <w:sz w:val="14"/>
                <w:szCs w:val="14"/>
                <w:color w:val="auto"/>
                <w:w w:val="97"/>
              </w:rPr>
              <w:t xml:space="preserve">floor, 3.00% ETP, due 12/15/2023 </w:t>
            </w:r>
            <w:r>
              <w:rPr>
                <w:rFonts w:ascii="Arial" w:cs="Arial" w:eastAsia="Arial" w:hAnsi="Arial"/>
                <w:sz w:val="10"/>
                <w:szCs w:val="10"/>
                <w:color w:val="auto"/>
                <w:w w:val="97"/>
              </w:rPr>
              <w:t>(3),(4),</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Services</w:t>
            </w:r>
          </w:p>
        </w:tc>
        <w:tc>
          <w:tcPr>
            <w:tcW w:w="2400" w:type="dxa"/>
            <w:vAlign w:val="bottom"/>
            <w:gridSpan w:val="2"/>
          </w:tcPr>
          <w:p>
            <w:pPr>
              <w:ind w:left="80"/>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6/30/2020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25,146,185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24,772,553</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24,772,553</w:t>
            </w:r>
          </w:p>
        </w:tc>
        <w:tc>
          <w:tcPr>
            <w:tcW w:w="80" w:type="dxa"/>
            <w:vAlign w:val="bottom"/>
          </w:tcPr>
          <w:p>
            <w:pPr>
              <w:spacing w:after="0"/>
              <w:rPr>
                <w:sz w:val="14"/>
                <w:szCs w:val="14"/>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auto"/>
              </w:rPr>
              <w:t>5.31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Credit Sesame, Inc.</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Specialized</w:t>
            </w:r>
          </w:p>
        </w:tc>
        <w:tc>
          <w:tcPr>
            <w:tcW w:w="24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 LIBOR+8.35%, 10.25%</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93"/>
              </w:rPr>
              <w:t>Consumer Services</w:t>
            </w: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floor, 2.50% ETP, due 12/15/2023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1/7/2020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35,000,000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34,693,762</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34,531,361</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7.41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80" w:type="dxa"/>
            <w:vAlign w:val="bottom"/>
            <w:gridSpan w:val="3"/>
          </w:tcPr>
          <w:p>
            <w:pPr>
              <w:ind w:left="80"/>
              <w:spacing w:after="0" w:line="130" w:lineRule="exact"/>
              <w:rPr>
                <w:sz w:val="20"/>
                <w:szCs w:val="20"/>
                <w:color w:val="auto"/>
              </w:rPr>
            </w:pPr>
            <w:r>
              <w:rPr>
                <w:rFonts w:ascii="Arial" w:cs="Arial" w:eastAsia="Arial" w:hAnsi="Arial"/>
                <w:sz w:val="14"/>
                <w:szCs w:val="14"/>
                <w:color w:val="auto"/>
                <w:w w:val="99"/>
              </w:rPr>
              <w:t>Tranche II: LIBOR+8.35% , 2.00% PIK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8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on overadvance, 10.25% floor, due</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0" w:type="dxa"/>
            <w:vAlign w:val="bottom"/>
            <w:gridSpan w:val="2"/>
          </w:tcPr>
          <w:p>
            <w:pPr>
              <w:ind w:left="80"/>
              <w:spacing w:after="0"/>
              <w:rPr>
                <w:sz w:val="20"/>
                <w:szCs w:val="20"/>
                <w:color w:val="auto"/>
              </w:rPr>
            </w:pPr>
            <w:r>
              <w:rPr>
                <w:rFonts w:ascii="Arial" w:cs="Arial" w:eastAsia="Arial" w:hAnsi="Arial"/>
                <w:sz w:val="14"/>
                <w:szCs w:val="14"/>
                <w:color w:val="auto"/>
              </w:rPr>
              <w:t xml:space="preserve">5/15/2023 </w:t>
            </w:r>
            <w:r>
              <w:rPr>
                <w:rFonts w:ascii="Arial" w:cs="Arial" w:eastAsia="Arial" w:hAnsi="Arial"/>
                <w:sz w:val="10"/>
                <w:szCs w:val="10"/>
                <w:color w:val="auto"/>
              </w:rPr>
              <w:t>(4)</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1/7/2020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9,489,736</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9,489,736</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9,362,671</w:t>
            </w:r>
          </w:p>
        </w:tc>
        <w:tc>
          <w:tcPr>
            <w:tcW w:w="80" w:type="dxa"/>
            <w:vAlign w:val="bottom"/>
          </w:tcPr>
          <w:p>
            <w:pPr>
              <w:spacing w:after="0"/>
              <w:rPr>
                <w:sz w:val="14"/>
                <w:szCs w:val="14"/>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auto"/>
              </w:rPr>
              <w:t>2.01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Dtex Systems, Inc.</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Application</w:t>
            </w:r>
          </w:p>
        </w:tc>
        <w:tc>
          <w:tcPr>
            <w:tcW w:w="8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LIBOR+9.15%, 11.50% floor, 5.13%</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Software</w:t>
            </w: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ETP, due 11/15/2021</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6/1/2018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5,872,257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6,177,307</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6,180,487</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Echo 360 Holdings, Inc.</w:t>
            </w: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w w:val="95"/>
              </w:rPr>
              <w:t>Education Services</w:t>
            </w:r>
          </w:p>
        </w:tc>
        <w:tc>
          <w:tcPr>
            <w:tcW w:w="248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 LIBOR+9.25%, 12.05%</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80" w:type="dxa"/>
            <w:vAlign w:val="bottom"/>
            <w:gridSpan w:val="3"/>
          </w:tcPr>
          <w:p>
            <w:pPr>
              <w:ind w:left="80"/>
              <w:spacing w:after="0"/>
              <w:rPr>
                <w:sz w:val="20"/>
                <w:szCs w:val="20"/>
                <w:color w:val="auto"/>
              </w:rPr>
            </w:pPr>
            <w:r>
              <w:rPr>
                <w:rFonts w:ascii="Arial" w:cs="Arial" w:eastAsia="Arial" w:hAnsi="Arial"/>
                <w:sz w:val="14"/>
                <w:szCs w:val="14"/>
                <w:color w:val="auto"/>
              </w:rPr>
              <w:t>floor, 4.00% ETP, due 5/3/2023</w:t>
            </w:r>
          </w:p>
        </w:tc>
        <w:tc>
          <w:tcPr>
            <w:tcW w:w="720" w:type="dxa"/>
            <w:vAlign w:val="bottom"/>
          </w:tcPr>
          <w:p>
            <w:pPr>
              <w:jc w:val="right"/>
              <w:spacing w:after="0"/>
              <w:rPr>
                <w:sz w:val="20"/>
                <w:szCs w:val="20"/>
                <w:color w:val="auto"/>
              </w:rPr>
            </w:pPr>
            <w:r>
              <w:rPr>
                <w:rFonts w:ascii="Arial" w:cs="Arial" w:eastAsia="Arial" w:hAnsi="Arial"/>
                <w:sz w:val="14"/>
                <w:szCs w:val="14"/>
                <w:color w:val="auto"/>
              </w:rPr>
              <w:t>5/3/2019</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14,000,000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14,078,320</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14,324,161</w:t>
            </w:r>
          </w:p>
        </w:tc>
        <w:tc>
          <w:tcPr>
            <w:tcW w:w="80" w:type="dxa"/>
            <w:vAlign w:val="bottom"/>
          </w:tcPr>
          <w:p>
            <w:pPr>
              <w:spacing w:after="0"/>
              <w:rPr>
                <w:sz w:val="14"/>
                <w:szCs w:val="14"/>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auto"/>
              </w:rPr>
              <w:t>3.07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II: LIBOR+9.25%, 12.05%</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floor, 4.00% ETP, due 5/3/2023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5/3/2019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3,029,295</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3,069,463</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0.66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FiscalNote, Inc.</w:t>
            </w: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Application</w:t>
            </w:r>
          </w:p>
        </w:tc>
        <w:tc>
          <w:tcPr>
            <w:tcW w:w="80" w:type="dxa"/>
            <w:vAlign w:val="bottom"/>
          </w:tcPr>
          <w:p>
            <w:pPr>
              <w:spacing w:after="0"/>
              <w:rPr>
                <w:sz w:val="11"/>
                <w:szCs w:val="11"/>
                <w:color w:val="auto"/>
              </w:rPr>
            </w:pPr>
          </w:p>
        </w:tc>
        <w:tc>
          <w:tcPr>
            <w:tcW w:w="240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LIBOR+9.25%, 9.75% floor, 5.00%</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Software</w:t>
            </w:r>
          </w:p>
        </w:tc>
        <w:tc>
          <w:tcPr>
            <w:tcW w:w="2480" w:type="dxa"/>
            <w:vAlign w:val="bottom"/>
            <w:gridSpan w:val="3"/>
          </w:tcPr>
          <w:p>
            <w:pPr>
              <w:ind w:left="80"/>
              <w:spacing w:after="0"/>
              <w:rPr>
                <w:sz w:val="20"/>
                <w:szCs w:val="20"/>
                <w:color w:val="auto"/>
              </w:rPr>
            </w:pPr>
            <w:r>
              <w:rPr>
                <w:rFonts w:ascii="Arial" w:cs="Arial" w:eastAsia="Arial" w:hAnsi="Arial"/>
                <w:sz w:val="14"/>
                <w:szCs w:val="14"/>
                <w:color w:val="auto"/>
              </w:rPr>
              <w:t>ETP, due 8/21/2023</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10/19/2020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45,000,000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44,330,193</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44,330,193</w:t>
            </w:r>
          </w:p>
        </w:tc>
        <w:tc>
          <w:tcPr>
            <w:tcW w:w="80" w:type="dxa"/>
            <w:vAlign w:val="bottom"/>
          </w:tcPr>
          <w:p>
            <w:pPr>
              <w:spacing w:after="0"/>
              <w:rPr>
                <w:sz w:val="14"/>
                <w:szCs w:val="14"/>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auto"/>
              </w:rPr>
              <w:t>9.51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Gynesonics, Inc.</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Health Care</w:t>
            </w:r>
          </w:p>
        </w:tc>
        <w:tc>
          <w:tcPr>
            <w:tcW w:w="8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LIBOR+8.75%, 9.25% floor, 3.50%</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Technology</w:t>
            </w: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ETP, due 12/1/2025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12/1/2020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30,000,000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29,156,536</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29,156,536</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6.25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INRIX, Inc.</w:t>
            </w: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Internet Software</w:t>
            </w:r>
          </w:p>
        </w:tc>
        <w:tc>
          <w:tcPr>
            <w:tcW w:w="248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 LIBOR+8.00%, 10.50%</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and Services</w:t>
            </w:r>
          </w:p>
        </w:tc>
        <w:tc>
          <w:tcPr>
            <w:tcW w:w="2480" w:type="dxa"/>
            <w:vAlign w:val="bottom"/>
            <w:gridSpan w:val="3"/>
          </w:tcPr>
          <w:p>
            <w:pPr>
              <w:ind w:left="80"/>
              <w:spacing w:after="0"/>
              <w:rPr>
                <w:sz w:val="20"/>
                <w:szCs w:val="20"/>
                <w:color w:val="auto"/>
              </w:rPr>
            </w:pPr>
            <w:r>
              <w:rPr>
                <w:rFonts w:ascii="Arial" w:cs="Arial" w:eastAsia="Arial" w:hAnsi="Arial"/>
                <w:sz w:val="14"/>
                <w:szCs w:val="14"/>
                <w:color w:val="auto"/>
              </w:rPr>
              <w:t>floor, 2.50% ETP, due 7/15/2023</w:t>
            </w:r>
          </w:p>
        </w:tc>
        <w:tc>
          <w:tcPr>
            <w:tcW w:w="720" w:type="dxa"/>
            <w:vAlign w:val="bottom"/>
          </w:tcPr>
          <w:p>
            <w:pPr>
              <w:jc w:val="right"/>
              <w:spacing w:after="0"/>
              <w:rPr>
                <w:sz w:val="20"/>
                <w:szCs w:val="20"/>
                <w:color w:val="auto"/>
              </w:rPr>
            </w:pPr>
            <w:r>
              <w:rPr>
                <w:rFonts w:ascii="Arial" w:cs="Arial" w:eastAsia="Arial" w:hAnsi="Arial"/>
                <w:sz w:val="14"/>
                <w:szCs w:val="14"/>
                <w:color w:val="auto"/>
              </w:rPr>
              <w:t>7/26/2019</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20,000,000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19,899,836</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19,817,189</w:t>
            </w:r>
          </w:p>
        </w:tc>
        <w:tc>
          <w:tcPr>
            <w:tcW w:w="80" w:type="dxa"/>
            <w:vAlign w:val="bottom"/>
          </w:tcPr>
          <w:p>
            <w:pPr>
              <w:spacing w:after="0"/>
              <w:rPr>
                <w:sz w:val="14"/>
                <w:szCs w:val="14"/>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auto"/>
              </w:rPr>
              <w:t>4.25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II: LIBOR+8.00%, 10.50%</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floor, 2.50% ETP, due 7/15/2023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7/26/2019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9,825,946</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9,908,594</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2.13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Longtail Ad Solutions, Inc. (dba</w:t>
            </w: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Internet Software</w:t>
            </w:r>
          </w:p>
        </w:tc>
        <w:tc>
          <w:tcPr>
            <w:tcW w:w="80" w:type="dxa"/>
            <w:vAlign w:val="bottom"/>
          </w:tcPr>
          <w:p>
            <w:pPr>
              <w:spacing w:after="0"/>
              <w:rPr>
                <w:sz w:val="11"/>
                <w:szCs w:val="11"/>
                <w:color w:val="auto"/>
              </w:rPr>
            </w:pPr>
          </w:p>
        </w:tc>
        <w:tc>
          <w:tcPr>
            <w:tcW w:w="240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LIBOR+8.75%, 10.75% floor, 3.00%</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40" w:type="dxa"/>
            <w:vAlign w:val="bottom"/>
            <w:gridSpan w:val="5"/>
          </w:tcPr>
          <w:p>
            <w:pPr>
              <w:spacing w:after="0"/>
              <w:rPr>
                <w:sz w:val="20"/>
                <w:szCs w:val="20"/>
                <w:color w:val="auto"/>
              </w:rPr>
            </w:pPr>
            <w:r>
              <w:rPr>
                <w:rFonts w:ascii="Arial" w:cs="Arial" w:eastAsia="Arial" w:hAnsi="Arial"/>
                <w:sz w:val="14"/>
                <w:szCs w:val="14"/>
                <w:color w:val="auto"/>
              </w:rPr>
              <w:t>JW Player)</w:t>
            </w: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and Services</w:t>
            </w:r>
          </w:p>
        </w:tc>
        <w:tc>
          <w:tcPr>
            <w:tcW w:w="2480" w:type="dxa"/>
            <w:vAlign w:val="bottom"/>
            <w:gridSpan w:val="3"/>
          </w:tcPr>
          <w:p>
            <w:pPr>
              <w:ind w:left="80"/>
              <w:spacing w:after="0"/>
              <w:rPr>
                <w:sz w:val="20"/>
                <w:szCs w:val="20"/>
                <w:color w:val="auto"/>
              </w:rPr>
            </w:pPr>
            <w:r>
              <w:rPr>
                <w:rFonts w:ascii="Arial" w:cs="Arial" w:eastAsia="Arial" w:hAnsi="Arial"/>
                <w:sz w:val="14"/>
                <w:szCs w:val="14"/>
                <w:color w:val="auto"/>
              </w:rPr>
              <w:t>ETP, due 6/15/2023</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12/12/2019</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30,000,000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30,054,163</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30,270,499</w:t>
            </w:r>
          </w:p>
        </w:tc>
        <w:tc>
          <w:tcPr>
            <w:tcW w:w="80" w:type="dxa"/>
            <w:vAlign w:val="bottom"/>
          </w:tcPr>
          <w:p>
            <w:pPr>
              <w:spacing w:after="0"/>
              <w:rPr>
                <w:sz w:val="14"/>
                <w:szCs w:val="14"/>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auto"/>
              </w:rPr>
              <w:t>6.49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Massdrop, Inc.</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Computer &amp;</w:t>
            </w:r>
          </w:p>
        </w:tc>
        <w:tc>
          <w:tcPr>
            <w:tcW w:w="8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LIBOR+8.25%, 10.65% floor, 4.00%</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Electronics Retail</w:t>
            </w: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ETP, due 1/15/2023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7/22/2019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18,474,451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18,597,407</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18,405,948</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3.95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w w:val="96"/>
              </w:rPr>
              <w:t>Mingle Healthcare Solutions, Inc.</w:t>
            </w: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Health Care</w:t>
            </w:r>
          </w:p>
        </w:tc>
        <w:tc>
          <w:tcPr>
            <w:tcW w:w="80" w:type="dxa"/>
            <w:vAlign w:val="bottom"/>
          </w:tcPr>
          <w:p>
            <w:pPr>
              <w:spacing w:after="0"/>
              <w:rPr>
                <w:sz w:val="11"/>
                <w:szCs w:val="11"/>
                <w:color w:val="auto"/>
              </w:rPr>
            </w:pPr>
          </w:p>
        </w:tc>
        <w:tc>
          <w:tcPr>
            <w:tcW w:w="240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LIBOR+9.50%, 11.75% floor, 10.00%</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Technology</w:t>
            </w:r>
          </w:p>
        </w:tc>
        <w:tc>
          <w:tcPr>
            <w:tcW w:w="2480" w:type="dxa"/>
            <w:vAlign w:val="bottom"/>
            <w:gridSpan w:val="3"/>
          </w:tcPr>
          <w:p>
            <w:pPr>
              <w:ind w:left="80"/>
              <w:spacing w:after="0"/>
              <w:rPr>
                <w:sz w:val="20"/>
                <w:szCs w:val="20"/>
                <w:color w:val="auto"/>
              </w:rPr>
            </w:pPr>
            <w:r>
              <w:rPr>
                <w:rFonts w:ascii="Arial" w:cs="Arial" w:eastAsia="Arial" w:hAnsi="Arial"/>
                <w:sz w:val="14"/>
                <w:szCs w:val="14"/>
                <w:color w:val="auto"/>
              </w:rPr>
              <w:t>ETP, due 8/15/2022</w:t>
            </w:r>
          </w:p>
        </w:tc>
        <w:tc>
          <w:tcPr>
            <w:tcW w:w="720" w:type="dxa"/>
            <w:vAlign w:val="bottom"/>
          </w:tcPr>
          <w:p>
            <w:pPr>
              <w:jc w:val="right"/>
              <w:spacing w:after="0"/>
              <w:rPr>
                <w:sz w:val="20"/>
                <w:szCs w:val="20"/>
                <w:color w:val="auto"/>
              </w:rPr>
            </w:pPr>
            <w:r>
              <w:rPr>
                <w:rFonts w:ascii="Arial" w:cs="Arial" w:eastAsia="Arial" w:hAnsi="Arial"/>
                <w:sz w:val="14"/>
                <w:szCs w:val="14"/>
                <w:color w:val="auto"/>
              </w:rPr>
              <w:t>8/15/2018</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4,416,667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4,683,180</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4,646,930</w:t>
            </w:r>
          </w:p>
        </w:tc>
        <w:tc>
          <w:tcPr>
            <w:tcW w:w="80" w:type="dxa"/>
            <w:vAlign w:val="bottom"/>
          </w:tcPr>
          <w:p>
            <w:pPr>
              <w:spacing w:after="0"/>
              <w:rPr>
                <w:sz w:val="15"/>
                <w:szCs w:val="15"/>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Acquisition</w:t>
            </w:r>
          </w:p>
        </w:tc>
        <w:tc>
          <w:tcPr>
            <w:tcW w:w="80" w:type="dxa"/>
            <w:vAlign w:val="bottom"/>
          </w:tcPr>
          <w:p>
            <w:pPr>
              <w:spacing w:after="0"/>
              <w:rPr>
                <w:sz w:val="14"/>
                <w:szCs w:val="14"/>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80" w:type="dxa"/>
            <w:vAlign w:val="bottom"/>
          </w:tcPr>
          <w:p>
            <w:pPr>
              <w:spacing w:after="0"/>
              <w:rPr>
                <w:sz w:val="12"/>
                <w:szCs w:val="12"/>
                <w:color w:val="auto"/>
              </w:rPr>
            </w:pPr>
          </w:p>
        </w:tc>
        <w:tc>
          <w:tcPr>
            <w:tcW w:w="11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Sub-Industry</w:t>
            </w:r>
          </w:p>
        </w:tc>
        <w:tc>
          <w:tcPr>
            <w:tcW w:w="80" w:type="dxa"/>
            <w:vAlign w:val="bottom"/>
          </w:tcPr>
          <w:p>
            <w:pPr>
              <w:spacing w:after="0"/>
              <w:rPr>
                <w:sz w:val="12"/>
                <w:szCs w:val="12"/>
                <w:color w:val="auto"/>
              </w:rPr>
            </w:pPr>
          </w:p>
        </w:tc>
        <w:tc>
          <w:tcPr>
            <w:tcW w:w="23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(2),(8)</w:t>
            </w:r>
          </w:p>
        </w:tc>
        <w:tc>
          <w:tcPr>
            <w:tcW w:w="6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202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2"/>
            <w:vMerge w:val="continue"/>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8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3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4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7"/>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4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3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Senior Secured Term Loans</w:t>
            </w:r>
            <w:r>
              <w:rPr>
                <w:rFonts w:ascii="Arial" w:cs="Arial" w:eastAsia="Arial" w:hAnsi="Arial"/>
                <w:sz w:val="9"/>
                <w:szCs w:val="9"/>
                <w:b w:val="1"/>
                <w:bCs w:val="1"/>
                <w:color w:val="auto"/>
              </w:rPr>
              <w:t>(13)</w:t>
            </w: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20" w:type="dxa"/>
            <w:vAlign w:val="bottom"/>
            <w:gridSpan w:val="5"/>
          </w:tcPr>
          <w:p>
            <w:pPr>
              <w:spacing w:after="0"/>
              <w:rPr>
                <w:sz w:val="20"/>
                <w:szCs w:val="20"/>
                <w:color w:val="auto"/>
              </w:rPr>
            </w:pPr>
            <w:r>
              <w:rPr>
                <w:rFonts w:ascii="Arial" w:cs="Arial" w:eastAsia="Arial" w:hAnsi="Arial"/>
                <w:sz w:val="14"/>
                <w:szCs w:val="14"/>
                <w:b w:val="1"/>
                <w:bCs w:val="1"/>
                <w:color w:val="auto"/>
              </w:rPr>
              <w:t>(continued)</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w w:val="98"/>
              </w:rPr>
              <w:t>3DNA Corp. (dba NationBuilder)</w:t>
            </w:r>
          </w:p>
        </w:tc>
        <w:tc>
          <w:tcPr>
            <w:tcW w:w="118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Application</w:t>
            </w:r>
          </w:p>
        </w:tc>
        <w:tc>
          <w:tcPr>
            <w:tcW w:w="246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 LIBOR+9.00%, 11.50%</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Software</w:t>
            </w:r>
          </w:p>
        </w:tc>
        <w:tc>
          <w:tcPr>
            <w:tcW w:w="246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floor, 5.50% ETP, due 4/15/2023</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12/28/2018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7,000,000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7,160,591</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7,079,561</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1.52 %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6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II: LIBOR+9.00%, 11.50%</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60" w:type="dxa"/>
            <w:vAlign w:val="bottom"/>
            <w:gridSpan w:val="3"/>
          </w:tcPr>
          <w:p>
            <w:pPr>
              <w:ind w:left="80"/>
              <w:spacing w:after="0"/>
              <w:rPr>
                <w:sz w:val="20"/>
                <w:szCs w:val="20"/>
                <w:color w:val="auto"/>
              </w:rPr>
            </w:pPr>
            <w:r>
              <w:rPr>
                <w:rFonts w:ascii="Arial" w:cs="Arial" w:eastAsia="Arial" w:hAnsi="Arial"/>
                <w:sz w:val="14"/>
                <w:szCs w:val="14"/>
                <w:color w:val="auto"/>
              </w:rPr>
              <w:t>floor, 5.50% ETP, due 4/15/2023</w:t>
            </w:r>
          </w:p>
        </w:tc>
        <w:tc>
          <w:tcPr>
            <w:tcW w:w="700" w:type="dxa"/>
            <w:vAlign w:val="bottom"/>
          </w:tcPr>
          <w:p>
            <w:pPr>
              <w:jc w:val="right"/>
              <w:spacing w:after="0"/>
              <w:rPr>
                <w:sz w:val="20"/>
                <w:szCs w:val="20"/>
                <w:color w:val="auto"/>
              </w:rPr>
            </w:pPr>
            <w:r>
              <w:rPr>
                <w:rFonts w:ascii="Arial" w:cs="Arial" w:eastAsia="Arial" w:hAnsi="Arial"/>
                <w:sz w:val="14"/>
                <w:szCs w:val="14"/>
                <w:color w:val="auto"/>
              </w:rPr>
              <w:t>6/12/2019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500,000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512,117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505,683</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Ouster, Inc.</w:t>
            </w:r>
          </w:p>
        </w:tc>
        <w:tc>
          <w:tcPr>
            <w:tcW w:w="118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Technology</w:t>
            </w:r>
          </w:p>
        </w:tc>
        <w:tc>
          <w:tcPr>
            <w:tcW w:w="80" w:type="dxa"/>
            <w:vAlign w:val="bottom"/>
            <w:shd w:val="clear" w:color="auto" w:fill="CCEEFF"/>
          </w:tcPr>
          <w:p>
            <w:pPr>
              <w:spacing w:after="0"/>
              <w:rPr>
                <w:sz w:val="11"/>
                <w:szCs w:val="11"/>
                <w:color w:val="auto"/>
              </w:rPr>
            </w:pPr>
          </w:p>
        </w:tc>
        <w:tc>
          <w:tcPr>
            <w:tcW w:w="23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LIBOR+8.50%, 10.75% floor, 5%</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91"/>
              </w:rPr>
              <w:t>Hardware, Storage</w:t>
            </w:r>
          </w:p>
        </w:tc>
        <w:tc>
          <w:tcPr>
            <w:tcW w:w="246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ETP, due 11/15/2021</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&amp; Peripherals</w:t>
            </w:r>
          </w:p>
        </w:tc>
        <w:tc>
          <w:tcPr>
            <w:tcW w:w="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11/27/2018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7,000,000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7,134,750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7,234,515</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tcPr>
          <w:p>
            <w:pPr>
              <w:spacing w:after="0" w:line="130" w:lineRule="exact"/>
              <w:rPr>
                <w:sz w:val="20"/>
                <w:szCs w:val="20"/>
                <w:color w:val="auto"/>
              </w:rPr>
            </w:pPr>
            <w:r>
              <w:rPr>
                <w:rFonts w:ascii="Arial" w:cs="Arial" w:eastAsia="Arial" w:hAnsi="Arial"/>
                <w:sz w:val="14"/>
                <w:szCs w:val="14"/>
                <w:color w:val="auto"/>
              </w:rPr>
              <w:t>Pivot3, Inc.</w:t>
            </w:r>
          </w:p>
        </w:tc>
        <w:tc>
          <w:tcPr>
            <w:tcW w:w="1180" w:type="dxa"/>
            <w:vAlign w:val="bottom"/>
            <w:gridSpan w:val="2"/>
          </w:tcPr>
          <w:p>
            <w:pPr>
              <w:ind w:left="80"/>
              <w:spacing w:after="0" w:line="130" w:lineRule="exact"/>
              <w:rPr>
                <w:sz w:val="20"/>
                <w:szCs w:val="20"/>
                <w:color w:val="auto"/>
              </w:rPr>
            </w:pPr>
            <w:r>
              <w:rPr>
                <w:rFonts w:ascii="Arial" w:cs="Arial" w:eastAsia="Arial" w:hAnsi="Arial"/>
                <w:sz w:val="14"/>
                <w:szCs w:val="14"/>
                <w:color w:val="auto"/>
                <w:w w:val="93"/>
              </w:rPr>
              <w:t>Data Processing &amp;</w:t>
            </w:r>
          </w:p>
        </w:tc>
        <w:tc>
          <w:tcPr>
            <w:tcW w:w="246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 LIBOR+8.50% PIK,</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Outsourced</w:t>
            </w:r>
          </w:p>
        </w:tc>
        <w:tc>
          <w:tcPr>
            <w:tcW w:w="24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11.00% floor, 4.00% ETP, due</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color w:val="auto"/>
              </w:rPr>
              <w:t>Services</w:t>
            </w:r>
          </w:p>
        </w:tc>
        <w:tc>
          <w:tcPr>
            <w:tcW w:w="2380" w:type="dxa"/>
            <w:vAlign w:val="bottom"/>
            <w:gridSpan w:val="2"/>
          </w:tcPr>
          <w:p>
            <w:pPr>
              <w:ind w:left="80"/>
              <w:spacing w:after="0"/>
              <w:rPr>
                <w:sz w:val="20"/>
                <w:szCs w:val="20"/>
                <w:color w:val="auto"/>
              </w:rPr>
            </w:pPr>
            <w:r>
              <w:rPr>
                <w:rFonts w:ascii="Arial" w:cs="Arial" w:eastAsia="Arial" w:hAnsi="Arial"/>
                <w:sz w:val="14"/>
                <w:szCs w:val="14"/>
                <w:color w:val="auto"/>
              </w:rPr>
              <w:t xml:space="preserve">11/15/2022 </w:t>
            </w:r>
            <w:r>
              <w:rPr>
                <w:rFonts w:ascii="Arial" w:cs="Arial" w:eastAsia="Arial" w:hAnsi="Arial"/>
                <w:sz w:val="10"/>
                <w:szCs w:val="10"/>
                <w:color w:val="auto"/>
              </w:rPr>
              <w:t>(4)</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5/13/2019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21,345,001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21,609,825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19,864,282</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4.26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46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II: LIBOR+8.50% PIK,</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6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 xml:space="preserve">11.00% floor, due 11/15/2022 </w:t>
            </w:r>
            <w:r>
              <w:rPr>
                <w:rFonts w:ascii="Arial" w:cs="Arial" w:eastAsia="Arial" w:hAnsi="Arial"/>
                <w:sz w:val="10"/>
                <w:szCs w:val="10"/>
                <w:color w:val="auto"/>
              </w:rPr>
              <w:t>(4)</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10/2/2020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1,022,772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1,022,772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951,822</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6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III: LIBOR+8.50% PIK,</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60" w:type="dxa"/>
            <w:vAlign w:val="bottom"/>
            <w:gridSpan w:val="3"/>
          </w:tcPr>
          <w:p>
            <w:pPr>
              <w:ind w:left="80"/>
              <w:spacing w:after="0"/>
              <w:rPr>
                <w:sz w:val="20"/>
                <w:szCs w:val="20"/>
                <w:color w:val="auto"/>
              </w:rPr>
            </w:pPr>
            <w:r>
              <w:rPr>
                <w:rFonts w:ascii="Arial" w:cs="Arial" w:eastAsia="Arial" w:hAnsi="Arial"/>
                <w:sz w:val="14"/>
                <w:szCs w:val="14"/>
                <w:color w:val="auto"/>
              </w:rPr>
              <w:t xml:space="preserve">11.00% floor, due 11/15/2022 </w:t>
            </w:r>
            <w:r>
              <w:rPr>
                <w:rFonts w:ascii="Arial" w:cs="Arial" w:eastAsia="Arial" w:hAnsi="Arial"/>
                <w:sz w:val="10"/>
                <w:szCs w:val="10"/>
                <w:color w:val="auto"/>
              </w:rPr>
              <w:t>(4)</w:t>
            </w:r>
          </w:p>
        </w:tc>
        <w:tc>
          <w:tcPr>
            <w:tcW w:w="700" w:type="dxa"/>
            <w:vAlign w:val="bottom"/>
          </w:tcPr>
          <w:p>
            <w:pPr>
              <w:jc w:val="right"/>
              <w:spacing w:after="0"/>
              <w:rPr>
                <w:sz w:val="20"/>
                <w:szCs w:val="20"/>
                <w:color w:val="auto"/>
              </w:rPr>
            </w:pPr>
            <w:r>
              <w:rPr>
                <w:rFonts w:ascii="Arial" w:cs="Arial" w:eastAsia="Arial" w:hAnsi="Arial"/>
                <w:sz w:val="14"/>
                <w:szCs w:val="14"/>
                <w:color w:val="auto"/>
              </w:rPr>
              <w:t>10/2/2020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1,000,000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1,000,000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930,629</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Porch Group, Inc.</w:t>
            </w:r>
          </w:p>
        </w:tc>
        <w:tc>
          <w:tcPr>
            <w:tcW w:w="118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Application</w:t>
            </w:r>
          </w:p>
        </w:tc>
        <w:tc>
          <w:tcPr>
            <w:tcW w:w="80" w:type="dxa"/>
            <w:vAlign w:val="bottom"/>
            <w:shd w:val="clear" w:color="auto" w:fill="CCEEFF"/>
          </w:tcPr>
          <w:p>
            <w:pPr>
              <w:spacing w:after="0"/>
              <w:rPr>
                <w:sz w:val="11"/>
                <w:szCs w:val="11"/>
                <w:color w:val="auto"/>
              </w:rPr>
            </w:pPr>
          </w:p>
        </w:tc>
        <w:tc>
          <w:tcPr>
            <w:tcW w:w="23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LIBOR+8.50%, 2.00% PIK, 9.05%</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Software</w:t>
            </w:r>
          </w:p>
        </w:tc>
        <w:tc>
          <w:tcPr>
            <w:tcW w:w="246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 xml:space="preserve">floor, 3.50% ETP, due 7/22/2024 </w:t>
            </w:r>
            <w:r>
              <w:rPr>
                <w:rFonts w:ascii="Arial" w:cs="Arial" w:eastAsia="Arial" w:hAnsi="Arial"/>
                <w:sz w:val="10"/>
                <w:szCs w:val="10"/>
                <w:color w:val="auto"/>
              </w:rPr>
              <w:t>(4)</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7/22/2020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40,327,734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40,206,479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40,206,479</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tcPr>
          <w:p>
            <w:pPr>
              <w:spacing w:after="0" w:line="130" w:lineRule="exact"/>
              <w:rPr>
                <w:sz w:val="20"/>
                <w:szCs w:val="20"/>
                <w:color w:val="auto"/>
              </w:rPr>
            </w:pPr>
            <w:r>
              <w:rPr>
                <w:rFonts w:ascii="Arial" w:cs="Arial" w:eastAsia="Arial" w:hAnsi="Arial"/>
                <w:sz w:val="14"/>
                <w:szCs w:val="14"/>
                <w:color w:val="auto"/>
              </w:rPr>
              <w:t>ShareThis, Inc.</w:t>
            </w:r>
          </w:p>
        </w:tc>
        <w:tc>
          <w:tcPr>
            <w:tcW w:w="1180" w:type="dxa"/>
            <w:vAlign w:val="bottom"/>
            <w:gridSpan w:val="2"/>
          </w:tcPr>
          <w:p>
            <w:pPr>
              <w:ind w:left="80"/>
              <w:spacing w:after="0" w:line="130" w:lineRule="exact"/>
              <w:rPr>
                <w:sz w:val="20"/>
                <w:szCs w:val="20"/>
                <w:color w:val="auto"/>
              </w:rPr>
            </w:pPr>
            <w:r>
              <w:rPr>
                <w:rFonts w:ascii="Arial" w:cs="Arial" w:eastAsia="Arial" w:hAnsi="Arial"/>
                <w:sz w:val="14"/>
                <w:szCs w:val="14"/>
                <w:color w:val="auto"/>
                <w:w w:val="93"/>
              </w:rPr>
              <w:t>Data Processing &amp;</w:t>
            </w:r>
          </w:p>
        </w:tc>
        <w:tc>
          <w:tcPr>
            <w:tcW w:w="246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 LIBOR+9.25%, 11.60%</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Outsourced</w:t>
            </w:r>
          </w:p>
        </w:tc>
        <w:tc>
          <w:tcPr>
            <w:tcW w:w="24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floor, 3.00% ETP, due 12/31/2022</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color w:val="auto"/>
              </w:rPr>
              <w:t>Services</w:t>
            </w:r>
          </w:p>
        </w:tc>
        <w:tc>
          <w:tcPr>
            <w:tcW w:w="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12/3/2018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19,250,000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18,850,776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18,850,776</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4.04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46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II: LIBOR+9.25%, 11.60%</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6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floor, 3.00% ETP, due 12/31/2022</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1/7/2019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750,000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730,458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730,457</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6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III: LIBOR+9.25%, 11.60%</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60" w:type="dxa"/>
            <w:vAlign w:val="bottom"/>
            <w:gridSpan w:val="3"/>
          </w:tcPr>
          <w:p>
            <w:pPr>
              <w:ind w:left="80"/>
              <w:spacing w:after="0"/>
              <w:rPr>
                <w:sz w:val="20"/>
                <w:szCs w:val="20"/>
                <w:color w:val="auto"/>
              </w:rPr>
            </w:pPr>
            <w:r>
              <w:rPr>
                <w:rFonts w:ascii="Arial" w:cs="Arial" w:eastAsia="Arial" w:hAnsi="Arial"/>
                <w:sz w:val="14"/>
                <w:szCs w:val="14"/>
                <w:color w:val="auto"/>
              </w:rPr>
              <w:t>floor, 3.00% ETP, due 12/31/2022</w:t>
            </w:r>
          </w:p>
        </w:tc>
        <w:tc>
          <w:tcPr>
            <w:tcW w:w="700" w:type="dxa"/>
            <w:vAlign w:val="bottom"/>
          </w:tcPr>
          <w:p>
            <w:pPr>
              <w:jc w:val="right"/>
              <w:spacing w:after="0"/>
              <w:rPr>
                <w:sz w:val="20"/>
                <w:szCs w:val="20"/>
                <w:color w:val="auto"/>
              </w:rPr>
            </w:pPr>
            <w:r>
              <w:rPr>
                <w:rFonts w:ascii="Arial" w:cs="Arial" w:eastAsia="Arial" w:hAnsi="Arial"/>
                <w:sz w:val="14"/>
                <w:szCs w:val="14"/>
                <w:color w:val="auto"/>
              </w:rPr>
              <w:t>7/24/2019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1,000,000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965,131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965,131</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46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IV: LIBOR+8.25%, 10.60%</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6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floor, 3.00% ETP, due 12/31/2022</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8/18/2020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997,975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997,975</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tcPr>
          <w:p>
            <w:pPr>
              <w:spacing w:after="0" w:line="130" w:lineRule="exact"/>
              <w:rPr>
                <w:sz w:val="20"/>
                <w:szCs w:val="20"/>
                <w:color w:val="auto"/>
              </w:rPr>
            </w:pPr>
            <w:r>
              <w:rPr>
                <w:rFonts w:ascii="Arial" w:cs="Arial" w:eastAsia="Arial" w:hAnsi="Arial"/>
                <w:sz w:val="14"/>
                <w:szCs w:val="14"/>
                <w:color w:val="auto"/>
              </w:rPr>
              <w:t>The Kairn Corporation</w:t>
            </w:r>
          </w:p>
        </w:tc>
        <w:tc>
          <w:tcPr>
            <w:tcW w:w="118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Application</w:t>
            </w:r>
          </w:p>
        </w:tc>
        <w:tc>
          <w:tcPr>
            <w:tcW w:w="246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 LIBOR+9.50% PIK,</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color w:val="auto"/>
              </w:rPr>
              <w:t>Software</w:t>
            </w:r>
          </w:p>
        </w:tc>
        <w:tc>
          <w:tcPr>
            <w:tcW w:w="2460" w:type="dxa"/>
            <w:vAlign w:val="bottom"/>
            <w:gridSpan w:val="3"/>
          </w:tcPr>
          <w:p>
            <w:pPr>
              <w:ind w:left="80"/>
              <w:spacing w:after="0"/>
              <w:rPr>
                <w:sz w:val="20"/>
                <w:szCs w:val="20"/>
                <w:color w:val="auto"/>
              </w:rPr>
            </w:pPr>
            <w:r>
              <w:rPr>
                <w:rFonts w:ascii="Arial" w:cs="Arial" w:eastAsia="Arial" w:hAnsi="Arial"/>
                <w:sz w:val="14"/>
                <w:szCs w:val="14"/>
                <w:color w:val="auto"/>
              </w:rPr>
              <w:t xml:space="preserve">10.81% floor, due 12/15/2022 </w:t>
            </w:r>
            <w:r>
              <w:rPr>
                <w:rFonts w:ascii="Arial" w:cs="Arial" w:eastAsia="Arial" w:hAnsi="Arial"/>
                <w:sz w:val="10"/>
                <w:szCs w:val="10"/>
                <w:color w:val="auto"/>
              </w:rPr>
              <w:t>(4)</w:t>
            </w:r>
          </w:p>
        </w:tc>
        <w:tc>
          <w:tcPr>
            <w:tcW w:w="700" w:type="dxa"/>
            <w:vAlign w:val="bottom"/>
          </w:tcPr>
          <w:p>
            <w:pPr>
              <w:jc w:val="right"/>
              <w:spacing w:after="0"/>
              <w:rPr>
                <w:sz w:val="20"/>
                <w:szCs w:val="20"/>
                <w:color w:val="auto"/>
              </w:rPr>
            </w:pPr>
            <w:r>
              <w:rPr>
                <w:rFonts w:ascii="Arial" w:cs="Arial" w:eastAsia="Arial" w:hAnsi="Arial"/>
                <w:sz w:val="14"/>
                <w:szCs w:val="14"/>
                <w:color w:val="auto"/>
              </w:rPr>
              <w:t>3/24/2020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788,143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788,143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788,143</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46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II: Fixed 6.50% PIK, due</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3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 xml:space="preserve">3/9/2027 </w:t>
            </w:r>
            <w:r>
              <w:rPr>
                <w:rFonts w:ascii="Arial" w:cs="Arial" w:eastAsia="Arial" w:hAnsi="Arial"/>
                <w:sz w:val="10"/>
                <w:szCs w:val="10"/>
                <w:color w:val="auto"/>
              </w:rPr>
              <w:t>(4)</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3/9/2020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4,187,932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4,187,932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4,187,933</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tcPr>
          <w:p>
            <w:pPr>
              <w:spacing w:after="0" w:line="130" w:lineRule="exact"/>
              <w:rPr>
                <w:sz w:val="20"/>
                <w:szCs w:val="20"/>
                <w:color w:val="auto"/>
              </w:rPr>
            </w:pPr>
            <w:r>
              <w:rPr>
                <w:rFonts w:ascii="Arial" w:cs="Arial" w:eastAsia="Arial" w:hAnsi="Arial"/>
                <w:sz w:val="14"/>
                <w:szCs w:val="14"/>
                <w:color w:val="auto"/>
              </w:rPr>
              <w:t>VERO Biotech LLC</w:t>
            </w:r>
          </w:p>
        </w:tc>
        <w:tc>
          <w:tcPr>
            <w:tcW w:w="118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Health Care</w:t>
            </w:r>
          </w:p>
        </w:tc>
        <w:tc>
          <w:tcPr>
            <w:tcW w:w="80" w:type="dxa"/>
            <w:vAlign w:val="bottom"/>
          </w:tcPr>
          <w:p>
            <w:pPr>
              <w:spacing w:after="0"/>
              <w:rPr>
                <w:sz w:val="11"/>
                <w:szCs w:val="11"/>
                <w:color w:val="auto"/>
              </w:rPr>
            </w:pPr>
          </w:p>
        </w:tc>
        <w:tc>
          <w:tcPr>
            <w:tcW w:w="23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LIBOR+9.05%, 9.55% floor, 3.00%</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color w:val="auto"/>
              </w:rPr>
              <w:t>Technology</w:t>
            </w:r>
          </w:p>
        </w:tc>
        <w:tc>
          <w:tcPr>
            <w:tcW w:w="2460" w:type="dxa"/>
            <w:vAlign w:val="bottom"/>
            <w:tcBorders>
              <w:bottom w:val="single" w:sz="8" w:color="CCEEFF"/>
            </w:tcBorders>
            <w:gridSpan w:val="3"/>
          </w:tcPr>
          <w:p>
            <w:pPr>
              <w:ind w:left="80"/>
              <w:spacing w:after="0"/>
              <w:rPr>
                <w:sz w:val="20"/>
                <w:szCs w:val="20"/>
                <w:color w:val="auto"/>
              </w:rPr>
            </w:pPr>
            <w:r>
              <w:rPr>
                <w:rFonts w:ascii="Arial" w:cs="Arial" w:eastAsia="Arial" w:hAnsi="Arial"/>
                <w:sz w:val="14"/>
                <w:szCs w:val="14"/>
                <w:color w:val="auto"/>
              </w:rPr>
              <w:t>ETP, due 12/1/2024</w:t>
            </w: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1"/>
              </w:rPr>
              <w:t>12/29/2020</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25,000,000</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24,269,950</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24,269,950</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980" w:type="dxa"/>
            <w:vAlign w:val="bottom"/>
            <w:gridSpan w:val="3"/>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Total Senior Secured Term</w:t>
            </w:r>
          </w:p>
        </w:tc>
        <w:tc>
          <w:tcPr>
            <w:tcW w:w="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8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Loans</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2"/>
              </w:rPr>
              <w:t>494,689,952</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493,003,577</w:t>
            </w:r>
          </w:p>
        </w:tc>
        <w:tc>
          <w:tcPr>
            <w:tcW w:w="8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105.74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9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Preferred Stocks</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tcPr>
          <w:p>
            <w:pPr>
              <w:spacing w:after="0" w:line="130" w:lineRule="exact"/>
              <w:rPr>
                <w:sz w:val="20"/>
                <w:szCs w:val="20"/>
                <w:color w:val="auto"/>
              </w:rPr>
            </w:pPr>
            <w:r>
              <w:rPr>
                <w:rFonts w:ascii="Arial" w:cs="Arial" w:eastAsia="Arial" w:hAnsi="Arial"/>
                <w:sz w:val="14"/>
                <w:szCs w:val="14"/>
                <w:color w:val="auto"/>
              </w:rPr>
              <w:t>Aria Systems, Inc.</w:t>
            </w:r>
          </w:p>
        </w:tc>
        <w:tc>
          <w:tcPr>
            <w:tcW w:w="118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Application</w:t>
            </w:r>
          </w:p>
        </w:tc>
        <w:tc>
          <w:tcPr>
            <w:tcW w:w="80" w:type="dxa"/>
            <w:vAlign w:val="bottom"/>
          </w:tcPr>
          <w:p>
            <w:pPr>
              <w:spacing w:after="0"/>
              <w:rPr>
                <w:sz w:val="11"/>
                <w:szCs w:val="11"/>
                <w:color w:val="auto"/>
              </w:rPr>
            </w:pPr>
          </w:p>
        </w:tc>
        <w:tc>
          <w:tcPr>
            <w:tcW w:w="23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 xml:space="preserve">Series G Preferred Stock </w:t>
            </w:r>
            <w:r>
              <w:rPr>
                <w:rFonts w:ascii="Arial" w:cs="Arial" w:eastAsia="Arial" w:hAnsi="Arial"/>
                <w:sz w:val="10"/>
                <w:szCs w:val="10"/>
                <w:color w:val="auto"/>
              </w:rPr>
              <w:t>(7)</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color w:val="auto"/>
              </w:rPr>
              <w:t>Software</w:t>
            </w:r>
          </w:p>
        </w:tc>
        <w:tc>
          <w:tcPr>
            <w:tcW w:w="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7/10/2018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289,419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250,000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451,494</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MTBC, Inc.</w:t>
            </w:r>
          </w:p>
        </w:tc>
        <w:tc>
          <w:tcPr>
            <w:tcW w:w="118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Health Care</w:t>
            </w:r>
          </w:p>
        </w:tc>
        <w:tc>
          <w:tcPr>
            <w:tcW w:w="80" w:type="dxa"/>
            <w:vAlign w:val="bottom"/>
            <w:shd w:val="clear" w:color="auto" w:fill="CCEEFF"/>
          </w:tcPr>
          <w:p>
            <w:pPr>
              <w:spacing w:after="0"/>
              <w:rPr>
                <w:sz w:val="11"/>
                <w:szCs w:val="11"/>
                <w:color w:val="auto"/>
              </w:rPr>
            </w:pPr>
          </w:p>
        </w:tc>
        <w:tc>
          <w:tcPr>
            <w:tcW w:w="23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w w:val="95"/>
              </w:rPr>
              <w:t>11% Series A Cumulative Redeemable</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Technology</w:t>
            </w:r>
          </w:p>
        </w:tc>
        <w:tc>
          <w:tcPr>
            <w:tcW w:w="246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 xml:space="preserve">Perpetual Preferred Stock </w:t>
            </w:r>
            <w:r>
              <w:rPr>
                <w:rFonts w:ascii="Arial" w:cs="Arial" w:eastAsia="Arial" w:hAnsi="Arial"/>
                <w:sz w:val="10"/>
                <w:szCs w:val="10"/>
                <w:color w:val="auto"/>
              </w:rPr>
              <w:t>(15),(16)</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1/8/2020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760,000</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18,687,450</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14,659,600</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Total Preferred Stocks</w:t>
            </w: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18,937,450</w:t>
            </w: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15,111,094</w:t>
            </w:r>
          </w:p>
        </w:tc>
        <w:tc>
          <w:tcPr>
            <w:tcW w:w="8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2020</w:t>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Acquisition</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20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40" w:type="dxa"/>
            <w:vAlign w:val="bottom"/>
          </w:tcPr>
          <w:p>
            <w:pPr>
              <w:spacing w:after="0"/>
              <w:rPr>
                <w:sz w:val="12"/>
                <w:szCs w:val="12"/>
                <w:color w:val="auto"/>
              </w:rPr>
            </w:pPr>
          </w:p>
        </w:tc>
        <w:tc>
          <w:tcPr>
            <w:tcW w:w="11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Sub-Industry</w:t>
            </w:r>
          </w:p>
        </w:tc>
        <w:tc>
          <w:tcPr>
            <w:tcW w:w="60" w:type="dxa"/>
            <w:vAlign w:val="bottom"/>
          </w:tcPr>
          <w:p>
            <w:pPr>
              <w:spacing w:after="0"/>
              <w:rPr>
                <w:sz w:val="12"/>
                <w:szCs w:val="12"/>
                <w:color w:val="auto"/>
              </w:rPr>
            </w:pPr>
          </w:p>
        </w:tc>
        <w:tc>
          <w:tcPr>
            <w:tcW w:w="24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(2),(8)</w:t>
            </w:r>
          </w:p>
        </w:tc>
        <w:tc>
          <w:tcPr>
            <w:tcW w:w="7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80" w:type="dxa"/>
            <w:vAlign w:val="bottom"/>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420" w:type="dxa"/>
            <w:vAlign w:val="bottom"/>
            <w:gridSpan w:val="2"/>
            <w:vMerge w:val="continue"/>
          </w:tcPr>
          <w:p>
            <w:pPr>
              <w:spacing w:after="0"/>
              <w:rPr>
                <w:sz w:val="14"/>
                <w:szCs w:val="14"/>
                <w:color w:val="auto"/>
              </w:rPr>
            </w:pPr>
          </w:p>
        </w:tc>
        <w:tc>
          <w:tcPr>
            <w:tcW w:w="800" w:type="dxa"/>
            <w:vAlign w:val="bottom"/>
            <w:gridSpan w:val="2"/>
          </w:tcPr>
          <w:p>
            <w:pPr>
              <w:ind w:left="220"/>
              <w:spacing w:after="0"/>
              <w:rPr>
                <w:sz w:val="20"/>
                <w:szCs w:val="20"/>
                <w:color w:val="auto"/>
              </w:rPr>
            </w:pPr>
            <w:r>
              <w:rPr>
                <w:rFonts w:ascii="Arial" w:cs="Arial" w:eastAsia="Arial" w:hAnsi="Arial"/>
                <w:sz w:val="14"/>
                <w:szCs w:val="14"/>
                <w:b w:val="1"/>
                <w:bCs w:val="1"/>
                <w:color w:val="auto"/>
              </w:rPr>
              <w:t>Date</w:t>
            </w: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40" w:type="dxa"/>
            <w:vAlign w:val="bottom"/>
            <w:tcBorders>
              <w:top w:val="single" w:sz="8" w:color="CCEEFF"/>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3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4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7"/>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5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1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3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Common Stocks</w:t>
            </w:r>
            <w:r>
              <w:rPr>
                <w:rFonts w:ascii="Arial" w:cs="Arial" w:eastAsia="Arial" w:hAnsi="Arial"/>
                <w:sz w:val="10"/>
                <w:szCs w:val="10"/>
                <w:b w:val="1"/>
                <w:bCs w:val="1"/>
                <w:color w:val="auto"/>
              </w:rPr>
              <w:t>(7)</w:t>
            </w:r>
          </w:p>
        </w:tc>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Porch Group, Inc.</w:t>
            </w:r>
          </w:p>
        </w:tc>
        <w:tc>
          <w:tcPr>
            <w:tcW w:w="12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Application</w:t>
            </w:r>
          </w:p>
        </w:tc>
        <w:tc>
          <w:tcPr>
            <w:tcW w:w="6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 xml:space="preserve">Common Stock </w:t>
            </w:r>
            <w:r>
              <w:rPr>
                <w:rFonts w:ascii="Arial" w:cs="Arial" w:eastAsia="Arial" w:hAnsi="Arial"/>
                <w:sz w:val="10"/>
                <w:szCs w:val="10"/>
                <w:color w:val="auto"/>
              </w:rPr>
              <w:t>(15)</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Software</w:t>
            </w:r>
          </w:p>
        </w:tc>
        <w:tc>
          <w:tcPr>
            <w:tcW w:w="6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12/23/2020</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38,079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118,100</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521,940</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0.11 %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zSpace, Inc.</w:t>
            </w:r>
          </w:p>
        </w:tc>
        <w:tc>
          <w:tcPr>
            <w:tcW w:w="122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Technology</w:t>
            </w:r>
          </w:p>
        </w:tc>
        <w:tc>
          <w:tcPr>
            <w:tcW w:w="60" w:type="dxa"/>
            <w:vAlign w:val="bottom"/>
          </w:tcPr>
          <w:p>
            <w:pPr>
              <w:spacing w:after="0"/>
              <w:rPr>
                <w:sz w:val="11"/>
                <w:szCs w:val="11"/>
                <w:color w:val="auto"/>
              </w:rPr>
            </w:pPr>
          </w:p>
        </w:tc>
        <w:tc>
          <w:tcPr>
            <w:tcW w:w="242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Common Stock</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8"/>
              </w:rPr>
              <w:t>Hardware, Storage</w:t>
            </w:r>
          </w:p>
        </w:tc>
        <w:tc>
          <w:tcPr>
            <w:tcW w:w="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color w:val="auto"/>
              </w:rPr>
              <w:t>&amp; Peripherals</w:t>
            </w:r>
          </w:p>
        </w:tc>
        <w:tc>
          <w:tcPr>
            <w:tcW w:w="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1"/>
              </w:rPr>
              <w:t>12/31/2020</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6,811,430</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1,119,096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4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Common Stocks</w:t>
            </w:r>
          </w:p>
        </w:tc>
        <w:tc>
          <w:tcPr>
            <w:tcW w:w="4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3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1,237,196</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521,940</w:t>
            </w:r>
          </w:p>
        </w:tc>
        <w:tc>
          <w:tcPr>
            <w:tcW w:w="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0.11</w:t>
            </w: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(7)</w:t>
            </w:r>
          </w:p>
        </w:tc>
        <w:tc>
          <w:tcPr>
            <w:tcW w:w="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AllClear ID, Inc.</w:t>
            </w:r>
          </w:p>
        </w:tc>
        <w:tc>
          <w:tcPr>
            <w:tcW w:w="122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Specialized</w:t>
            </w:r>
          </w:p>
        </w:tc>
        <w:tc>
          <w:tcPr>
            <w:tcW w:w="60" w:type="dxa"/>
            <w:vAlign w:val="bottom"/>
          </w:tcPr>
          <w:p>
            <w:pPr>
              <w:spacing w:after="0"/>
              <w:rPr>
                <w:sz w:val="11"/>
                <w:szCs w:val="11"/>
                <w:color w:val="auto"/>
              </w:rPr>
            </w:pPr>
          </w:p>
        </w:tc>
        <w:tc>
          <w:tcPr>
            <w:tcW w:w="242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Common Stock, exercise</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color w:val="auto"/>
                <w:w w:val="94"/>
              </w:rPr>
              <w:t>Consumer Services</w:t>
            </w:r>
          </w:p>
        </w:tc>
        <w:tc>
          <w:tcPr>
            <w:tcW w:w="2480" w:type="dxa"/>
            <w:vAlign w:val="bottom"/>
            <w:gridSpan w:val="3"/>
          </w:tcPr>
          <w:p>
            <w:pPr>
              <w:ind w:left="60"/>
              <w:spacing w:after="0"/>
              <w:rPr>
                <w:sz w:val="20"/>
                <w:szCs w:val="20"/>
                <w:color w:val="auto"/>
              </w:rPr>
            </w:pPr>
            <w:r>
              <w:rPr>
                <w:rFonts w:ascii="Arial" w:cs="Arial" w:eastAsia="Arial" w:hAnsi="Arial"/>
                <w:sz w:val="14"/>
                <w:szCs w:val="14"/>
                <w:color w:val="auto"/>
              </w:rPr>
              <w:t>price $0.01/share, expires 9/1/2027</w:t>
            </w:r>
          </w:p>
        </w:tc>
        <w:tc>
          <w:tcPr>
            <w:tcW w:w="700" w:type="dxa"/>
            <w:vAlign w:val="bottom"/>
          </w:tcPr>
          <w:p>
            <w:pPr>
              <w:jc w:val="right"/>
              <w:spacing w:after="0"/>
              <w:rPr>
                <w:sz w:val="20"/>
                <w:szCs w:val="20"/>
                <w:color w:val="auto"/>
              </w:rPr>
            </w:pPr>
            <w:r>
              <w:rPr>
                <w:rFonts w:ascii="Arial" w:cs="Arial" w:eastAsia="Arial" w:hAnsi="Arial"/>
                <w:sz w:val="14"/>
                <w:szCs w:val="14"/>
                <w:color w:val="auto"/>
              </w:rPr>
              <w:t>9/1/2017</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870,514</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1,749,733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980,199</w:t>
            </w: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0.21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Aria Systems, Inc.</w:t>
            </w:r>
          </w:p>
        </w:tc>
        <w:tc>
          <w:tcPr>
            <w:tcW w:w="12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Application</w:t>
            </w:r>
          </w:p>
        </w:tc>
        <w:tc>
          <w:tcPr>
            <w:tcW w:w="6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G Preferred Stock,</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Software</w:t>
            </w:r>
          </w:p>
        </w:tc>
        <w:tc>
          <w:tcPr>
            <w:tcW w:w="248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exercise price $0.8638/share, expires</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6/29/2028</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6/29/2018</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2,170,641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770,578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2,772,147</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0.59</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Aspen Group Inc.</w:t>
            </w:r>
          </w:p>
        </w:tc>
        <w:tc>
          <w:tcPr>
            <w:tcW w:w="1220" w:type="dxa"/>
            <w:vAlign w:val="bottom"/>
            <w:gridSpan w:val="2"/>
          </w:tcPr>
          <w:p>
            <w:pPr>
              <w:ind w:left="40"/>
              <w:spacing w:after="0" w:line="130" w:lineRule="exact"/>
              <w:rPr>
                <w:sz w:val="20"/>
                <w:szCs w:val="20"/>
                <w:color w:val="auto"/>
              </w:rPr>
            </w:pPr>
            <w:r>
              <w:rPr>
                <w:rFonts w:ascii="Arial" w:cs="Arial" w:eastAsia="Arial" w:hAnsi="Arial"/>
                <w:sz w:val="14"/>
                <w:szCs w:val="14"/>
                <w:color w:val="auto"/>
                <w:w w:val="96"/>
              </w:rPr>
              <w:t>Education Services</w:t>
            </w:r>
          </w:p>
        </w:tc>
        <w:tc>
          <w:tcPr>
            <w:tcW w:w="60" w:type="dxa"/>
            <w:vAlign w:val="bottom"/>
          </w:tcPr>
          <w:p>
            <w:pPr>
              <w:spacing w:after="0"/>
              <w:rPr>
                <w:sz w:val="11"/>
                <w:szCs w:val="11"/>
                <w:color w:val="auto"/>
              </w:rPr>
            </w:pPr>
          </w:p>
        </w:tc>
        <w:tc>
          <w:tcPr>
            <w:tcW w:w="242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Common Stock, exercise</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80" w:type="dxa"/>
            <w:vAlign w:val="bottom"/>
            <w:gridSpan w:val="3"/>
          </w:tcPr>
          <w:p>
            <w:pPr>
              <w:ind w:left="60"/>
              <w:spacing w:after="0"/>
              <w:rPr>
                <w:sz w:val="20"/>
                <w:szCs w:val="20"/>
                <w:color w:val="auto"/>
              </w:rPr>
            </w:pPr>
            <w:r>
              <w:rPr>
                <w:rFonts w:ascii="Arial" w:cs="Arial" w:eastAsia="Arial" w:hAnsi="Arial"/>
                <w:sz w:val="14"/>
                <w:szCs w:val="14"/>
                <w:color w:val="auto"/>
              </w:rPr>
              <w:t>price $6.87/share, expires 7/25/2022</w:t>
            </w:r>
          </w:p>
        </w:tc>
        <w:tc>
          <w:tcPr>
            <w:tcW w:w="700" w:type="dxa"/>
            <w:vAlign w:val="bottom"/>
          </w:tcPr>
          <w:p>
            <w:pPr>
              <w:jc w:val="right"/>
              <w:spacing w:after="0"/>
              <w:rPr>
                <w:sz w:val="20"/>
                <w:szCs w:val="20"/>
                <w:color w:val="auto"/>
              </w:rPr>
            </w:pPr>
            <w:r>
              <w:rPr>
                <w:rFonts w:ascii="Arial" w:cs="Arial" w:eastAsia="Arial" w:hAnsi="Arial"/>
                <w:sz w:val="14"/>
                <w:szCs w:val="14"/>
                <w:color w:val="auto"/>
              </w:rPr>
              <w:t>7/25/2017</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224,174</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583,301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1,217,000</w:t>
            </w: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0.26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Brilliant Earth, LLC</w:t>
            </w:r>
          </w:p>
        </w:tc>
        <w:tc>
          <w:tcPr>
            <w:tcW w:w="12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Internet Retail</w:t>
            </w:r>
          </w:p>
        </w:tc>
        <w:tc>
          <w:tcPr>
            <w:tcW w:w="6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Class P Units, exercise</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8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price $5.25/share, expires 9/30/2029</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9/30/2019</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333,333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973,000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1,380,000</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0.30</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2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Class P Units, exercise</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80" w:type="dxa"/>
            <w:vAlign w:val="bottom"/>
            <w:gridSpan w:val="3"/>
          </w:tcPr>
          <w:p>
            <w:pPr>
              <w:ind w:left="60"/>
              <w:spacing w:after="0"/>
              <w:rPr>
                <w:sz w:val="20"/>
                <w:szCs w:val="20"/>
                <w:color w:val="auto"/>
              </w:rPr>
            </w:pPr>
            <w:r>
              <w:rPr>
                <w:rFonts w:ascii="Arial" w:cs="Arial" w:eastAsia="Arial" w:hAnsi="Arial"/>
                <w:sz w:val="14"/>
                <w:szCs w:val="14"/>
                <w:color w:val="auto"/>
                <w:w w:val="98"/>
              </w:rPr>
              <w:t>price $10.00/share, expires 12/17/2030</w:t>
            </w:r>
          </w:p>
        </w:tc>
        <w:tc>
          <w:tcPr>
            <w:tcW w:w="700" w:type="dxa"/>
            <w:vAlign w:val="bottom"/>
          </w:tcPr>
          <w:p>
            <w:pPr>
              <w:jc w:val="right"/>
              <w:spacing w:after="0"/>
              <w:rPr>
                <w:sz w:val="20"/>
                <w:szCs w:val="20"/>
                <w:color w:val="auto"/>
              </w:rPr>
            </w:pPr>
            <w:r>
              <w:rPr>
                <w:rFonts w:ascii="Arial" w:cs="Arial" w:eastAsia="Arial" w:hAnsi="Arial"/>
                <w:sz w:val="14"/>
                <w:szCs w:val="14"/>
                <w:color w:val="auto"/>
                <w:w w:val="91"/>
              </w:rPr>
              <w:t>12/17/2020</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25,000</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25,500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25,500</w:t>
            </w: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0.01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Circadence Corporation</w:t>
            </w:r>
          </w:p>
        </w:tc>
        <w:tc>
          <w:tcPr>
            <w:tcW w:w="12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Application</w:t>
            </w:r>
          </w:p>
        </w:tc>
        <w:tc>
          <w:tcPr>
            <w:tcW w:w="6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w w:val="96"/>
              </w:rPr>
              <w:t>Warrant for Series A-6 Preferred Stock,</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Software</w:t>
            </w:r>
          </w:p>
        </w:tc>
        <w:tc>
          <w:tcPr>
            <w:tcW w:w="248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exercise price $1.17/share, expires</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12/20/2028</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12/20/2018</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1,538,462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3,630,000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3,083,703</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0.66</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20" w:type="dxa"/>
            <w:vAlign w:val="bottom"/>
            <w:gridSpan w:val="2"/>
          </w:tcPr>
          <w:p>
            <w:pPr>
              <w:ind w:left="40"/>
              <w:spacing w:after="0" w:line="130" w:lineRule="exact"/>
              <w:rPr>
                <w:sz w:val="20"/>
                <w:szCs w:val="20"/>
                <w:color w:val="auto"/>
              </w:rPr>
            </w:pPr>
            <w:r>
              <w:rPr>
                <w:rFonts w:ascii="Arial" w:cs="Arial" w:eastAsia="Arial" w:hAnsi="Arial"/>
                <w:sz w:val="14"/>
                <w:szCs w:val="14"/>
                <w:color w:val="auto"/>
                <w:w w:val="96"/>
              </w:rPr>
              <w:t>Warrant for Series A-6 Preferred Stock,</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8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exercise price $1.17/share, expires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20" w:type="dxa"/>
            <w:vAlign w:val="bottom"/>
            <w:gridSpan w:val="2"/>
          </w:tcPr>
          <w:p>
            <w:pPr>
              <w:ind w:left="60"/>
              <w:spacing w:after="0"/>
              <w:rPr>
                <w:sz w:val="20"/>
                <w:szCs w:val="20"/>
                <w:color w:val="auto"/>
              </w:rPr>
            </w:pPr>
            <w:r>
              <w:rPr>
                <w:rFonts w:ascii="Arial" w:cs="Arial" w:eastAsia="Arial" w:hAnsi="Arial"/>
                <w:sz w:val="14"/>
                <w:szCs w:val="14"/>
                <w:color w:val="auto"/>
              </w:rPr>
              <w:t>10/31/2029</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1"/>
              </w:rPr>
              <w:t>10/31/2019</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384,615</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845,540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770,926</w:t>
            </w: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CloudPassage, Inc.</w:t>
            </w:r>
          </w:p>
        </w:tc>
        <w:tc>
          <w:tcPr>
            <w:tcW w:w="12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Data Processing &amp;</w:t>
            </w:r>
          </w:p>
        </w:tc>
        <w:tc>
          <w:tcPr>
            <w:tcW w:w="6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w w:val="96"/>
              </w:rPr>
              <w:t>Warrant for Series D-1 Preferred Stock,</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Outsourced</w:t>
            </w:r>
          </w:p>
        </w:tc>
        <w:tc>
          <w:tcPr>
            <w:tcW w:w="248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exercise price $1.60/share, expires</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Services</w:t>
            </w:r>
          </w:p>
        </w:tc>
        <w:tc>
          <w:tcPr>
            <w:tcW w:w="2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6/13/2029</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6/13/2019</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210,938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273,798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116,135</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CloudPay Solutions Ltd.</w:t>
            </w:r>
          </w:p>
        </w:tc>
        <w:tc>
          <w:tcPr>
            <w:tcW w:w="1220" w:type="dxa"/>
            <w:vAlign w:val="bottom"/>
            <w:gridSpan w:val="2"/>
          </w:tcPr>
          <w:p>
            <w:pPr>
              <w:ind w:left="40"/>
              <w:spacing w:after="0" w:line="130" w:lineRule="exact"/>
              <w:rPr>
                <w:sz w:val="20"/>
                <w:szCs w:val="20"/>
                <w:color w:val="auto"/>
              </w:rPr>
            </w:pPr>
            <w:r>
              <w:rPr>
                <w:rFonts w:ascii="Arial" w:cs="Arial" w:eastAsia="Arial" w:hAnsi="Arial"/>
                <w:sz w:val="14"/>
                <w:szCs w:val="14"/>
                <w:color w:val="auto"/>
                <w:w w:val="94"/>
              </w:rPr>
              <w:t>Human Resource &amp;</w:t>
            </w:r>
          </w:p>
        </w:tc>
        <w:tc>
          <w:tcPr>
            <w:tcW w:w="248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Warrant for Series B Preferred Stock,</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Employment</w:t>
            </w:r>
          </w:p>
        </w:tc>
        <w:tc>
          <w:tcPr>
            <w:tcW w:w="248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exercise price $66.53/share, expires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color w:val="auto"/>
              </w:rPr>
              <w:t>Services</w:t>
            </w:r>
          </w:p>
        </w:tc>
        <w:tc>
          <w:tcPr>
            <w:tcW w:w="2420" w:type="dxa"/>
            <w:vAlign w:val="bottom"/>
            <w:gridSpan w:val="2"/>
          </w:tcPr>
          <w:p>
            <w:pPr>
              <w:ind w:left="60"/>
              <w:spacing w:after="0"/>
              <w:rPr>
                <w:sz w:val="20"/>
                <w:szCs w:val="20"/>
                <w:color w:val="auto"/>
              </w:rPr>
            </w:pPr>
            <w:r>
              <w:rPr>
                <w:rFonts w:ascii="Arial" w:cs="Arial" w:eastAsia="Arial" w:hAnsi="Arial"/>
                <w:sz w:val="14"/>
                <w:szCs w:val="14"/>
                <w:color w:val="auto"/>
              </w:rPr>
              <w:t xml:space="preserve">6/30/2030 </w:t>
            </w:r>
            <w:r>
              <w:rPr>
                <w:rFonts w:ascii="Arial" w:cs="Arial" w:eastAsia="Arial" w:hAnsi="Arial"/>
                <w:sz w:val="10"/>
                <w:szCs w:val="10"/>
                <w:color w:val="auto"/>
              </w:rPr>
              <w:t>(3),(11)</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6/30/2020</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11,273</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217,500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298,697</w:t>
            </w: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0.06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Credit Sesame, Inc.</w:t>
            </w:r>
          </w:p>
        </w:tc>
        <w:tc>
          <w:tcPr>
            <w:tcW w:w="12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Specialized</w:t>
            </w:r>
          </w:p>
        </w:tc>
        <w:tc>
          <w:tcPr>
            <w:tcW w:w="6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Common Stock, exercise</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4"/>
              </w:rPr>
              <w:t>Consumer Services</w:t>
            </w:r>
          </w:p>
        </w:tc>
        <w:tc>
          <w:tcPr>
            <w:tcW w:w="248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price $0.01/share, expires 1/7/2030</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1/7/2020</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191,601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424,800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596,167</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Dejero Labs Inc.</w:t>
            </w:r>
          </w:p>
        </w:tc>
        <w:tc>
          <w:tcPr>
            <w:tcW w:w="122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System Software</w:t>
            </w:r>
          </w:p>
        </w:tc>
        <w:tc>
          <w:tcPr>
            <w:tcW w:w="248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Warrant for Common Stock, exercise</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80" w:type="dxa"/>
            <w:vAlign w:val="bottom"/>
            <w:gridSpan w:val="3"/>
          </w:tcPr>
          <w:p>
            <w:pPr>
              <w:ind w:left="60"/>
              <w:spacing w:after="0" w:line="157" w:lineRule="exact"/>
              <w:rPr>
                <w:sz w:val="20"/>
                <w:szCs w:val="20"/>
                <w:color w:val="auto"/>
              </w:rPr>
            </w:pPr>
            <w:r>
              <w:rPr>
                <w:rFonts w:ascii="Arial" w:cs="Arial" w:eastAsia="Arial" w:hAnsi="Arial"/>
                <w:sz w:val="14"/>
                <w:szCs w:val="14"/>
                <w:color w:val="auto"/>
                <w:w w:val="97"/>
              </w:rPr>
              <w:t xml:space="preserve">price $0.01/share, expires 5/31/2029 </w:t>
            </w:r>
            <w:r>
              <w:rPr>
                <w:rFonts w:ascii="Arial" w:cs="Arial" w:eastAsia="Arial" w:hAnsi="Arial"/>
                <w:sz w:val="10"/>
                <w:szCs w:val="10"/>
                <w:color w:val="auto"/>
                <w:w w:val="97"/>
              </w:rPr>
              <w:t>(3),</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5/31/2019</w:t>
            </w:r>
          </w:p>
        </w:tc>
        <w:tc>
          <w:tcPr>
            <w:tcW w:w="1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333,621</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192,499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264,160</w:t>
            </w:r>
          </w:p>
        </w:tc>
        <w:tc>
          <w:tcPr>
            <w:tcW w:w="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0.06</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20" w:type="dxa"/>
            <w:vAlign w:val="bottom"/>
            <w:gridSpan w:val="2"/>
          </w:tcPr>
          <w:p>
            <w:pPr>
              <w:ind w:left="60"/>
              <w:spacing w:after="0"/>
              <w:rPr>
                <w:sz w:val="20"/>
                <w:szCs w:val="20"/>
                <w:color w:val="auto"/>
              </w:rPr>
            </w:pPr>
            <w:r>
              <w:rPr>
                <w:rFonts w:ascii="Arial" w:cs="Arial" w:eastAsia="Arial" w:hAnsi="Arial"/>
                <w:sz w:val="11"/>
                <w:szCs w:val="11"/>
                <w:color w:val="auto"/>
              </w:rPr>
              <w:t>(6)</w:t>
            </w:r>
          </w:p>
        </w:tc>
        <w:tc>
          <w:tcPr>
            <w:tcW w:w="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Dtex Systems, Inc.</w:t>
            </w:r>
          </w:p>
        </w:tc>
        <w:tc>
          <w:tcPr>
            <w:tcW w:w="12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Application</w:t>
            </w:r>
          </w:p>
        </w:tc>
        <w:tc>
          <w:tcPr>
            <w:tcW w:w="6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C-Prime Preferred</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Software</w:t>
            </w:r>
          </w:p>
        </w:tc>
        <w:tc>
          <w:tcPr>
            <w:tcW w:w="248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Stock, exercise price $0.6000/share,</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8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expires 6/1/2025</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6/1/2018</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59,000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297,136</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2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Series C-Prime Preferred</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8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Stock, exercise price $0.6000/share,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80" w:type="dxa"/>
            <w:vAlign w:val="bottom"/>
            <w:gridSpan w:val="3"/>
          </w:tcPr>
          <w:p>
            <w:pPr>
              <w:ind w:left="60"/>
              <w:spacing w:after="0"/>
              <w:rPr>
                <w:sz w:val="20"/>
                <w:szCs w:val="20"/>
                <w:color w:val="auto"/>
              </w:rPr>
            </w:pPr>
            <w:r>
              <w:rPr>
                <w:rFonts w:ascii="Arial" w:cs="Arial" w:eastAsia="Arial" w:hAnsi="Arial"/>
                <w:sz w:val="14"/>
                <w:szCs w:val="14"/>
                <w:color w:val="auto"/>
              </w:rPr>
              <w:t>expires 7/11/2026</w:t>
            </w:r>
          </w:p>
        </w:tc>
        <w:tc>
          <w:tcPr>
            <w:tcW w:w="700" w:type="dxa"/>
            <w:vAlign w:val="bottom"/>
          </w:tcPr>
          <w:p>
            <w:pPr>
              <w:jc w:val="right"/>
              <w:spacing w:after="0"/>
              <w:rPr>
                <w:sz w:val="20"/>
                <w:szCs w:val="20"/>
                <w:color w:val="auto"/>
              </w:rPr>
            </w:pPr>
            <w:r>
              <w:rPr>
                <w:rFonts w:ascii="Arial" w:cs="Arial" w:eastAsia="Arial" w:hAnsi="Arial"/>
                <w:sz w:val="14"/>
                <w:szCs w:val="14"/>
                <w:color w:val="auto"/>
              </w:rPr>
              <w:t>7/11/2019</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833,333</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114,719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495,226</w:t>
            </w: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0.11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Echo 360 Holdings, Inc.</w:t>
            </w:r>
          </w:p>
        </w:tc>
        <w:tc>
          <w:tcPr>
            <w:tcW w:w="12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w w:val="96"/>
              </w:rPr>
              <w:t>Education Services</w:t>
            </w:r>
          </w:p>
        </w:tc>
        <w:tc>
          <w:tcPr>
            <w:tcW w:w="6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E Preferred Stock,</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48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exercise price $1.5963/share, expires</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5/3/2029</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5/3/2019</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1,066,767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299,762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629,630</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0.14</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2020</w:t>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9"/>
              </w:rPr>
              <w:t>Acquisition</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20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60" w:type="dxa"/>
            <w:vAlign w:val="bottom"/>
          </w:tcPr>
          <w:p>
            <w:pPr>
              <w:spacing w:after="0"/>
              <w:rPr>
                <w:sz w:val="12"/>
                <w:szCs w:val="12"/>
                <w:color w:val="auto"/>
              </w:rPr>
            </w:pPr>
          </w:p>
        </w:tc>
        <w:tc>
          <w:tcPr>
            <w:tcW w:w="12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Sub-Industry</w:t>
            </w:r>
          </w:p>
        </w:tc>
        <w:tc>
          <w:tcPr>
            <w:tcW w:w="60" w:type="dxa"/>
            <w:vAlign w:val="bottom"/>
          </w:tcPr>
          <w:p>
            <w:pPr>
              <w:spacing w:after="0"/>
              <w:rPr>
                <w:sz w:val="12"/>
                <w:szCs w:val="12"/>
                <w:color w:val="auto"/>
              </w:rPr>
            </w:pPr>
          </w:p>
        </w:tc>
        <w:tc>
          <w:tcPr>
            <w:tcW w:w="24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80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Cost</w:t>
            </w:r>
          </w:p>
        </w:tc>
        <w:tc>
          <w:tcPr>
            <w:tcW w:w="108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(2),(8)</w:t>
            </w:r>
          </w:p>
        </w:tc>
        <w:tc>
          <w:tcPr>
            <w:tcW w:w="7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8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420" w:type="dxa"/>
            <w:vAlign w:val="bottom"/>
            <w:gridSpan w:val="2"/>
            <w:vMerge w:val="continue"/>
          </w:tcPr>
          <w:p>
            <w:pPr>
              <w:spacing w:after="0"/>
              <w:rPr>
                <w:sz w:val="14"/>
                <w:szCs w:val="14"/>
                <w:color w:val="auto"/>
              </w:rPr>
            </w:pPr>
          </w:p>
        </w:tc>
        <w:tc>
          <w:tcPr>
            <w:tcW w:w="800" w:type="dxa"/>
            <w:vAlign w:val="bottom"/>
            <w:gridSpan w:val="2"/>
          </w:tcPr>
          <w:p>
            <w:pPr>
              <w:ind w:left="240"/>
              <w:spacing w:after="0"/>
              <w:rPr>
                <w:sz w:val="20"/>
                <w:szCs w:val="20"/>
                <w:color w:val="auto"/>
              </w:rPr>
            </w:pPr>
            <w:r>
              <w:rPr>
                <w:rFonts w:ascii="Arial" w:cs="Arial" w:eastAsia="Arial" w:hAnsi="Arial"/>
                <w:sz w:val="14"/>
                <w:szCs w:val="14"/>
                <w:b w:val="1"/>
                <w:bCs w:val="1"/>
                <w:color w:val="auto"/>
              </w:rPr>
              <w:t>Date</w:t>
            </w:r>
          </w:p>
        </w:tc>
        <w:tc>
          <w:tcPr>
            <w:tcW w:w="740" w:type="dxa"/>
            <w:vAlign w:val="bottom"/>
          </w:tcPr>
          <w:p>
            <w:pPr>
              <w:jc w:val="right"/>
              <w:ind w:right="6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6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6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3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14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8"/>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5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2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3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(7)</w:t>
            </w:r>
            <w:r>
              <w:rPr>
                <w:rFonts w:ascii="Arial" w:cs="Arial" w:eastAsia="Arial" w:hAnsi="Arial"/>
                <w:sz w:val="14"/>
                <w:szCs w:val="14"/>
                <w:b w:val="1"/>
                <w:bCs w:val="1"/>
                <w:color w:val="auto"/>
              </w:rPr>
              <w:t xml:space="preserve"> (continued)</w:t>
            </w: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FiscalNote, Inc.</w:t>
            </w:r>
          </w:p>
        </w:tc>
        <w:tc>
          <w:tcPr>
            <w:tcW w:w="126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Application</w:t>
            </w:r>
          </w:p>
        </w:tc>
        <w:tc>
          <w:tcPr>
            <w:tcW w:w="6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Common Stock, exercise</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Software</w:t>
            </w:r>
          </w:p>
        </w:tc>
        <w:tc>
          <w:tcPr>
            <w:tcW w:w="248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price $0.01/share, expires 10/19/2030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10/19/2020</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194,673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438,014</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409,996</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0.09 %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Gynesonics, Inc.</w:t>
            </w:r>
          </w:p>
        </w:tc>
        <w:tc>
          <w:tcPr>
            <w:tcW w:w="126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Health Care</w:t>
            </w:r>
          </w:p>
        </w:tc>
        <w:tc>
          <w:tcPr>
            <w:tcW w:w="60" w:type="dxa"/>
            <w:vAlign w:val="bottom"/>
          </w:tcPr>
          <w:p>
            <w:pPr>
              <w:spacing w:after="0"/>
              <w:rPr>
                <w:sz w:val="11"/>
                <w:szCs w:val="11"/>
                <w:color w:val="auto"/>
              </w:rPr>
            </w:pPr>
          </w:p>
        </w:tc>
        <w:tc>
          <w:tcPr>
            <w:tcW w:w="242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 xml:space="preserve">Success fee, expires 12/1/2027 </w:t>
            </w:r>
            <w:r>
              <w:rPr>
                <w:rFonts w:ascii="Arial" w:cs="Arial" w:eastAsia="Arial" w:hAnsi="Arial"/>
                <w:sz w:val="10"/>
                <w:szCs w:val="10"/>
                <w:color w:val="auto"/>
              </w:rPr>
              <w:t>(12)</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color w:val="auto"/>
              </w:rPr>
              <w:t>Technology</w:t>
            </w:r>
          </w:p>
        </w:tc>
        <w:tc>
          <w:tcPr>
            <w:tcW w:w="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12/1/2020</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498,900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506,293</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0.11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INRIX, Inc.</w:t>
            </w:r>
          </w:p>
        </w:tc>
        <w:tc>
          <w:tcPr>
            <w:tcW w:w="126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Internet Software</w:t>
            </w:r>
          </w:p>
        </w:tc>
        <w:tc>
          <w:tcPr>
            <w:tcW w:w="6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Common Stock, exercise</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and Services</w:t>
            </w:r>
          </w:p>
        </w:tc>
        <w:tc>
          <w:tcPr>
            <w:tcW w:w="248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price $9.29/share, expires 7/26/2029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7/26/2019</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150,804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522,083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504,439</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Longtail Ad Solutions, Inc. (dba</w:t>
            </w:r>
          </w:p>
        </w:tc>
        <w:tc>
          <w:tcPr>
            <w:tcW w:w="126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Internet Software</w:t>
            </w:r>
          </w:p>
        </w:tc>
        <w:tc>
          <w:tcPr>
            <w:tcW w:w="60" w:type="dxa"/>
            <w:vAlign w:val="bottom"/>
          </w:tcPr>
          <w:p>
            <w:pPr>
              <w:spacing w:after="0"/>
              <w:rPr>
                <w:sz w:val="11"/>
                <w:szCs w:val="11"/>
                <w:color w:val="auto"/>
              </w:rPr>
            </w:pPr>
          </w:p>
        </w:tc>
        <w:tc>
          <w:tcPr>
            <w:tcW w:w="242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Common Stock, exercise</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gridSpan w:val="4"/>
          </w:tcPr>
          <w:p>
            <w:pPr>
              <w:spacing w:after="0"/>
              <w:rPr>
                <w:sz w:val="20"/>
                <w:szCs w:val="20"/>
                <w:color w:val="auto"/>
              </w:rPr>
            </w:pPr>
            <w:r>
              <w:rPr>
                <w:rFonts w:ascii="Arial" w:cs="Arial" w:eastAsia="Arial" w:hAnsi="Arial"/>
                <w:sz w:val="14"/>
                <w:szCs w:val="14"/>
                <w:color w:val="auto"/>
              </w:rPr>
              <w:t>JW Player)</w:t>
            </w:r>
          </w:p>
        </w:tc>
        <w:tc>
          <w:tcPr>
            <w:tcW w:w="1260" w:type="dxa"/>
            <w:vAlign w:val="bottom"/>
            <w:gridSpan w:val="2"/>
          </w:tcPr>
          <w:p>
            <w:pPr>
              <w:ind w:left="60"/>
              <w:spacing w:after="0"/>
              <w:rPr>
                <w:sz w:val="20"/>
                <w:szCs w:val="20"/>
                <w:color w:val="auto"/>
              </w:rPr>
            </w:pPr>
            <w:r>
              <w:rPr>
                <w:rFonts w:ascii="Arial" w:cs="Arial" w:eastAsia="Arial" w:hAnsi="Arial"/>
                <w:sz w:val="14"/>
                <w:szCs w:val="14"/>
                <w:color w:val="auto"/>
              </w:rPr>
              <w:t>and Services</w:t>
            </w:r>
          </w:p>
        </w:tc>
        <w:tc>
          <w:tcPr>
            <w:tcW w:w="2480" w:type="dxa"/>
            <w:vAlign w:val="bottom"/>
            <w:gridSpan w:val="3"/>
          </w:tcPr>
          <w:p>
            <w:pPr>
              <w:ind w:left="60"/>
              <w:spacing w:after="0"/>
              <w:rPr>
                <w:sz w:val="20"/>
                <w:szCs w:val="20"/>
                <w:color w:val="auto"/>
              </w:rPr>
            </w:pPr>
            <w:r>
              <w:rPr>
                <w:rFonts w:ascii="Arial" w:cs="Arial" w:eastAsia="Arial" w:hAnsi="Arial"/>
                <w:sz w:val="14"/>
                <w:szCs w:val="14"/>
                <w:color w:val="auto"/>
              </w:rPr>
              <w:t>price $1.49/share, expires 12/12/2029</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12/12/2019</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322,997</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38,800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304,264</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0.07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Massdrop, Inc.</w:t>
            </w:r>
          </w:p>
        </w:tc>
        <w:tc>
          <w:tcPr>
            <w:tcW w:w="126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Computer &amp;</w:t>
            </w:r>
          </w:p>
        </w:tc>
        <w:tc>
          <w:tcPr>
            <w:tcW w:w="6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B Preferred Stock,</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Electronics Retail</w:t>
            </w:r>
          </w:p>
        </w:tc>
        <w:tc>
          <w:tcPr>
            <w:tcW w:w="248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exercise price $1.1938/share, expires</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7/22/2019</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7/22/2019</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848,093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183,188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276,478</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w w:val="99"/>
              </w:rPr>
              <w:t>Mingle Healthcare Solutions, Inc.</w:t>
            </w: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20" w:type="dxa"/>
            <w:vAlign w:val="bottom"/>
            <w:gridSpan w:val="2"/>
          </w:tcPr>
          <w:p>
            <w:pPr>
              <w:ind w:left="40"/>
              <w:spacing w:after="0" w:line="130" w:lineRule="exact"/>
              <w:rPr>
                <w:sz w:val="20"/>
                <w:szCs w:val="20"/>
                <w:color w:val="auto"/>
              </w:rPr>
            </w:pPr>
            <w:r>
              <w:rPr>
                <w:rFonts w:ascii="Arial" w:cs="Arial" w:eastAsia="Arial" w:hAnsi="Arial"/>
                <w:sz w:val="14"/>
                <w:szCs w:val="14"/>
                <w:color w:val="auto"/>
                <w:w w:val="97"/>
              </w:rPr>
              <w:t>Warrant for Series AA Preferred Stock,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Health Care</w:t>
            </w:r>
          </w:p>
        </w:tc>
        <w:tc>
          <w:tcPr>
            <w:tcW w:w="248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exercise price $0.24/share, expires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color w:val="auto"/>
              </w:rPr>
              <w:t>Technology</w:t>
            </w:r>
          </w:p>
        </w:tc>
        <w:tc>
          <w:tcPr>
            <w:tcW w:w="2420" w:type="dxa"/>
            <w:vAlign w:val="bottom"/>
            <w:gridSpan w:val="2"/>
          </w:tcPr>
          <w:p>
            <w:pPr>
              <w:ind w:left="60"/>
              <w:spacing w:after="0"/>
              <w:rPr>
                <w:sz w:val="20"/>
                <w:szCs w:val="20"/>
                <w:color w:val="auto"/>
              </w:rPr>
            </w:pPr>
            <w:r>
              <w:rPr>
                <w:rFonts w:ascii="Arial" w:cs="Arial" w:eastAsia="Arial" w:hAnsi="Arial"/>
                <w:sz w:val="14"/>
                <w:szCs w:val="14"/>
                <w:color w:val="auto"/>
              </w:rPr>
              <w:t>8/15/2028</w:t>
            </w: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8/15/2018</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1,625,000</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492,375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MTBC, Inc.</w:t>
            </w:r>
          </w:p>
        </w:tc>
        <w:tc>
          <w:tcPr>
            <w:tcW w:w="126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Health Care</w:t>
            </w:r>
          </w:p>
        </w:tc>
        <w:tc>
          <w:tcPr>
            <w:tcW w:w="6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Common Stock, exercise</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Technology</w:t>
            </w:r>
          </w:p>
        </w:tc>
        <w:tc>
          <w:tcPr>
            <w:tcW w:w="248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price $7.50/share, expires 1/8/2022</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1/8/2020</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435,000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3,195,000</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0.69</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2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Common Stock, exercise</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80" w:type="dxa"/>
            <w:vAlign w:val="bottom"/>
            <w:gridSpan w:val="3"/>
          </w:tcPr>
          <w:p>
            <w:pPr>
              <w:ind w:left="60"/>
              <w:spacing w:after="0"/>
              <w:rPr>
                <w:sz w:val="20"/>
                <w:szCs w:val="20"/>
                <w:color w:val="auto"/>
              </w:rPr>
            </w:pPr>
            <w:r>
              <w:rPr>
                <w:rFonts w:ascii="Arial" w:cs="Arial" w:eastAsia="Arial" w:hAnsi="Arial"/>
                <w:sz w:val="14"/>
                <w:szCs w:val="14"/>
                <w:color w:val="auto"/>
              </w:rPr>
              <w:t>price $10.00/share, expires 1/8/2023</w:t>
            </w:r>
          </w:p>
        </w:tc>
        <w:tc>
          <w:tcPr>
            <w:tcW w:w="720" w:type="dxa"/>
            <w:vAlign w:val="bottom"/>
          </w:tcPr>
          <w:p>
            <w:pPr>
              <w:jc w:val="right"/>
              <w:spacing w:after="0"/>
              <w:rPr>
                <w:sz w:val="20"/>
                <w:szCs w:val="20"/>
                <w:color w:val="auto"/>
              </w:rPr>
            </w:pPr>
            <w:r>
              <w:rPr>
                <w:rFonts w:ascii="Arial" w:cs="Arial" w:eastAsia="Arial" w:hAnsi="Arial"/>
                <w:sz w:val="14"/>
                <w:szCs w:val="14"/>
                <w:color w:val="auto"/>
              </w:rPr>
              <w:t>1/8/2020</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1,000,000</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837,000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2,492,000</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0.53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3DNA Corp. (dba NationBuilder)</w:t>
            </w:r>
          </w:p>
        </w:tc>
        <w:tc>
          <w:tcPr>
            <w:tcW w:w="126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Application</w:t>
            </w:r>
          </w:p>
        </w:tc>
        <w:tc>
          <w:tcPr>
            <w:tcW w:w="6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w w:val="96"/>
              </w:rPr>
              <w:t>Warrant for Series C-1 Preferred Stock,</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Software</w:t>
            </w:r>
          </w:p>
        </w:tc>
        <w:tc>
          <w:tcPr>
            <w:tcW w:w="248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exercise price $1.4643/share, expires</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12/28/2028</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12/28/2018</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273,164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104,138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66,341</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Ouster, Inc.</w:t>
            </w:r>
          </w:p>
        </w:tc>
        <w:tc>
          <w:tcPr>
            <w:tcW w:w="126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Technology</w:t>
            </w:r>
          </w:p>
        </w:tc>
        <w:tc>
          <w:tcPr>
            <w:tcW w:w="60" w:type="dxa"/>
            <w:vAlign w:val="bottom"/>
          </w:tcPr>
          <w:p>
            <w:pPr>
              <w:spacing w:after="0"/>
              <w:rPr>
                <w:sz w:val="11"/>
                <w:szCs w:val="11"/>
                <w:color w:val="auto"/>
              </w:rPr>
            </w:pPr>
          </w:p>
        </w:tc>
        <w:tc>
          <w:tcPr>
            <w:tcW w:w="242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Series B Preferred Stock,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Hardware, Storage</w:t>
            </w:r>
          </w:p>
        </w:tc>
        <w:tc>
          <w:tcPr>
            <w:tcW w:w="248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exercise price $0.3323/share, expires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color w:val="auto"/>
              </w:rPr>
              <w:t>&amp; Peripherals</w:t>
            </w:r>
          </w:p>
        </w:tc>
        <w:tc>
          <w:tcPr>
            <w:tcW w:w="2420" w:type="dxa"/>
            <w:vAlign w:val="bottom"/>
            <w:gridSpan w:val="2"/>
          </w:tcPr>
          <w:p>
            <w:pPr>
              <w:ind w:left="60"/>
              <w:spacing w:after="0"/>
              <w:rPr>
                <w:sz w:val="20"/>
                <w:szCs w:val="20"/>
                <w:color w:val="auto"/>
              </w:rPr>
            </w:pPr>
            <w:r>
              <w:rPr>
                <w:rFonts w:ascii="Arial" w:cs="Arial" w:eastAsia="Arial" w:hAnsi="Arial"/>
                <w:sz w:val="14"/>
                <w:szCs w:val="14"/>
                <w:color w:val="auto"/>
              </w:rPr>
              <w:t>11/27/2028</w:t>
            </w: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11/27/2018</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1,805,597</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103,010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9,901,935</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Pivot3, Inc.</w:t>
            </w:r>
          </w:p>
        </w:tc>
        <w:tc>
          <w:tcPr>
            <w:tcW w:w="126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Data Processing &amp;</w:t>
            </w:r>
          </w:p>
        </w:tc>
        <w:tc>
          <w:tcPr>
            <w:tcW w:w="6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D Preferred Stock,</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90"/>
              </w:rPr>
              <w:t>Outsourced Services</w:t>
            </w:r>
          </w:p>
        </w:tc>
        <w:tc>
          <w:tcPr>
            <w:tcW w:w="248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exercise price $0.59/share, expires</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5/13/2029</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5/13/2019</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2,033,898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216,610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Porch Group, Inc.</w:t>
            </w:r>
          </w:p>
        </w:tc>
        <w:tc>
          <w:tcPr>
            <w:tcW w:w="126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Application</w:t>
            </w:r>
          </w:p>
        </w:tc>
        <w:tc>
          <w:tcPr>
            <w:tcW w:w="60" w:type="dxa"/>
            <w:vAlign w:val="bottom"/>
          </w:tcPr>
          <w:p>
            <w:pPr>
              <w:spacing w:after="0"/>
              <w:rPr>
                <w:sz w:val="11"/>
                <w:szCs w:val="11"/>
                <w:color w:val="auto"/>
              </w:rPr>
            </w:pPr>
          </w:p>
        </w:tc>
        <w:tc>
          <w:tcPr>
            <w:tcW w:w="242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 xml:space="preserve">Earnout, expires 12/23/2023 </w:t>
            </w:r>
            <w:r>
              <w:rPr>
                <w:rFonts w:ascii="Arial" w:cs="Arial" w:eastAsia="Arial" w:hAnsi="Arial"/>
                <w:sz w:val="10"/>
                <w:szCs w:val="10"/>
                <w:color w:val="auto"/>
              </w:rPr>
              <w:t>(12)</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color w:val="auto"/>
              </w:rPr>
              <w:t>Software</w:t>
            </w:r>
          </w:p>
        </w:tc>
        <w:tc>
          <w:tcPr>
            <w:tcW w:w="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12/23/2020</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RealWear, Inc.</w:t>
            </w:r>
          </w:p>
        </w:tc>
        <w:tc>
          <w:tcPr>
            <w:tcW w:w="126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Technology</w:t>
            </w:r>
          </w:p>
        </w:tc>
        <w:tc>
          <w:tcPr>
            <w:tcW w:w="6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A Preferred Stock,</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Hardware, Storage</w:t>
            </w:r>
          </w:p>
        </w:tc>
        <w:tc>
          <w:tcPr>
            <w:tcW w:w="248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exercise price $4.4464/share, expires</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&amp; Peripherals</w:t>
            </w:r>
          </w:p>
        </w:tc>
        <w:tc>
          <w:tcPr>
            <w:tcW w:w="2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10/5/2028</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10/5/2018</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112,451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135,841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2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Series A Preferred Stock,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8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exercise price $4.4464/share, expires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20" w:type="dxa"/>
            <w:vAlign w:val="bottom"/>
            <w:gridSpan w:val="2"/>
          </w:tcPr>
          <w:p>
            <w:pPr>
              <w:ind w:left="60"/>
              <w:spacing w:after="0"/>
              <w:rPr>
                <w:sz w:val="20"/>
                <w:szCs w:val="20"/>
                <w:color w:val="auto"/>
              </w:rPr>
            </w:pPr>
            <w:r>
              <w:rPr>
                <w:rFonts w:ascii="Arial" w:cs="Arial" w:eastAsia="Arial" w:hAnsi="Arial"/>
                <w:sz w:val="14"/>
                <w:szCs w:val="14"/>
                <w:color w:val="auto"/>
              </w:rPr>
              <w:t>12/28/2028</w:t>
            </w: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12/28/2018</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22,491</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25,248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A Preferred Stock,</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48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exercise price $6.78/share, expires</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6/27/2029</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6/27/2019</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123,894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380,850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Scale Computing, Inc.</w:t>
            </w:r>
          </w:p>
        </w:tc>
        <w:tc>
          <w:tcPr>
            <w:tcW w:w="126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System Software</w:t>
            </w:r>
          </w:p>
        </w:tc>
        <w:tc>
          <w:tcPr>
            <w:tcW w:w="60" w:type="dxa"/>
            <w:vAlign w:val="bottom"/>
          </w:tcPr>
          <w:p>
            <w:pPr>
              <w:spacing w:after="0"/>
              <w:rPr>
                <w:sz w:val="11"/>
                <w:szCs w:val="11"/>
                <w:color w:val="auto"/>
              </w:rPr>
            </w:pPr>
          </w:p>
        </w:tc>
        <w:tc>
          <w:tcPr>
            <w:tcW w:w="242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Common Stock, exercise</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80" w:type="dxa"/>
            <w:vAlign w:val="bottom"/>
            <w:gridSpan w:val="3"/>
          </w:tcPr>
          <w:p>
            <w:pPr>
              <w:ind w:left="60"/>
              <w:spacing w:after="0"/>
              <w:rPr>
                <w:sz w:val="20"/>
                <w:szCs w:val="20"/>
                <w:color w:val="auto"/>
              </w:rPr>
            </w:pPr>
            <w:r>
              <w:rPr>
                <w:rFonts w:ascii="Arial" w:cs="Arial" w:eastAsia="Arial" w:hAnsi="Arial"/>
                <w:sz w:val="14"/>
                <w:szCs w:val="14"/>
                <w:color w:val="auto"/>
                <w:w w:val="98"/>
              </w:rPr>
              <w:t>price $0.8031/share, expires 3/29/2029</w:t>
            </w:r>
          </w:p>
        </w:tc>
        <w:tc>
          <w:tcPr>
            <w:tcW w:w="720" w:type="dxa"/>
            <w:vAlign w:val="bottom"/>
          </w:tcPr>
          <w:p>
            <w:pPr>
              <w:jc w:val="right"/>
              <w:spacing w:after="0"/>
              <w:rPr>
                <w:sz w:val="20"/>
                <w:szCs w:val="20"/>
                <w:color w:val="auto"/>
              </w:rPr>
            </w:pPr>
            <w:r>
              <w:rPr>
                <w:rFonts w:ascii="Arial" w:cs="Arial" w:eastAsia="Arial" w:hAnsi="Arial"/>
                <w:sz w:val="14"/>
                <w:szCs w:val="14"/>
                <w:color w:val="auto"/>
              </w:rPr>
              <w:t>3/29/2019</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9,665,667</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345,816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SendtoNews Video, Inc.</w:t>
            </w:r>
          </w:p>
        </w:tc>
        <w:tc>
          <w:tcPr>
            <w:tcW w:w="126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Advertising</w:t>
            </w:r>
          </w:p>
        </w:tc>
        <w:tc>
          <w:tcPr>
            <w:tcW w:w="248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Warrant for Class B Non-Voting Stock,</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48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exercise price $0.67/share, expires</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 xml:space="preserve">6/30/2027 </w:t>
            </w:r>
            <w:r>
              <w:rPr>
                <w:rFonts w:ascii="Arial" w:cs="Arial" w:eastAsia="Arial" w:hAnsi="Arial"/>
                <w:sz w:val="10"/>
                <w:szCs w:val="10"/>
                <w:color w:val="auto"/>
              </w:rPr>
              <w:t>(3),(6)</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6/30/2017</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191,500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246,461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2020</w:t>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Acquisition</w:t>
            </w: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4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60" w:type="dxa"/>
            <w:vAlign w:val="bottom"/>
          </w:tcPr>
          <w:p>
            <w:pPr>
              <w:spacing w:after="0"/>
              <w:rPr>
                <w:sz w:val="12"/>
                <w:szCs w:val="12"/>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Sub-Industry</w:t>
            </w:r>
          </w:p>
        </w:tc>
        <w:tc>
          <w:tcPr>
            <w:tcW w:w="60" w:type="dxa"/>
            <w:vAlign w:val="bottom"/>
          </w:tcPr>
          <w:p>
            <w:pPr>
              <w:spacing w:after="0"/>
              <w:rPr>
                <w:sz w:val="12"/>
                <w:szCs w:val="12"/>
                <w:color w:val="auto"/>
              </w:rPr>
            </w:pPr>
          </w:p>
        </w:tc>
        <w:tc>
          <w:tcPr>
            <w:tcW w:w="24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78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(2),(8)</w:t>
            </w:r>
          </w:p>
        </w:tc>
        <w:tc>
          <w:tcPr>
            <w:tcW w:w="6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40" w:type="dxa"/>
            <w:vAlign w:val="bottom"/>
            <w:gridSpan w:val="6"/>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400" w:type="dxa"/>
            <w:vAlign w:val="bottom"/>
            <w:gridSpan w:val="2"/>
            <w:vMerge w:val="continue"/>
          </w:tcPr>
          <w:p>
            <w:pPr>
              <w:spacing w:after="0"/>
              <w:rPr>
                <w:sz w:val="14"/>
                <w:szCs w:val="14"/>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Date</w:t>
            </w:r>
          </w:p>
        </w:tc>
        <w:tc>
          <w:tcPr>
            <w:tcW w:w="780" w:type="dxa"/>
            <w:vAlign w:val="bottom"/>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20" w:type="dxa"/>
            <w:vAlign w:val="bottom"/>
            <w:tcBorders>
              <w:top w:val="single" w:sz="8" w:color="auto"/>
            </w:tcBorders>
            <w:gridSpan w:val="5"/>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6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3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1460" w:type="dxa"/>
            <w:vAlign w:val="bottom"/>
            <w:tcBorders>
              <w:top w:val="single" w:sz="8" w:color="auto"/>
              <w:bottom w:val="single" w:sz="8" w:color="auto"/>
            </w:tcBorders>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8"/>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32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38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3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4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(7)</w:t>
            </w:r>
            <w:r>
              <w:rPr>
                <w:rFonts w:ascii="Arial" w:cs="Arial" w:eastAsia="Arial" w:hAnsi="Arial"/>
                <w:sz w:val="14"/>
                <w:szCs w:val="14"/>
                <w:b w:val="1"/>
                <w:bCs w:val="1"/>
                <w:color w:val="auto"/>
              </w:rPr>
              <w:t xml:space="preserve"> (continued)</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5"/>
            <w:shd w:val="clear" w:color="auto" w:fill="CCEEFF"/>
          </w:tcPr>
          <w:p>
            <w:pPr>
              <w:spacing w:after="0" w:line="130" w:lineRule="exact"/>
              <w:rPr>
                <w:sz w:val="20"/>
                <w:szCs w:val="20"/>
                <w:color w:val="auto"/>
              </w:rPr>
            </w:pPr>
            <w:r>
              <w:rPr>
                <w:rFonts w:ascii="Arial" w:cs="Arial" w:eastAsia="Arial" w:hAnsi="Arial"/>
                <w:sz w:val="14"/>
                <w:szCs w:val="14"/>
                <w:color w:val="auto"/>
              </w:rPr>
              <w:t>ShareThis, Inc.</w:t>
            </w:r>
          </w:p>
        </w:tc>
        <w:tc>
          <w:tcPr>
            <w:tcW w:w="120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w w:val="96"/>
              </w:rPr>
              <w:t>Data Processing &amp;</w:t>
            </w:r>
          </w:p>
        </w:tc>
        <w:tc>
          <w:tcPr>
            <w:tcW w:w="6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w w:val="95"/>
              </w:rPr>
              <w:t>Warrant for Series D-3 Preferred Stock,</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Outsourced</w:t>
            </w:r>
          </w:p>
        </w:tc>
        <w:tc>
          <w:tcPr>
            <w:tcW w:w="246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exercise price $2.4320/share, expires</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Services</w:t>
            </w:r>
          </w:p>
        </w:tc>
        <w:tc>
          <w:tcPr>
            <w:tcW w:w="24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12/3/2028</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12/3/2018</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647,615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2,162,000</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2,162,000</w:t>
            </w: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0.46 %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5"/>
          </w:tcPr>
          <w:p>
            <w:pPr>
              <w:spacing w:after="0" w:line="130" w:lineRule="exact"/>
              <w:rPr>
                <w:sz w:val="20"/>
                <w:szCs w:val="20"/>
                <w:color w:val="auto"/>
              </w:rPr>
            </w:pPr>
            <w:r>
              <w:rPr>
                <w:rFonts w:ascii="Arial" w:cs="Arial" w:eastAsia="Arial" w:hAnsi="Arial"/>
                <w:sz w:val="14"/>
                <w:szCs w:val="14"/>
                <w:color w:val="auto"/>
              </w:rPr>
              <w:t>The Kairn Corporation</w:t>
            </w:r>
          </w:p>
        </w:tc>
        <w:tc>
          <w:tcPr>
            <w:tcW w:w="120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Application</w:t>
            </w:r>
          </w:p>
        </w:tc>
        <w:tc>
          <w:tcPr>
            <w:tcW w:w="60" w:type="dxa"/>
            <w:vAlign w:val="bottom"/>
          </w:tcPr>
          <w:p>
            <w:pPr>
              <w:spacing w:after="0"/>
              <w:rPr>
                <w:sz w:val="11"/>
                <w:szCs w:val="11"/>
                <w:color w:val="auto"/>
              </w:rPr>
            </w:pPr>
          </w:p>
        </w:tc>
        <w:tc>
          <w:tcPr>
            <w:tcW w:w="240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Common Stock, exercise</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color w:val="auto"/>
              </w:rPr>
              <w:t>Software</w:t>
            </w:r>
          </w:p>
        </w:tc>
        <w:tc>
          <w:tcPr>
            <w:tcW w:w="2460" w:type="dxa"/>
            <w:vAlign w:val="bottom"/>
            <w:gridSpan w:val="3"/>
          </w:tcPr>
          <w:p>
            <w:pPr>
              <w:ind w:left="60"/>
              <w:spacing w:after="0"/>
              <w:rPr>
                <w:sz w:val="20"/>
                <w:szCs w:val="20"/>
                <w:color w:val="auto"/>
              </w:rPr>
            </w:pPr>
            <w:r>
              <w:rPr>
                <w:rFonts w:ascii="Arial" w:cs="Arial" w:eastAsia="Arial" w:hAnsi="Arial"/>
                <w:sz w:val="14"/>
                <w:szCs w:val="14"/>
                <w:color w:val="auto"/>
              </w:rPr>
              <w:t>price $0.01/share, expires 3/9/2030</w:t>
            </w:r>
          </w:p>
        </w:tc>
        <w:tc>
          <w:tcPr>
            <w:tcW w:w="700" w:type="dxa"/>
            <w:vAlign w:val="bottom"/>
          </w:tcPr>
          <w:p>
            <w:pPr>
              <w:jc w:val="right"/>
              <w:spacing w:after="0"/>
              <w:rPr>
                <w:sz w:val="20"/>
                <w:szCs w:val="20"/>
                <w:color w:val="auto"/>
              </w:rPr>
            </w:pPr>
            <w:r>
              <w:rPr>
                <w:rFonts w:ascii="Arial" w:cs="Arial" w:eastAsia="Arial" w:hAnsi="Arial"/>
                <w:sz w:val="14"/>
                <w:szCs w:val="14"/>
                <w:color w:val="auto"/>
              </w:rPr>
              <w:t>3/9/2020</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81,177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5"/>
            <w:shd w:val="clear" w:color="auto" w:fill="CCEEFF"/>
          </w:tcPr>
          <w:p>
            <w:pPr>
              <w:spacing w:after="0" w:line="130" w:lineRule="exact"/>
              <w:rPr>
                <w:sz w:val="20"/>
                <w:szCs w:val="20"/>
                <w:color w:val="auto"/>
              </w:rPr>
            </w:pPr>
            <w:r>
              <w:rPr>
                <w:rFonts w:ascii="Arial" w:cs="Arial" w:eastAsia="Arial" w:hAnsi="Arial"/>
                <w:sz w:val="14"/>
                <w:szCs w:val="14"/>
                <w:color w:val="auto"/>
              </w:rPr>
              <w:t>VERO Biotech LLC</w:t>
            </w:r>
          </w:p>
        </w:tc>
        <w:tc>
          <w:tcPr>
            <w:tcW w:w="120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Health Care</w:t>
            </w:r>
          </w:p>
        </w:tc>
        <w:tc>
          <w:tcPr>
            <w:tcW w:w="6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 xml:space="preserve">Success fee, expires 12/29/2025 </w:t>
            </w:r>
            <w:r>
              <w:rPr>
                <w:rFonts w:ascii="Arial" w:cs="Arial" w:eastAsia="Arial" w:hAnsi="Arial"/>
                <w:sz w:val="10"/>
                <w:szCs w:val="10"/>
                <w:color w:val="auto"/>
              </w:rPr>
              <w:t>(12)</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Technology</w:t>
            </w:r>
          </w:p>
        </w:tc>
        <w:tc>
          <w:tcPr>
            <w:tcW w:w="6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12/29/2020</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233,300</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233,300</w:t>
            </w:r>
          </w:p>
        </w:tc>
        <w:tc>
          <w:tcPr>
            <w:tcW w:w="6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Borders>
              <w:bottom w:val="single" w:sz="8" w:color="CCEEFF"/>
            </w:tcBorders>
            <w:gridSpan w:val="5"/>
          </w:tcPr>
          <w:p>
            <w:pPr>
              <w:spacing w:after="0" w:line="142" w:lineRule="exact"/>
              <w:rPr>
                <w:sz w:val="20"/>
                <w:szCs w:val="20"/>
                <w:color w:val="auto"/>
              </w:rPr>
            </w:pPr>
            <w:r>
              <w:rPr>
                <w:rFonts w:ascii="Arial" w:cs="Arial" w:eastAsia="Arial" w:hAnsi="Arial"/>
                <w:sz w:val="14"/>
                <w:szCs w:val="14"/>
                <w:b w:val="1"/>
                <w:bCs w:val="1"/>
                <w:color w:val="auto"/>
              </w:rPr>
              <w:t>Total Warrants</w:t>
            </w:r>
          </w:p>
        </w:tc>
        <w:tc>
          <w:tcPr>
            <w:tcW w:w="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3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17,558,364</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33,008,672</w:t>
            </w:r>
          </w:p>
        </w:tc>
        <w:tc>
          <w:tcPr>
            <w:tcW w:w="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7.08</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20" w:type="dxa"/>
            <w:vAlign w:val="bottom"/>
            <w:gridSpan w:val="5"/>
            <w:shd w:val="clear" w:color="auto" w:fill="CCEEFF"/>
          </w:tcPr>
          <w:p>
            <w:pPr>
              <w:spacing w:after="0" w:line="115" w:lineRule="exact"/>
              <w:rPr>
                <w:sz w:val="20"/>
                <w:szCs w:val="20"/>
                <w:color w:val="auto"/>
              </w:rPr>
            </w:pPr>
            <w:r>
              <w:rPr>
                <w:rFonts w:ascii="Arial" w:cs="Arial" w:eastAsia="Arial" w:hAnsi="Arial"/>
                <w:sz w:val="13"/>
                <w:szCs w:val="13"/>
                <w:b w:val="1"/>
                <w:bCs w:val="1"/>
                <w:color w:val="auto"/>
              </w:rPr>
              <w:t>Total non-control/non-affiliate</w:t>
            </w: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2"/>
              </w:rPr>
              <w:t>532,676,057</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541,978,736</w:t>
            </w:r>
          </w:p>
        </w:tc>
        <w:tc>
          <w:tcPr>
            <w:tcW w:w="6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116.24</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5"/>
              </w:rPr>
              <w:t>investments</w:t>
            </w:r>
          </w:p>
        </w:tc>
        <w:tc>
          <w:tcPr>
            <w:tcW w:w="1120" w:type="dxa"/>
            <w:vAlign w:val="bottom"/>
            <w:tcBorders>
              <w:top w:val="single" w:sz="8" w:color="auto"/>
              <w:bottom w:val="single" w:sz="8" w:color="CCEEFF"/>
            </w:tcBorders>
            <w:gridSpan w:val="3"/>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3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020" w:type="dxa"/>
            <w:vAlign w:val="bottom"/>
            <w:gridSpan w:val="5"/>
          </w:tcPr>
          <w:p>
            <w:pPr>
              <w:spacing w:after="0" w:line="103" w:lineRule="exact"/>
              <w:rPr>
                <w:sz w:val="20"/>
                <w:szCs w:val="20"/>
                <w:color w:val="auto"/>
              </w:rPr>
            </w:pPr>
            <w:r>
              <w:rPr>
                <w:rFonts w:ascii="Arial" w:cs="Arial" w:eastAsia="Arial" w:hAnsi="Arial"/>
                <w:sz w:val="11"/>
                <w:szCs w:val="11"/>
                <w:b w:val="1"/>
                <w:bCs w:val="1"/>
                <w:color w:val="auto"/>
              </w:rPr>
              <w:t>U.S. Treasury</w:t>
            </w: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60" w:type="dxa"/>
            <w:vAlign w:val="bottom"/>
            <w:gridSpan w:val="3"/>
          </w:tcPr>
          <w:p>
            <w:pPr>
              <w:ind w:left="60"/>
              <w:spacing w:after="0" w:line="103" w:lineRule="exact"/>
              <w:rPr>
                <w:sz w:val="20"/>
                <w:szCs w:val="20"/>
                <w:color w:val="auto"/>
              </w:rPr>
            </w:pPr>
            <w:r>
              <w:rPr>
                <w:rFonts w:ascii="Arial" w:cs="Arial" w:eastAsia="Arial" w:hAnsi="Arial"/>
                <w:sz w:val="11"/>
                <w:szCs w:val="11"/>
                <w:color w:val="auto"/>
              </w:rPr>
              <w:t>U.S. Treasury Bill, 0.40%, due</w:t>
            </w: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2400" w:type="dxa"/>
            <w:vAlign w:val="bottom"/>
            <w:tcBorders>
              <w:bottom w:val="single" w:sz="8" w:color="CCEEFF"/>
            </w:tcBorders>
            <w:gridSpan w:val="2"/>
          </w:tcPr>
          <w:p>
            <w:pPr>
              <w:ind w:left="60"/>
              <w:spacing w:after="0"/>
              <w:rPr>
                <w:sz w:val="20"/>
                <w:szCs w:val="20"/>
                <w:color w:val="auto"/>
              </w:rPr>
            </w:pPr>
            <w:r>
              <w:rPr>
                <w:rFonts w:ascii="Arial" w:cs="Arial" w:eastAsia="Arial" w:hAnsi="Arial"/>
                <w:sz w:val="14"/>
                <w:szCs w:val="14"/>
                <w:color w:val="auto"/>
              </w:rPr>
              <w:t xml:space="preserve">01/12/2021 </w:t>
            </w:r>
            <w:r>
              <w:rPr>
                <w:rFonts w:ascii="Arial" w:cs="Arial" w:eastAsia="Arial" w:hAnsi="Arial"/>
                <w:sz w:val="10"/>
                <w:szCs w:val="10"/>
                <w:color w:val="auto"/>
              </w:rPr>
              <w:t>(9)</w:t>
            </w:r>
          </w:p>
        </w:tc>
        <w:tc>
          <w:tcPr>
            <w:tcW w:w="6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1"/>
              </w:rPr>
              <w:t>12/30/2020</w:t>
            </w:r>
          </w:p>
        </w:tc>
        <w:tc>
          <w:tcPr>
            <w:tcW w:w="8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70,000,000</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70,001,472</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70,002,060</w:t>
            </w:r>
          </w:p>
        </w:tc>
        <w:tc>
          <w:tcPr>
            <w:tcW w:w="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15.01</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gridSpan w:val="5"/>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U.S.Treasury</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70,001,472</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70,002,060</w:t>
            </w:r>
          </w:p>
        </w:tc>
        <w:tc>
          <w:tcPr>
            <w:tcW w:w="6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15.01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20" w:type="dxa"/>
            <w:vAlign w:val="bottom"/>
            <w:gridSpan w:val="5"/>
          </w:tcPr>
          <w:p>
            <w:pPr>
              <w:spacing w:after="0"/>
              <w:rPr>
                <w:sz w:val="20"/>
                <w:szCs w:val="20"/>
                <w:color w:val="auto"/>
              </w:rPr>
            </w:pPr>
            <w:r>
              <w:rPr>
                <w:rFonts w:ascii="Arial" w:cs="Arial" w:eastAsia="Arial" w:hAnsi="Arial"/>
                <w:sz w:val="14"/>
                <w:szCs w:val="14"/>
                <w:b w:val="1"/>
                <w:bCs w:val="1"/>
                <w:color w:val="auto"/>
              </w:rPr>
              <w:t>Total Investments</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w w:val="92"/>
              </w:rPr>
              <w:t>616,589,023</w:t>
            </w:r>
          </w:p>
        </w:tc>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w w:val="97"/>
              </w:rPr>
              <w:t>621,826,650</w:t>
            </w:r>
          </w:p>
        </w:tc>
        <w:tc>
          <w:tcPr>
            <w:tcW w:w="60" w:type="dxa"/>
            <w:vAlign w:val="bottom"/>
          </w:tcPr>
          <w:p>
            <w:pPr>
              <w:spacing w:after="0"/>
              <w:rPr>
                <w:sz w:val="14"/>
                <w:szCs w:val="14"/>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w w:val="94"/>
              </w:rPr>
              <w:t>133.37 %</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234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660" w:hanging="328"/>
        <w:spacing w:after="0" w:line="238" w:lineRule="auto"/>
        <w:tabs>
          <w:tab w:leader="none" w:pos="660" w:val="left"/>
        </w:tabs>
        <w:numPr>
          <w:ilvl w:val="0"/>
          <w:numId w:val="5"/>
        </w:numPr>
        <w:rPr>
          <w:rFonts w:ascii="Arial" w:cs="Arial" w:eastAsia="Arial" w:hAnsi="Arial"/>
          <w:sz w:val="11"/>
          <w:szCs w:val="11"/>
          <w:color w:val="auto"/>
        </w:rPr>
      </w:pPr>
      <w:r>
        <w:rPr>
          <w:rFonts w:ascii="Arial" w:cs="Arial" w:eastAsia="Arial" w:hAnsi="Arial"/>
          <w:sz w:val="14"/>
          <w:szCs w:val="14"/>
          <w:color w:val="auto"/>
        </w:rPr>
        <w:t>Disclosures of interest rates on notes include cash interest rates and payment-in-kind (“PIK”) interest rates, as applicable. Unless otherwise indicated, all of the Company’s variable rate debt investments bear interest at a rate that is determined by reference to the 3-Month London Interbank Offered Rate (“LIBOR”) or the U.S. Prime Rate. At December 31, 2020, the 3-Month LIBOR was 0.24% and the U.S. Prime Rate was 3.25%.</w:t>
      </w:r>
    </w:p>
    <w:p>
      <w:pPr>
        <w:spacing w:after="0" w:line="74" w:lineRule="exact"/>
        <w:rPr>
          <w:rFonts w:ascii="Arial" w:cs="Arial" w:eastAsia="Arial" w:hAnsi="Arial"/>
          <w:sz w:val="11"/>
          <w:szCs w:val="11"/>
          <w:color w:val="auto"/>
        </w:rPr>
      </w:pPr>
    </w:p>
    <w:p>
      <w:pPr>
        <w:ind w:left="660" w:right="20" w:hanging="328"/>
        <w:spacing w:after="0" w:line="253" w:lineRule="auto"/>
        <w:tabs>
          <w:tab w:leader="none" w:pos="660" w:val="left"/>
        </w:tabs>
        <w:numPr>
          <w:ilvl w:val="0"/>
          <w:numId w:val="5"/>
        </w:numPr>
        <w:rPr>
          <w:rFonts w:ascii="Arial" w:cs="Arial" w:eastAsia="Arial" w:hAnsi="Arial"/>
          <w:sz w:val="11"/>
          <w:szCs w:val="11"/>
          <w:color w:val="auto"/>
        </w:rPr>
      </w:pPr>
      <w:r>
        <w:rPr>
          <w:rFonts w:ascii="Arial" w:cs="Arial" w:eastAsia="Arial" w:hAnsi="Arial"/>
          <w:sz w:val="14"/>
          <w:szCs w:val="14"/>
          <w:color w:val="auto"/>
        </w:rPr>
        <w:t>All investments in portfolio companies, which as of December 31, 2020 represented 118.36% of the Company’s net assets, are restricted as to resale and were valued at fair value as determined in good faith by the Company’s Board of Directors.</w:t>
      </w:r>
    </w:p>
    <w:p>
      <w:pPr>
        <w:spacing w:after="0" w:line="65" w:lineRule="exact"/>
        <w:rPr>
          <w:rFonts w:ascii="Arial" w:cs="Arial" w:eastAsia="Arial" w:hAnsi="Arial"/>
          <w:sz w:val="11"/>
          <w:szCs w:val="11"/>
          <w:color w:val="auto"/>
        </w:rPr>
      </w:pPr>
    </w:p>
    <w:p>
      <w:pPr>
        <w:jc w:val="both"/>
        <w:ind w:left="660" w:hanging="328"/>
        <w:spacing w:after="0" w:line="255" w:lineRule="auto"/>
        <w:tabs>
          <w:tab w:leader="none" w:pos="660" w:val="left"/>
        </w:tabs>
        <w:numPr>
          <w:ilvl w:val="0"/>
          <w:numId w:val="5"/>
        </w:numPr>
        <w:rPr>
          <w:rFonts w:ascii="Arial" w:cs="Arial" w:eastAsia="Arial" w:hAnsi="Arial"/>
          <w:sz w:val="10"/>
          <w:szCs w:val="10"/>
          <w:color w:val="auto"/>
        </w:rPr>
      </w:pPr>
      <w:r>
        <w:rPr>
          <w:rFonts w:ascii="Arial" w:cs="Arial" w:eastAsia="Arial" w:hAnsi="Arial"/>
          <w:sz w:val="13"/>
          <w:szCs w:val="13"/>
          <w:color w:val="auto"/>
        </w:rPr>
        <w:t>Investment is not a qualifying asset as defined under Section 55(a) of the Investment Company Act of 1940, as amended (the “1940 Act”). Non-qualifying assets represent 10.68% of total investments at fair value as of December 31, 2020.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 of the 1940 Act.</w:t>
      </w:r>
    </w:p>
    <w:p>
      <w:pPr>
        <w:spacing w:after="0" w:line="66" w:lineRule="exact"/>
        <w:rPr>
          <w:rFonts w:ascii="Arial" w:cs="Arial" w:eastAsia="Arial" w:hAnsi="Arial"/>
          <w:sz w:val="10"/>
          <w:szCs w:val="10"/>
          <w:color w:val="auto"/>
        </w:rPr>
      </w:pPr>
    </w:p>
    <w:p>
      <w:pPr>
        <w:ind w:left="660" w:hanging="328"/>
        <w:spacing w:after="0"/>
        <w:tabs>
          <w:tab w:leader="none" w:pos="660" w:val="left"/>
        </w:tabs>
        <w:numPr>
          <w:ilvl w:val="0"/>
          <w:numId w:val="5"/>
        </w:numPr>
        <w:rPr>
          <w:rFonts w:ascii="Arial" w:cs="Arial" w:eastAsia="Arial" w:hAnsi="Arial"/>
          <w:sz w:val="11"/>
          <w:szCs w:val="11"/>
          <w:color w:val="auto"/>
        </w:rPr>
      </w:pPr>
      <w:r>
        <w:rPr>
          <w:rFonts w:ascii="Arial" w:cs="Arial" w:eastAsia="Arial" w:hAnsi="Arial"/>
          <w:sz w:val="14"/>
          <w:szCs w:val="14"/>
          <w:color w:val="auto"/>
        </w:rPr>
        <w:t>Represents a PIK security. PIK interest is accrued and will be paid at maturity.</w:t>
      </w:r>
    </w:p>
    <w:p>
      <w:pPr>
        <w:spacing w:after="0" w:line="95" w:lineRule="exact"/>
        <w:rPr>
          <w:rFonts w:ascii="Arial" w:cs="Arial" w:eastAsia="Arial" w:hAnsi="Arial"/>
          <w:sz w:val="11"/>
          <w:szCs w:val="11"/>
          <w:color w:val="auto"/>
        </w:rPr>
      </w:pPr>
    </w:p>
    <w:p>
      <w:pPr>
        <w:ind w:left="660" w:hanging="328"/>
        <w:spacing w:after="0"/>
        <w:tabs>
          <w:tab w:leader="none" w:pos="660" w:val="left"/>
        </w:tabs>
        <w:numPr>
          <w:ilvl w:val="0"/>
          <w:numId w:val="5"/>
        </w:numPr>
        <w:rPr>
          <w:rFonts w:ascii="Arial" w:cs="Arial" w:eastAsia="Arial" w:hAnsi="Arial"/>
          <w:sz w:val="11"/>
          <w:szCs w:val="11"/>
          <w:color w:val="auto"/>
        </w:rPr>
      </w:pPr>
      <w:r>
        <w:rPr>
          <w:rFonts w:ascii="Arial" w:cs="Arial" w:eastAsia="Arial" w:hAnsi="Arial"/>
          <w:sz w:val="14"/>
          <w:szCs w:val="14"/>
          <w:color w:val="auto"/>
        </w:rPr>
        <w:t>All investments are domiciled in the United States, unless otherwise noted.</w:t>
      </w:r>
    </w:p>
    <w:p>
      <w:pPr>
        <w:spacing w:after="0" w:line="95" w:lineRule="exact"/>
        <w:rPr>
          <w:rFonts w:ascii="Arial" w:cs="Arial" w:eastAsia="Arial" w:hAnsi="Arial"/>
          <w:sz w:val="11"/>
          <w:szCs w:val="11"/>
          <w:color w:val="auto"/>
        </w:rPr>
      </w:pPr>
    </w:p>
    <w:p>
      <w:pPr>
        <w:ind w:left="660" w:hanging="328"/>
        <w:spacing w:after="0"/>
        <w:tabs>
          <w:tab w:leader="none" w:pos="660" w:val="left"/>
        </w:tabs>
        <w:numPr>
          <w:ilvl w:val="0"/>
          <w:numId w:val="5"/>
        </w:numPr>
        <w:rPr>
          <w:rFonts w:ascii="Arial" w:cs="Arial" w:eastAsia="Arial" w:hAnsi="Arial"/>
          <w:sz w:val="11"/>
          <w:szCs w:val="11"/>
          <w:color w:val="auto"/>
        </w:rPr>
      </w:pPr>
      <w:r>
        <w:rPr>
          <w:rFonts w:ascii="Arial" w:cs="Arial" w:eastAsia="Arial" w:hAnsi="Arial"/>
          <w:sz w:val="14"/>
          <w:szCs w:val="14"/>
          <w:color w:val="auto"/>
        </w:rPr>
        <w:t>Investment is domiciled in Canada.</w:t>
      </w:r>
    </w:p>
    <w:p>
      <w:pPr>
        <w:spacing w:after="0" w:line="95" w:lineRule="exact"/>
        <w:rPr>
          <w:rFonts w:ascii="Arial" w:cs="Arial" w:eastAsia="Arial" w:hAnsi="Arial"/>
          <w:sz w:val="11"/>
          <w:szCs w:val="11"/>
          <w:color w:val="auto"/>
        </w:rPr>
      </w:pPr>
    </w:p>
    <w:p>
      <w:pPr>
        <w:ind w:left="660" w:hanging="328"/>
        <w:spacing w:after="0"/>
        <w:tabs>
          <w:tab w:leader="none" w:pos="660" w:val="left"/>
        </w:tabs>
        <w:numPr>
          <w:ilvl w:val="0"/>
          <w:numId w:val="5"/>
        </w:numPr>
        <w:rPr>
          <w:rFonts w:ascii="Arial" w:cs="Arial" w:eastAsia="Arial" w:hAnsi="Arial"/>
          <w:sz w:val="11"/>
          <w:szCs w:val="11"/>
          <w:color w:val="auto"/>
        </w:rPr>
      </w:pPr>
      <w:r>
        <w:rPr>
          <w:rFonts w:ascii="Arial" w:cs="Arial" w:eastAsia="Arial" w:hAnsi="Arial"/>
          <w:sz w:val="14"/>
          <w:szCs w:val="14"/>
          <w:color w:val="auto"/>
        </w:rPr>
        <w:t>Investments are non-income producing.</w:t>
      </w:r>
    </w:p>
    <w:p>
      <w:pPr>
        <w:spacing w:after="0" w:line="95" w:lineRule="exact"/>
        <w:rPr>
          <w:rFonts w:ascii="Arial" w:cs="Arial" w:eastAsia="Arial" w:hAnsi="Arial"/>
          <w:sz w:val="11"/>
          <w:szCs w:val="11"/>
          <w:color w:val="auto"/>
        </w:rPr>
      </w:pPr>
    </w:p>
    <w:p>
      <w:pPr>
        <w:ind w:left="660" w:hanging="328"/>
        <w:spacing w:after="0"/>
        <w:tabs>
          <w:tab w:leader="none" w:pos="660" w:val="left"/>
        </w:tabs>
        <w:numPr>
          <w:ilvl w:val="0"/>
          <w:numId w:val="5"/>
        </w:numPr>
        <w:rPr>
          <w:rFonts w:ascii="Arial" w:cs="Arial" w:eastAsia="Arial" w:hAnsi="Arial"/>
          <w:sz w:val="11"/>
          <w:szCs w:val="11"/>
          <w:color w:val="auto"/>
        </w:rPr>
      </w:pPr>
      <w:r>
        <w:rPr>
          <w:rFonts w:ascii="Arial" w:cs="Arial" w:eastAsia="Arial" w:hAnsi="Arial"/>
          <w:sz w:val="14"/>
          <w:szCs w:val="14"/>
          <w:color w:val="auto"/>
        </w:rPr>
        <w:t>Investments are held at Fair Value net of the Fair Value of Unfunded Commitments. See Note 3 for additional detail.</w:t>
      </w:r>
    </w:p>
    <w:p>
      <w:pPr>
        <w:spacing w:after="0" w:line="95" w:lineRule="exact"/>
        <w:rPr>
          <w:rFonts w:ascii="Arial" w:cs="Arial" w:eastAsia="Arial" w:hAnsi="Arial"/>
          <w:sz w:val="11"/>
          <w:szCs w:val="11"/>
          <w:color w:val="auto"/>
        </w:rPr>
      </w:pPr>
    </w:p>
    <w:p>
      <w:pPr>
        <w:jc w:val="both"/>
        <w:ind w:left="660" w:hanging="328"/>
        <w:spacing w:after="0" w:line="238" w:lineRule="auto"/>
        <w:tabs>
          <w:tab w:leader="none" w:pos="660" w:val="left"/>
        </w:tabs>
        <w:numPr>
          <w:ilvl w:val="0"/>
          <w:numId w:val="5"/>
        </w:numPr>
        <w:rPr>
          <w:rFonts w:ascii="Arial" w:cs="Arial" w:eastAsia="Arial" w:hAnsi="Arial"/>
          <w:sz w:val="11"/>
          <w:szCs w:val="11"/>
          <w:color w:val="auto"/>
        </w:rPr>
      </w:pPr>
      <w:r>
        <w:rPr>
          <w:rFonts w:ascii="Arial" w:cs="Arial" w:eastAsia="Arial" w:hAnsi="Arial"/>
          <w:sz w:val="14"/>
          <w:szCs w:val="14"/>
          <w:color w:val="auto"/>
        </w:rPr>
        <w:t>Treasury bills with $70,000,000 in aggregate of par value were purchased pursuant to a 0.40% reverse repurchase agreement with Goldman Sachs dated December 30, 2020 and due to the Company on January 12 2021, with a repurchase price to the Company of $69,650,000, collateralized by a 0.40% U.S. Treasury Bill due January 12 2021 with an aggregate par value of $70,000,000 and fair value of $70,002,060.</w:t>
      </w:r>
    </w:p>
    <w:p>
      <w:pPr>
        <w:spacing w:after="0" w:line="74" w:lineRule="exact"/>
        <w:rPr>
          <w:rFonts w:ascii="Arial" w:cs="Arial" w:eastAsia="Arial" w:hAnsi="Arial"/>
          <w:sz w:val="11"/>
          <w:szCs w:val="11"/>
          <w:color w:val="auto"/>
        </w:rPr>
      </w:pPr>
    </w:p>
    <w:p>
      <w:pPr>
        <w:ind w:left="660" w:hanging="328"/>
        <w:spacing w:after="0"/>
        <w:tabs>
          <w:tab w:leader="none" w:pos="660" w:val="left"/>
        </w:tabs>
        <w:numPr>
          <w:ilvl w:val="0"/>
          <w:numId w:val="5"/>
        </w:numPr>
        <w:rPr>
          <w:rFonts w:ascii="Arial" w:cs="Arial" w:eastAsia="Arial" w:hAnsi="Arial"/>
          <w:sz w:val="11"/>
          <w:szCs w:val="11"/>
          <w:color w:val="auto"/>
        </w:rPr>
      </w:pPr>
      <w:r>
        <w:rPr>
          <w:rFonts w:ascii="Arial" w:cs="Arial" w:eastAsia="Arial" w:hAnsi="Arial"/>
          <w:sz w:val="14"/>
          <w:szCs w:val="14"/>
          <w:color w:val="auto"/>
        </w:rPr>
        <w:t>Disclosures of end-of-term-payments (“ETP”) are one-time payments stated as a percentage of original principal amount.</w:t>
      </w:r>
    </w:p>
    <w:p>
      <w:pPr>
        <w:spacing w:after="0" w:line="95" w:lineRule="exact"/>
        <w:rPr>
          <w:rFonts w:ascii="Arial" w:cs="Arial" w:eastAsia="Arial" w:hAnsi="Arial"/>
          <w:sz w:val="11"/>
          <w:szCs w:val="11"/>
          <w:color w:val="auto"/>
        </w:rPr>
      </w:pPr>
    </w:p>
    <w:p>
      <w:pPr>
        <w:ind w:left="660" w:hanging="328"/>
        <w:spacing w:after="0"/>
        <w:tabs>
          <w:tab w:leader="none" w:pos="660" w:val="left"/>
        </w:tabs>
        <w:numPr>
          <w:ilvl w:val="0"/>
          <w:numId w:val="5"/>
        </w:numPr>
        <w:rPr>
          <w:rFonts w:ascii="Arial" w:cs="Arial" w:eastAsia="Arial" w:hAnsi="Arial"/>
          <w:sz w:val="11"/>
          <w:szCs w:val="11"/>
          <w:color w:val="auto"/>
        </w:rPr>
      </w:pPr>
      <w:r>
        <w:rPr>
          <w:rFonts w:ascii="Arial" w:cs="Arial" w:eastAsia="Arial" w:hAnsi="Arial"/>
          <w:sz w:val="14"/>
          <w:szCs w:val="14"/>
          <w:color w:val="auto"/>
        </w:rPr>
        <w:t>Investment is domiciled in the United Kingdom.</w:t>
      </w:r>
    </w:p>
    <w:p>
      <w:pPr>
        <w:spacing w:after="0" w:line="95" w:lineRule="exact"/>
        <w:rPr>
          <w:rFonts w:ascii="Arial" w:cs="Arial" w:eastAsia="Arial" w:hAnsi="Arial"/>
          <w:sz w:val="11"/>
          <w:szCs w:val="11"/>
          <w:color w:val="auto"/>
        </w:rPr>
      </w:pPr>
    </w:p>
    <w:p>
      <w:pPr>
        <w:ind w:left="660" w:hanging="328"/>
        <w:spacing w:after="0"/>
        <w:tabs>
          <w:tab w:leader="none" w:pos="660" w:val="left"/>
        </w:tabs>
        <w:numPr>
          <w:ilvl w:val="0"/>
          <w:numId w:val="5"/>
        </w:numPr>
        <w:rPr>
          <w:rFonts w:ascii="Arial" w:cs="Arial" w:eastAsia="Arial" w:hAnsi="Arial"/>
          <w:sz w:val="11"/>
          <w:szCs w:val="11"/>
          <w:color w:val="auto"/>
        </w:rPr>
      </w:pPr>
      <w:r>
        <w:rPr>
          <w:rFonts w:ascii="Arial" w:cs="Arial" w:eastAsia="Arial" w:hAnsi="Arial"/>
          <w:sz w:val="14"/>
          <w:szCs w:val="14"/>
          <w:color w:val="auto"/>
        </w:rPr>
        <w:t>Investment is either a cash success fee payable or earnout of shares based on the consummation of certain trigger events.</w:t>
      </w:r>
    </w:p>
    <w:p>
      <w:pPr>
        <w:spacing w:after="0" w:line="95" w:lineRule="exact"/>
        <w:rPr>
          <w:rFonts w:ascii="Arial" w:cs="Arial" w:eastAsia="Arial" w:hAnsi="Arial"/>
          <w:sz w:val="11"/>
          <w:szCs w:val="11"/>
          <w:color w:val="auto"/>
        </w:rPr>
      </w:pPr>
    </w:p>
    <w:p>
      <w:pPr>
        <w:ind w:left="660" w:right="20" w:hanging="328"/>
        <w:spacing w:after="0" w:line="253" w:lineRule="auto"/>
        <w:tabs>
          <w:tab w:leader="none" w:pos="660" w:val="left"/>
        </w:tabs>
        <w:numPr>
          <w:ilvl w:val="0"/>
          <w:numId w:val="5"/>
        </w:numPr>
        <w:rPr>
          <w:rFonts w:ascii="Arial" w:cs="Arial" w:eastAsia="Arial" w:hAnsi="Arial"/>
          <w:sz w:val="11"/>
          <w:szCs w:val="11"/>
          <w:color w:val="auto"/>
        </w:rPr>
      </w:pPr>
      <w:r>
        <w:rPr>
          <w:rFonts w:ascii="Arial" w:cs="Arial" w:eastAsia="Arial" w:hAnsi="Arial"/>
          <w:sz w:val="14"/>
          <w:szCs w:val="14"/>
          <w:color w:val="auto"/>
        </w:rPr>
        <w:t>The Credit Agreement (as defined in Note 10) is secured by a perfected first priority security interest in each of the Company’s senior secured term loan investments, except for the Mojix, Inc., Pivot3, Inc., and The Kairn Corporation senior secured term loans.</w:t>
      </w:r>
    </w:p>
    <w:p>
      <w:pPr>
        <w:spacing w:after="0" w:line="92" w:lineRule="exact"/>
        <w:rPr>
          <w:rFonts w:ascii="Arial" w:cs="Arial" w:eastAsia="Arial" w:hAnsi="Arial"/>
          <w:sz w:val="11"/>
          <w:szCs w:val="11"/>
          <w:color w:val="auto"/>
        </w:rPr>
      </w:pPr>
    </w:p>
    <w:p>
      <w:pPr>
        <w:ind w:left="660" w:hanging="328"/>
        <w:spacing w:after="0" w:line="253" w:lineRule="auto"/>
        <w:tabs>
          <w:tab w:leader="none" w:pos="660" w:val="left"/>
        </w:tabs>
        <w:numPr>
          <w:ilvl w:val="0"/>
          <w:numId w:val="5"/>
        </w:numPr>
        <w:rPr>
          <w:rFonts w:ascii="Arial" w:cs="Arial" w:eastAsia="Arial" w:hAnsi="Arial"/>
          <w:sz w:val="11"/>
          <w:szCs w:val="11"/>
          <w:color w:val="auto"/>
        </w:rPr>
      </w:pPr>
      <w:r>
        <w:rPr>
          <w:rFonts w:ascii="Arial" w:cs="Arial" w:eastAsia="Arial" w:hAnsi="Arial"/>
          <w:sz w:val="14"/>
          <w:szCs w:val="14"/>
          <w:color w:val="auto"/>
        </w:rPr>
        <w:t>Control investment, as defined under the 1940 Act, in which the Company owns at least 25% of the investment’s voting securities or has greater than 50% representation on its board.</w:t>
      </w:r>
    </w:p>
    <w:p>
      <w:pPr>
        <w:spacing w:after="0" w:line="65" w:lineRule="exact"/>
        <w:rPr>
          <w:rFonts w:ascii="Arial" w:cs="Arial" w:eastAsia="Arial" w:hAnsi="Arial"/>
          <w:sz w:val="11"/>
          <w:szCs w:val="11"/>
          <w:color w:val="auto"/>
        </w:rPr>
      </w:pPr>
    </w:p>
    <w:p>
      <w:pPr>
        <w:ind w:left="660" w:hanging="328"/>
        <w:spacing w:after="0"/>
        <w:tabs>
          <w:tab w:leader="none" w:pos="660" w:val="left"/>
        </w:tabs>
        <w:numPr>
          <w:ilvl w:val="0"/>
          <w:numId w:val="5"/>
        </w:numPr>
        <w:rPr>
          <w:rFonts w:ascii="Arial" w:cs="Arial" w:eastAsia="Arial" w:hAnsi="Arial"/>
          <w:sz w:val="11"/>
          <w:szCs w:val="11"/>
          <w:color w:val="auto"/>
        </w:rPr>
      </w:pPr>
      <w:r>
        <w:rPr>
          <w:rFonts w:ascii="Arial" w:cs="Arial" w:eastAsia="Arial" w:hAnsi="Arial"/>
          <w:sz w:val="14"/>
          <w:szCs w:val="14"/>
          <w:color w:val="auto"/>
        </w:rPr>
        <w:t>Investment is publicly traded and listed on NASDAQ.</w:t>
      </w:r>
    </w:p>
    <w:p>
      <w:pPr>
        <w:spacing w:after="0" w:line="136" w:lineRule="exact"/>
        <w:rPr>
          <w:rFonts w:ascii="Arial" w:cs="Arial" w:eastAsia="Arial" w:hAnsi="Arial"/>
          <w:sz w:val="11"/>
          <w:szCs w:val="11"/>
          <w:color w:val="auto"/>
        </w:rPr>
      </w:pPr>
    </w:p>
    <w:p>
      <w:pPr>
        <w:ind w:left="660" w:right="20" w:hanging="328"/>
        <w:spacing w:after="0" w:line="253" w:lineRule="auto"/>
        <w:tabs>
          <w:tab w:leader="none" w:pos="660" w:val="left"/>
        </w:tabs>
        <w:numPr>
          <w:ilvl w:val="0"/>
          <w:numId w:val="5"/>
        </w:numPr>
        <w:rPr>
          <w:rFonts w:ascii="Arial" w:cs="Arial" w:eastAsia="Arial" w:hAnsi="Arial"/>
          <w:sz w:val="11"/>
          <w:szCs w:val="11"/>
          <w:color w:val="auto"/>
        </w:rPr>
      </w:pPr>
      <w:r>
        <w:rPr>
          <w:rFonts w:ascii="Arial" w:cs="Arial" w:eastAsia="Arial" w:hAnsi="Arial"/>
          <w:sz w:val="14"/>
          <w:szCs w:val="14"/>
          <w:color w:val="auto"/>
        </w:rPr>
        <w:t>260,000 shares of MTBC, Inc. preferred stock with a fair value of $1,429,600 have restrictions on the sale of the shares due to escrow claims, and such fair value is considered a Level 2 fair value measurement under the fair value hierarchy.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following table shows the fair value of the portfolio company investments in which we are deemed to exercise a controlling influence over the management or policies of the portfolio company, as defined in the 1940 Act, due to beneficially owning, either directly or through one or more controlled companies, more than 25% of the outstanding voting securities of the portfolio company as of December 31, 2020, along with the transactions during the year ended December 31, 2020:</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12"/>
          </w:tcPr>
          <w:p>
            <w:pPr>
              <w:ind w:left="220"/>
              <w:spacing w:after="0"/>
              <w:rPr>
                <w:sz w:val="20"/>
                <w:szCs w:val="20"/>
                <w:color w:val="auto"/>
              </w:rPr>
            </w:pPr>
            <w:r>
              <w:rPr>
                <w:rFonts w:ascii="Arial" w:cs="Arial" w:eastAsia="Arial" w:hAnsi="Arial"/>
                <w:sz w:val="13"/>
                <w:szCs w:val="13"/>
                <w:b w:val="1"/>
                <w:bCs w:val="1"/>
                <w:color w:val="auto"/>
                <w:w w:val="91"/>
              </w:rPr>
              <w:t>For the Year Ended December 31, 2020</w:t>
            </w:r>
          </w:p>
        </w:tc>
        <w:tc>
          <w:tcPr>
            <w:tcW w:w="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gridSpan w:val="3"/>
          </w:tcPr>
          <w:p>
            <w:pPr>
              <w:jc w:val="center"/>
              <w:ind w:right="80"/>
              <w:spacing w:after="0" w:line="110" w:lineRule="exact"/>
              <w:rPr>
                <w:sz w:val="20"/>
                <w:szCs w:val="20"/>
                <w:color w:val="auto"/>
              </w:rPr>
            </w:pPr>
            <w:r>
              <w:rPr>
                <w:rFonts w:ascii="Arial" w:cs="Arial" w:eastAsia="Arial" w:hAnsi="Arial"/>
                <w:sz w:val="12"/>
                <w:szCs w:val="12"/>
                <w:b w:val="1"/>
                <w:bCs w:val="1"/>
                <w:color w:val="auto"/>
                <w:w w:val="96"/>
              </w:rPr>
              <w:t>Net Change in</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0"/>
              </w:rPr>
              <w:t>Fair Value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90"/>
              </w:rPr>
              <w:t>Net Realized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Unrealized</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78"/>
              </w:rPr>
              <w:t>as of</w:t>
            </w:r>
          </w:p>
        </w:tc>
        <w:tc>
          <w:tcPr>
            <w:tcW w:w="40" w:type="dxa"/>
            <w:vAlign w:val="bottom"/>
          </w:tcPr>
          <w:p>
            <w:pPr>
              <w:spacing w:after="0"/>
              <w:rPr>
                <w:sz w:val="11"/>
                <w:szCs w:val="11"/>
                <w:color w:val="auto"/>
              </w:rPr>
            </w:pPr>
          </w:p>
        </w:tc>
        <w:tc>
          <w:tcPr>
            <w:tcW w:w="66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Gross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Gross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Gains</w:t>
            </w:r>
          </w:p>
        </w:tc>
        <w:tc>
          <w:tcPr>
            <w:tcW w:w="40" w:type="dxa"/>
            <w:vAlign w:val="bottom"/>
          </w:tcPr>
          <w:p>
            <w:pPr>
              <w:spacing w:after="0"/>
              <w:rPr>
                <w:sz w:val="11"/>
                <w:szCs w:val="11"/>
                <w:color w:val="auto"/>
              </w:rPr>
            </w:pPr>
          </w:p>
        </w:tc>
        <w:tc>
          <w:tcPr>
            <w:tcW w:w="86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Appreciation</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ind w:right="397"/>
              <w:spacing w:after="0" w:line="135" w:lineRule="exact"/>
              <w:rPr>
                <w:sz w:val="20"/>
                <w:szCs w:val="20"/>
                <w:color w:val="auto"/>
              </w:rPr>
            </w:pPr>
            <w:r>
              <w:rPr>
                <w:rFonts w:ascii="Arial" w:cs="Arial" w:eastAsia="Arial" w:hAnsi="Arial"/>
                <w:sz w:val="13"/>
                <w:szCs w:val="13"/>
                <w:b w:val="1"/>
                <w:bCs w:val="1"/>
                <w:color w:val="auto"/>
              </w:rPr>
              <w:t>as of</w:t>
            </w:r>
          </w:p>
        </w:tc>
        <w:tc>
          <w:tcPr>
            <w:tcW w:w="0" w:type="dxa"/>
            <w:vAlign w:val="bottom"/>
          </w:tcPr>
          <w:p>
            <w:pPr>
              <w:spacing w:after="0"/>
              <w:rPr>
                <w:sz w:val="1"/>
                <w:szCs w:val="1"/>
                <w:color w:val="auto"/>
              </w:rPr>
            </w:pPr>
          </w:p>
        </w:tc>
      </w:tr>
      <w:tr>
        <w:trPr>
          <w:trHeight w:val="153"/>
        </w:trPr>
        <w:tc>
          <w:tcPr>
            <w:tcW w:w="2080" w:type="dxa"/>
            <w:vAlign w:val="bottom"/>
            <w:gridSpan w:val="2"/>
          </w:tcPr>
          <w:p>
            <w:pPr>
              <w:spacing w:after="0" w:line="154" w:lineRule="exact"/>
              <w:rPr>
                <w:sz w:val="20"/>
                <w:szCs w:val="20"/>
                <w:color w:val="auto"/>
              </w:rPr>
            </w:pPr>
            <w:r>
              <w:rPr>
                <w:rFonts w:ascii="Arial" w:cs="Arial" w:eastAsia="Arial" w:hAnsi="Arial"/>
                <w:sz w:val="12"/>
                <w:szCs w:val="12"/>
                <w:b w:val="1"/>
                <w:bCs w:val="1"/>
                <w:color w:val="auto"/>
              </w:rPr>
              <w:t>Portfolio Company</w:t>
            </w:r>
            <w:r>
              <w:rPr>
                <w:rFonts w:ascii="Arial" w:cs="Arial" w:eastAsia="Arial" w:hAnsi="Arial"/>
                <w:sz w:val="17"/>
                <w:szCs w:val="17"/>
                <w:b w:val="1"/>
                <w:bCs w:val="1"/>
                <w:color w:val="auto"/>
                <w:vertAlign w:val="superscript"/>
              </w:rPr>
              <w:t>(4)</w:t>
            </w:r>
          </w:p>
        </w:tc>
        <w:tc>
          <w:tcPr>
            <w:tcW w:w="2420" w:type="dxa"/>
            <w:vAlign w:val="bottom"/>
            <w:gridSpan w:val="3"/>
          </w:tcPr>
          <w:p>
            <w:pPr>
              <w:ind w:left="60"/>
              <w:spacing w:after="0"/>
              <w:rPr>
                <w:sz w:val="20"/>
                <w:szCs w:val="20"/>
                <w:color w:val="auto"/>
              </w:rPr>
            </w:pPr>
            <w:r>
              <w:rPr>
                <w:rFonts w:ascii="Arial" w:cs="Arial" w:eastAsia="Arial" w:hAnsi="Arial"/>
                <w:sz w:val="13"/>
                <w:szCs w:val="13"/>
                <w:b w:val="1"/>
                <w:bCs w:val="1"/>
                <w:color w:val="auto"/>
              </w:rPr>
              <w:t>Investment Description</w:t>
            </w:r>
          </w:p>
        </w:tc>
        <w:tc>
          <w:tcPr>
            <w:tcW w:w="1120" w:type="dxa"/>
            <w:vAlign w:val="bottom"/>
            <w:gridSpan w:val="4"/>
          </w:tcPr>
          <w:p>
            <w:pPr>
              <w:jc w:val="center"/>
              <w:spacing w:after="0"/>
              <w:rPr>
                <w:sz w:val="20"/>
                <w:szCs w:val="20"/>
                <w:color w:val="auto"/>
              </w:rPr>
            </w:pPr>
            <w:r>
              <w:rPr>
                <w:rFonts w:ascii="Arial" w:cs="Arial" w:eastAsia="Arial" w:hAnsi="Arial"/>
                <w:sz w:val="13"/>
                <w:szCs w:val="13"/>
                <w:b w:val="1"/>
                <w:bCs w:val="1"/>
                <w:color w:val="auto"/>
                <w:w w:val="85"/>
              </w:rPr>
              <w:t>December 31, 2019</w:t>
            </w:r>
          </w:p>
        </w:tc>
        <w:tc>
          <w:tcPr>
            <w:tcW w:w="40" w:type="dxa"/>
            <w:vAlign w:val="bottom"/>
          </w:tcPr>
          <w:p>
            <w:pPr>
              <w:spacing w:after="0"/>
              <w:rPr>
                <w:sz w:val="13"/>
                <w:szCs w:val="13"/>
                <w:color w:val="auto"/>
              </w:rPr>
            </w:pPr>
          </w:p>
        </w:tc>
        <w:tc>
          <w:tcPr>
            <w:tcW w:w="660" w:type="dxa"/>
            <w:vAlign w:val="bottom"/>
          </w:tcPr>
          <w:p>
            <w:pPr>
              <w:jc w:val="right"/>
              <w:spacing w:after="0" w:line="154" w:lineRule="exact"/>
              <w:rPr>
                <w:sz w:val="20"/>
                <w:szCs w:val="20"/>
                <w:color w:val="auto"/>
              </w:rPr>
            </w:pPr>
            <w:r>
              <w:rPr>
                <w:rFonts w:ascii="Arial" w:cs="Arial" w:eastAsia="Arial" w:hAnsi="Arial"/>
                <w:sz w:val="12"/>
                <w:szCs w:val="12"/>
                <w:b w:val="1"/>
                <w:bCs w:val="1"/>
                <w:color w:val="auto"/>
                <w:w w:val="89"/>
              </w:rPr>
              <w:t>Additions</w:t>
            </w:r>
            <w:r>
              <w:rPr>
                <w:rFonts w:ascii="Arial" w:cs="Arial" w:eastAsia="Arial" w:hAnsi="Arial"/>
                <w:sz w:val="17"/>
                <w:szCs w:val="17"/>
                <w:b w:val="1"/>
                <w:bCs w:val="1"/>
                <w:color w:val="auto"/>
                <w:w w:val="89"/>
                <w:vertAlign w:val="superscript"/>
              </w:rPr>
              <w:t>(1)</w:t>
            </w:r>
          </w:p>
        </w:tc>
        <w:tc>
          <w:tcPr>
            <w:tcW w:w="800" w:type="dxa"/>
            <w:vAlign w:val="bottom"/>
            <w:gridSpan w:val="4"/>
          </w:tcPr>
          <w:p>
            <w:pPr>
              <w:ind w:left="60"/>
              <w:spacing w:after="0" w:line="154" w:lineRule="exact"/>
              <w:rPr>
                <w:sz w:val="20"/>
                <w:szCs w:val="20"/>
                <w:color w:val="auto"/>
              </w:rPr>
            </w:pPr>
            <w:r>
              <w:rPr>
                <w:rFonts w:ascii="Arial" w:cs="Arial" w:eastAsia="Arial" w:hAnsi="Arial"/>
                <w:sz w:val="12"/>
                <w:szCs w:val="12"/>
                <w:b w:val="1"/>
                <w:bCs w:val="1"/>
                <w:color w:val="auto"/>
                <w:w w:val="90"/>
              </w:rPr>
              <w:t>Reductions</w:t>
            </w:r>
            <w:r>
              <w:rPr>
                <w:rFonts w:ascii="Arial" w:cs="Arial" w:eastAsia="Arial" w:hAnsi="Arial"/>
                <w:sz w:val="17"/>
                <w:szCs w:val="17"/>
                <w:b w:val="1"/>
                <w:bCs w:val="1"/>
                <w:color w:val="auto"/>
                <w:w w:val="90"/>
                <w:vertAlign w:val="superscript"/>
              </w:rPr>
              <w:t>(2)</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78"/>
              </w:rPr>
              <w:t>(Losses)</w:t>
            </w:r>
          </w:p>
        </w:tc>
        <w:tc>
          <w:tcPr>
            <w:tcW w:w="40" w:type="dxa"/>
            <w:vAlign w:val="bottom"/>
          </w:tcPr>
          <w:p>
            <w:pPr>
              <w:spacing w:after="0"/>
              <w:rPr>
                <w:sz w:val="13"/>
                <w:szCs w:val="13"/>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9"/>
              </w:rPr>
              <w:t>(Depreciation)</w:t>
            </w:r>
          </w:p>
        </w:tc>
        <w:tc>
          <w:tcPr>
            <w:tcW w:w="20" w:type="dxa"/>
            <w:vAlign w:val="bottom"/>
          </w:tcPr>
          <w:p>
            <w:pPr>
              <w:spacing w:after="0"/>
              <w:rPr>
                <w:sz w:val="13"/>
                <w:szCs w:val="13"/>
                <w:color w:val="auto"/>
              </w:rPr>
            </w:pPr>
          </w:p>
        </w:tc>
        <w:tc>
          <w:tcPr>
            <w:tcW w:w="1140" w:type="dxa"/>
            <w:vAlign w:val="bottom"/>
            <w:gridSpan w:val="2"/>
          </w:tcPr>
          <w:p>
            <w:pPr>
              <w:spacing w:after="0" w:line="154" w:lineRule="exact"/>
              <w:rPr>
                <w:sz w:val="20"/>
                <w:szCs w:val="20"/>
                <w:color w:val="auto"/>
              </w:rPr>
            </w:pPr>
            <w:r>
              <w:rPr>
                <w:rFonts w:ascii="Arial" w:cs="Arial" w:eastAsia="Arial" w:hAnsi="Arial"/>
                <w:sz w:val="12"/>
                <w:szCs w:val="12"/>
                <w:b w:val="1"/>
                <w:bCs w:val="1"/>
                <w:color w:val="auto"/>
                <w:w w:val="91"/>
              </w:rPr>
              <w:t>December 31, 2020</w:t>
            </w:r>
            <w:r>
              <w:rPr>
                <w:rFonts w:ascii="Arial" w:cs="Arial" w:eastAsia="Arial" w:hAnsi="Arial"/>
                <w:sz w:val="17"/>
                <w:szCs w:val="17"/>
                <w:b w:val="1"/>
                <w:bCs w:val="1"/>
                <w:color w:val="auto"/>
                <w:w w:val="91"/>
                <w:vertAlign w:val="superscript"/>
              </w:rPr>
              <w:t>(3)</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Senior Secured Term Loans</w:t>
            </w:r>
          </w:p>
        </w:tc>
        <w:tc>
          <w:tcPr>
            <w:tcW w:w="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20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60" w:type="dxa"/>
            <w:vAlign w:val="bottom"/>
          </w:tcPr>
          <w:p>
            <w:pPr>
              <w:spacing w:after="0" w:line="121" w:lineRule="exact"/>
              <w:rPr>
                <w:sz w:val="20"/>
                <w:szCs w:val="20"/>
                <w:color w:val="auto"/>
              </w:rPr>
            </w:pPr>
            <w:r>
              <w:rPr>
                <w:rFonts w:ascii="Arial" w:cs="Arial" w:eastAsia="Arial" w:hAnsi="Arial"/>
                <w:sz w:val="13"/>
                <w:szCs w:val="13"/>
                <w:color w:val="auto"/>
              </w:rPr>
              <w:t>Mojix, Inc.</w:t>
            </w:r>
          </w:p>
        </w:tc>
        <w:tc>
          <w:tcPr>
            <w:tcW w:w="2420" w:type="dxa"/>
            <w:vAlign w:val="bottom"/>
            <w:gridSpan w:val="3"/>
          </w:tcPr>
          <w:p>
            <w:pPr>
              <w:ind w:left="60"/>
              <w:spacing w:after="0" w:line="121" w:lineRule="exact"/>
              <w:rPr>
                <w:sz w:val="20"/>
                <w:szCs w:val="20"/>
                <w:color w:val="auto"/>
              </w:rPr>
            </w:pPr>
            <w:r>
              <w:rPr>
                <w:rFonts w:ascii="Arial" w:cs="Arial" w:eastAsia="Arial" w:hAnsi="Arial"/>
                <w:sz w:val="13"/>
                <w:szCs w:val="13"/>
                <w:color w:val="auto"/>
              </w:rPr>
              <w:t>Tranche I: LIBOR+12.00% PIK, 12.00%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420" w:type="dxa"/>
            <w:vAlign w:val="bottom"/>
            <w:gridSpan w:val="3"/>
          </w:tcPr>
          <w:p>
            <w:pPr>
              <w:ind w:left="60"/>
              <w:spacing w:after="0"/>
              <w:rPr>
                <w:sz w:val="20"/>
                <w:szCs w:val="20"/>
                <w:color w:val="auto"/>
              </w:rPr>
            </w:pPr>
            <w:r>
              <w:rPr>
                <w:rFonts w:ascii="Arial" w:cs="Arial" w:eastAsia="Arial" w:hAnsi="Arial"/>
                <w:sz w:val="13"/>
                <w:szCs w:val="13"/>
                <w:color w:val="auto"/>
              </w:rPr>
              <w:t>floor, 5% ETP, due 7/15/2021</w:t>
            </w:r>
          </w:p>
        </w:tc>
        <w:tc>
          <w:tcPr>
            <w:tcW w:w="220" w:type="dxa"/>
            <w:vAlign w:val="bottom"/>
            <w:gridSpan w:val="2"/>
          </w:tcPr>
          <w:p>
            <w:pPr>
              <w:jc w:val="right"/>
              <w:ind w:right="28"/>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w w:val="90"/>
              </w:rPr>
              <w:t>$ 4,860,763</w:t>
            </w:r>
          </w:p>
        </w:tc>
        <w:tc>
          <w:tcPr>
            <w:tcW w:w="18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52,387</w:t>
            </w:r>
          </w:p>
        </w:tc>
        <w:tc>
          <w:tcPr>
            <w:tcW w:w="80" w:type="dxa"/>
            <w:vAlign w:val="bottom"/>
          </w:tcPr>
          <w:p>
            <w:pPr>
              <w:spacing w:after="0"/>
              <w:rPr>
                <w:sz w:val="12"/>
                <w:szCs w:val="12"/>
                <w:color w:val="auto"/>
              </w:rPr>
            </w:pPr>
          </w:p>
        </w:tc>
        <w:tc>
          <w:tcPr>
            <w:tcW w:w="180" w:type="dxa"/>
            <w:vAlign w:val="bottom"/>
            <w:gridSpan w:val="2"/>
          </w:tcPr>
          <w:p>
            <w:pPr>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4,913,150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2420" w:type="dxa"/>
            <w:vAlign w:val="bottom"/>
            <w:gridSpan w:val="3"/>
            <w:shd w:val="clear" w:color="auto" w:fill="CCEEFF"/>
          </w:tcPr>
          <w:p>
            <w:pPr>
              <w:ind w:left="60"/>
              <w:spacing w:after="0" w:line="121" w:lineRule="exact"/>
              <w:rPr>
                <w:sz w:val="20"/>
                <w:szCs w:val="20"/>
                <w:color w:val="auto"/>
              </w:rPr>
            </w:pPr>
            <w:r>
              <w:rPr>
                <w:rFonts w:ascii="Arial" w:cs="Arial" w:eastAsia="Arial" w:hAnsi="Arial"/>
                <w:sz w:val="13"/>
                <w:szCs w:val="13"/>
                <w:color w:val="auto"/>
              </w:rPr>
              <w:t>Tranche II: LIBOR+12.00% PIK, 12.00%</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42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rPr>
              <w:t>floor, 5% ETP, due 7/15/2021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1,620,255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17,462</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1,637,717</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420" w:type="dxa"/>
            <w:vAlign w:val="bottom"/>
            <w:gridSpan w:val="3"/>
          </w:tcPr>
          <w:p>
            <w:pPr>
              <w:ind w:left="60"/>
              <w:spacing w:after="0" w:line="121" w:lineRule="exact"/>
              <w:rPr>
                <w:sz w:val="20"/>
                <w:szCs w:val="20"/>
                <w:color w:val="auto"/>
              </w:rPr>
            </w:pPr>
            <w:r>
              <w:rPr>
                <w:rFonts w:ascii="Arial" w:cs="Arial" w:eastAsia="Arial" w:hAnsi="Arial"/>
                <w:sz w:val="13"/>
                <w:szCs w:val="13"/>
                <w:color w:val="auto"/>
                <w:w w:val="99"/>
              </w:rPr>
              <w:t>Tranche III: LIBOR+12.00% PIK, 12.00%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420" w:type="dxa"/>
            <w:vAlign w:val="bottom"/>
            <w:gridSpan w:val="3"/>
          </w:tcPr>
          <w:p>
            <w:pPr>
              <w:ind w:left="60"/>
              <w:spacing w:after="0"/>
              <w:rPr>
                <w:sz w:val="20"/>
                <w:szCs w:val="20"/>
                <w:color w:val="auto"/>
              </w:rPr>
            </w:pPr>
            <w:r>
              <w:rPr>
                <w:rFonts w:ascii="Arial" w:cs="Arial" w:eastAsia="Arial" w:hAnsi="Arial"/>
                <w:sz w:val="13"/>
                <w:szCs w:val="13"/>
                <w:color w:val="auto"/>
              </w:rPr>
              <w:t>floor, 5% ETP, due 7/15/2021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404,654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4,362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409,016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2420" w:type="dxa"/>
            <w:vAlign w:val="bottom"/>
            <w:gridSpan w:val="3"/>
            <w:shd w:val="clear" w:color="auto" w:fill="CCEEFF"/>
          </w:tcPr>
          <w:p>
            <w:pPr>
              <w:ind w:left="60"/>
              <w:spacing w:after="0" w:line="121" w:lineRule="exact"/>
              <w:rPr>
                <w:sz w:val="20"/>
                <w:szCs w:val="20"/>
                <w:color w:val="auto"/>
              </w:rPr>
            </w:pPr>
            <w:r>
              <w:rPr>
                <w:rFonts w:ascii="Arial" w:cs="Arial" w:eastAsia="Arial" w:hAnsi="Arial"/>
                <w:sz w:val="13"/>
                <w:szCs w:val="13"/>
                <w:color w:val="auto"/>
                <w:w w:val="98"/>
              </w:rPr>
              <w:t>Tranche IV: LIBOR+12.00% PIK, 12.00%</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42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rPr>
              <w:t>floor, 5% ETP, due 7/15/2021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404,090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4,355</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408,445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420" w:type="dxa"/>
            <w:vAlign w:val="bottom"/>
            <w:gridSpan w:val="3"/>
          </w:tcPr>
          <w:p>
            <w:pPr>
              <w:ind w:left="60"/>
              <w:spacing w:after="0" w:line="121" w:lineRule="exact"/>
              <w:rPr>
                <w:sz w:val="20"/>
                <w:szCs w:val="20"/>
                <w:color w:val="auto"/>
              </w:rPr>
            </w:pPr>
            <w:r>
              <w:rPr>
                <w:rFonts w:ascii="Arial" w:cs="Arial" w:eastAsia="Arial" w:hAnsi="Arial"/>
                <w:sz w:val="13"/>
                <w:szCs w:val="13"/>
                <w:color w:val="auto"/>
              </w:rPr>
              <w:t>Tranche V: LIBOR+12.00% PIK, 12.00%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420" w:type="dxa"/>
            <w:vAlign w:val="bottom"/>
            <w:gridSpan w:val="3"/>
          </w:tcPr>
          <w:p>
            <w:pPr>
              <w:ind w:left="60"/>
              <w:spacing w:after="0"/>
              <w:rPr>
                <w:sz w:val="20"/>
                <w:szCs w:val="20"/>
                <w:color w:val="auto"/>
              </w:rPr>
            </w:pPr>
            <w:r>
              <w:rPr>
                <w:rFonts w:ascii="Arial" w:cs="Arial" w:eastAsia="Arial" w:hAnsi="Arial"/>
                <w:sz w:val="13"/>
                <w:szCs w:val="13"/>
                <w:color w:val="auto"/>
              </w:rPr>
              <w:t>floor, 5% ETP, due 7/15/2021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804,709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8,673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813,382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2420" w:type="dxa"/>
            <w:vAlign w:val="bottom"/>
            <w:gridSpan w:val="3"/>
            <w:shd w:val="clear" w:color="auto" w:fill="CCEEFF"/>
          </w:tcPr>
          <w:p>
            <w:pPr>
              <w:ind w:left="60"/>
              <w:spacing w:after="0" w:line="121" w:lineRule="exact"/>
              <w:rPr>
                <w:sz w:val="20"/>
                <w:szCs w:val="20"/>
                <w:color w:val="auto"/>
              </w:rPr>
            </w:pPr>
            <w:r>
              <w:rPr>
                <w:rFonts w:ascii="Arial" w:cs="Arial" w:eastAsia="Arial" w:hAnsi="Arial"/>
                <w:sz w:val="13"/>
                <w:szCs w:val="13"/>
                <w:color w:val="auto"/>
                <w:w w:val="98"/>
              </w:rPr>
              <w:t>Tranche VI: LIBOR+12.00% PIK, 12.00%</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42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rPr>
              <w:t>floor, 5% ETP, due 7/31/2021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771,060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8,310</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779,370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6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b w:val="1"/>
                <w:bCs w:val="1"/>
                <w:color w:val="auto"/>
                <w:w w:val="98"/>
              </w:rPr>
              <w:t>Total Senior Secured Term Loans</w:t>
            </w:r>
          </w:p>
        </w:tc>
        <w:tc>
          <w:tcPr>
            <w:tcW w:w="60" w:type="dxa"/>
            <w:vAlign w:val="bottom"/>
            <w:tcBorders>
              <w:bottom w:val="single" w:sz="8" w:color="CCEEFF"/>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20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ind w:left="700"/>
              <w:spacing w:after="0" w:line="129"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8,865,531</w:t>
            </w:r>
          </w:p>
        </w:tc>
        <w:tc>
          <w:tcPr>
            <w:tcW w:w="6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ind w:left="420"/>
              <w:spacing w:after="0" w:line="129"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ind w:left="420"/>
              <w:spacing w:after="0" w:line="129"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95,549</w:t>
            </w: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8,961,080</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060" w:type="dxa"/>
            <w:vAlign w:val="bottom"/>
          </w:tcPr>
          <w:p>
            <w:pPr>
              <w:spacing w:after="0" w:line="135" w:lineRule="exact"/>
              <w:rPr>
                <w:sz w:val="20"/>
                <w:szCs w:val="20"/>
                <w:color w:val="auto"/>
              </w:rPr>
            </w:pPr>
            <w:r>
              <w:rPr>
                <w:rFonts w:ascii="Arial" w:cs="Arial" w:eastAsia="Arial" w:hAnsi="Arial"/>
                <w:sz w:val="13"/>
                <w:szCs w:val="13"/>
                <w:b w:val="1"/>
                <w:bCs w:val="1"/>
                <w:color w:val="auto"/>
              </w:rPr>
              <w:t>Preferred Stocks</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Mojix, Inc.</w:t>
            </w:r>
          </w:p>
        </w:tc>
        <w:tc>
          <w:tcPr>
            <w:tcW w:w="60" w:type="dxa"/>
            <w:vAlign w:val="bottom"/>
            <w:shd w:val="clear" w:color="auto" w:fill="CCEEFF"/>
          </w:tcPr>
          <w:p>
            <w:pPr>
              <w:spacing w:after="0"/>
              <w:rPr>
                <w:sz w:val="11"/>
                <w:szCs w:val="11"/>
                <w:color w:val="auto"/>
              </w:rPr>
            </w:pPr>
          </w:p>
        </w:tc>
        <w:tc>
          <w:tcPr>
            <w:tcW w:w="236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Series A-1 Preferred Stock</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70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800,000</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84,774</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884,774</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0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Warrants</w:t>
            </w: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60" w:type="dxa"/>
            <w:vAlign w:val="bottom"/>
          </w:tcPr>
          <w:p>
            <w:pPr>
              <w:spacing w:after="0" w:line="121" w:lineRule="exact"/>
              <w:rPr>
                <w:sz w:val="20"/>
                <w:szCs w:val="20"/>
                <w:color w:val="auto"/>
              </w:rPr>
            </w:pPr>
            <w:r>
              <w:rPr>
                <w:rFonts w:ascii="Arial" w:cs="Arial" w:eastAsia="Arial" w:hAnsi="Arial"/>
                <w:sz w:val="13"/>
                <w:szCs w:val="13"/>
                <w:color w:val="auto"/>
              </w:rPr>
              <w:t>Mojix, Inc.</w:t>
            </w:r>
          </w:p>
        </w:tc>
        <w:tc>
          <w:tcPr>
            <w:tcW w:w="2420" w:type="dxa"/>
            <w:vAlign w:val="bottom"/>
            <w:gridSpan w:val="3"/>
          </w:tcPr>
          <w:p>
            <w:pPr>
              <w:ind w:left="60"/>
              <w:spacing w:after="0" w:line="121" w:lineRule="exact"/>
              <w:rPr>
                <w:sz w:val="20"/>
                <w:szCs w:val="20"/>
                <w:color w:val="auto"/>
              </w:rPr>
            </w:pPr>
            <w:r>
              <w:rPr>
                <w:rFonts w:ascii="Arial" w:cs="Arial" w:eastAsia="Arial" w:hAnsi="Arial"/>
                <w:sz w:val="13"/>
                <w:szCs w:val="13"/>
                <w:color w:val="auto"/>
                <w:w w:val="95"/>
              </w:rPr>
              <w:t>Warrant for Common Stock, exercise price</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420" w:type="dxa"/>
            <w:vAlign w:val="bottom"/>
            <w:gridSpan w:val="3"/>
          </w:tcPr>
          <w:p>
            <w:pPr>
              <w:ind w:left="60"/>
              <w:spacing w:after="0"/>
              <w:rPr>
                <w:sz w:val="20"/>
                <w:szCs w:val="20"/>
                <w:color w:val="auto"/>
              </w:rPr>
            </w:pPr>
            <w:r>
              <w:rPr>
                <w:rFonts w:ascii="Arial" w:cs="Arial" w:eastAsia="Arial" w:hAnsi="Arial"/>
                <w:sz w:val="13"/>
                <w:szCs w:val="13"/>
                <w:color w:val="auto"/>
              </w:rPr>
              <w:t>$1.286/share, expires 12/13/2030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2420" w:type="dxa"/>
            <w:vAlign w:val="bottom"/>
            <w:gridSpan w:val="3"/>
            <w:shd w:val="clear" w:color="auto" w:fill="CCEEFF"/>
          </w:tcPr>
          <w:p>
            <w:pPr>
              <w:ind w:left="60"/>
              <w:spacing w:after="0" w:line="121" w:lineRule="exact"/>
              <w:rPr>
                <w:sz w:val="20"/>
                <w:szCs w:val="20"/>
                <w:color w:val="auto"/>
              </w:rPr>
            </w:pPr>
            <w:r>
              <w:rPr>
                <w:rFonts w:ascii="Arial" w:cs="Arial" w:eastAsia="Arial" w:hAnsi="Arial"/>
                <w:sz w:val="13"/>
                <w:szCs w:val="13"/>
                <w:color w:val="auto"/>
                <w:w w:val="95"/>
              </w:rPr>
              <w:t>Warrant for Common Stock, exercise price</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42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rPr>
              <w:t>$2.1286/share, expires 12/13/2030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420" w:type="dxa"/>
            <w:vAlign w:val="bottom"/>
            <w:gridSpan w:val="3"/>
          </w:tcPr>
          <w:p>
            <w:pPr>
              <w:ind w:left="60"/>
              <w:spacing w:after="0" w:line="121" w:lineRule="exact"/>
              <w:rPr>
                <w:sz w:val="20"/>
                <w:szCs w:val="20"/>
                <w:color w:val="auto"/>
              </w:rPr>
            </w:pPr>
            <w:r>
              <w:rPr>
                <w:rFonts w:ascii="Arial" w:cs="Arial" w:eastAsia="Arial" w:hAnsi="Arial"/>
                <w:sz w:val="13"/>
                <w:szCs w:val="13"/>
                <w:color w:val="auto"/>
                <w:w w:val="95"/>
              </w:rPr>
              <w:t>Warrant for Common Stock, exercise price</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420" w:type="dxa"/>
            <w:vAlign w:val="bottom"/>
            <w:gridSpan w:val="3"/>
          </w:tcPr>
          <w:p>
            <w:pPr>
              <w:ind w:left="60"/>
              <w:spacing w:after="0"/>
              <w:rPr>
                <w:sz w:val="20"/>
                <w:szCs w:val="20"/>
                <w:color w:val="auto"/>
              </w:rPr>
            </w:pPr>
            <w:r>
              <w:rPr>
                <w:rFonts w:ascii="Arial" w:cs="Arial" w:eastAsia="Arial" w:hAnsi="Arial"/>
                <w:sz w:val="13"/>
                <w:szCs w:val="13"/>
                <w:color w:val="auto"/>
              </w:rPr>
              <w:t>$5.57338/share, expires 12/13/2030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Warrants</w:t>
            </w:r>
          </w:p>
        </w:tc>
        <w:tc>
          <w:tcPr>
            <w:tcW w:w="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20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ind w:left="700"/>
              <w:spacing w:after="0" w:line="129"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ind w:left="420"/>
              <w:spacing w:after="0" w:line="129"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ind w:left="420"/>
              <w:spacing w:after="0" w:line="129"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60" w:type="dxa"/>
            <w:vAlign w:val="bottom"/>
          </w:tcPr>
          <w:p>
            <w:pPr>
              <w:spacing w:after="0" w:line="129" w:lineRule="exact"/>
              <w:rPr>
                <w:sz w:val="20"/>
                <w:szCs w:val="20"/>
                <w:color w:val="auto"/>
              </w:rPr>
            </w:pPr>
            <w:r>
              <w:rPr>
                <w:rFonts w:ascii="Arial" w:cs="Arial" w:eastAsia="Arial" w:hAnsi="Arial"/>
                <w:sz w:val="13"/>
                <w:szCs w:val="13"/>
                <w:b w:val="1"/>
                <w:bCs w:val="1"/>
                <w:color w:val="auto"/>
                <w:w w:val="97"/>
              </w:rPr>
              <w:t>Total Control/affiliate investments</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ind w:left="700"/>
              <w:spacing w:after="0" w:line="12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4"/>
              </w:rPr>
              <w:t>$ 9,665,531</w:t>
            </w: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ind w:left="420"/>
              <w:spacing w:after="0" w:line="12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ind w:left="420"/>
              <w:spacing w:after="0" w:line="12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180,323</w:t>
            </w: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9,845,854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20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0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hanging="328"/>
        <w:spacing w:after="0" w:line="290" w:lineRule="auto"/>
        <w:tabs>
          <w:tab w:leader="none" w:pos="660" w:val="left"/>
        </w:tabs>
        <w:numPr>
          <w:ilvl w:val="0"/>
          <w:numId w:val="6"/>
        </w:numPr>
        <w:rPr>
          <w:rFonts w:ascii="Arial" w:cs="Arial" w:eastAsia="Arial" w:hAnsi="Arial"/>
          <w:sz w:val="10"/>
          <w:szCs w:val="10"/>
          <w:color w:val="auto"/>
        </w:rPr>
      </w:pPr>
      <w:r>
        <w:rPr>
          <w:rFonts w:ascii="Arial" w:cs="Arial" w:eastAsia="Arial" w:hAnsi="Arial"/>
          <w:sz w:val="13"/>
          <w:szCs w:val="13"/>
          <w:color w:val="auto"/>
        </w:rPr>
        <w:t>Gross additions includes increases in the basis of investments resulting from new portfolio investments, PIK interest, accretion of OID, the exchange of one or more existing investments for one or more new investments and the movement of an existing portfolio company into this category from a different category.</w:t>
      </w:r>
    </w:p>
    <w:p>
      <w:pPr>
        <w:spacing w:after="0" w:line="43" w:lineRule="exact"/>
        <w:rPr>
          <w:rFonts w:ascii="Arial" w:cs="Arial" w:eastAsia="Arial" w:hAnsi="Arial"/>
          <w:sz w:val="10"/>
          <w:szCs w:val="10"/>
          <w:color w:val="auto"/>
        </w:rPr>
      </w:pPr>
    </w:p>
    <w:p>
      <w:pPr>
        <w:jc w:val="both"/>
        <w:ind w:left="660" w:right="20" w:hanging="328"/>
        <w:spacing w:after="0" w:line="238" w:lineRule="auto"/>
        <w:tabs>
          <w:tab w:leader="none" w:pos="660" w:val="left"/>
        </w:tabs>
        <w:numPr>
          <w:ilvl w:val="0"/>
          <w:numId w:val="6"/>
        </w:numPr>
        <w:rPr>
          <w:rFonts w:ascii="Arial" w:cs="Arial" w:eastAsia="Arial" w:hAnsi="Arial"/>
          <w:sz w:val="11"/>
          <w:szCs w:val="11"/>
          <w:color w:val="auto"/>
        </w:rPr>
      </w:pPr>
      <w:r>
        <w:rPr>
          <w:rFonts w:ascii="Arial" w:cs="Arial" w:eastAsia="Arial" w:hAnsi="Arial"/>
          <w:sz w:val="14"/>
          <w:szCs w:val="14"/>
          <w:color w:val="auto"/>
        </w:rPr>
        <w:t>Gross reductions include decreases in the basis of investments resulting from principal collections related to investment repayments or sales, the exchange of one or more existing Investments for one or more new investments and the movement of an existing portfolio company out of this category into a different category.</w:t>
      </w:r>
    </w:p>
    <w:p>
      <w:pPr>
        <w:spacing w:after="0" w:line="74" w:lineRule="exact"/>
        <w:rPr>
          <w:rFonts w:ascii="Arial" w:cs="Arial" w:eastAsia="Arial" w:hAnsi="Arial"/>
          <w:sz w:val="11"/>
          <w:szCs w:val="11"/>
          <w:color w:val="auto"/>
        </w:rPr>
      </w:pPr>
    </w:p>
    <w:p>
      <w:pPr>
        <w:ind w:left="660" w:hanging="328"/>
        <w:spacing w:after="0" w:line="253" w:lineRule="auto"/>
        <w:tabs>
          <w:tab w:leader="none" w:pos="660" w:val="left"/>
        </w:tabs>
        <w:numPr>
          <w:ilvl w:val="0"/>
          <w:numId w:val="6"/>
        </w:numPr>
        <w:rPr>
          <w:rFonts w:ascii="Arial" w:cs="Arial" w:eastAsia="Arial" w:hAnsi="Arial"/>
          <w:sz w:val="11"/>
          <w:szCs w:val="11"/>
          <w:color w:val="auto"/>
        </w:rPr>
      </w:pPr>
      <w:r>
        <w:rPr>
          <w:rFonts w:ascii="Arial" w:cs="Arial" w:eastAsia="Arial" w:hAnsi="Arial"/>
          <w:sz w:val="14"/>
          <w:szCs w:val="14"/>
          <w:color w:val="auto"/>
        </w:rPr>
        <w:t>All investments in the portfolio company, which as of December 31, 2020 represented 2.11% of the Company’s net assets, are restricted as to resale and were valued at fair value as determined in good faith by the Company’s Board of Directors.</w:t>
      </w:r>
    </w:p>
    <w:p>
      <w:pPr>
        <w:spacing w:after="0" w:line="65" w:lineRule="exact"/>
        <w:rPr>
          <w:rFonts w:ascii="Arial" w:cs="Arial" w:eastAsia="Arial" w:hAnsi="Arial"/>
          <w:sz w:val="11"/>
          <w:szCs w:val="11"/>
          <w:color w:val="auto"/>
        </w:rPr>
      </w:pPr>
    </w:p>
    <w:p>
      <w:pPr>
        <w:ind w:left="660" w:hanging="328"/>
        <w:spacing w:after="0"/>
        <w:tabs>
          <w:tab w:leader="none" w:pos="660" w:val="left"/>
        </w:tabs>
        <w:numPr>
          <w:ilvl w:val="0"/>
          <w:numId w:val="6"/>
        </w:numPr>
        <w:rPr>
          <w:rFonts w:ascii="Arial" w:cs="Arial" w:eastAsia="Arial" w:hAnsi="Arial"/>
          <w:sz w:val="11"/>
          <w:szCs w:val="11"/>
          <w:color w:val="auto"/>
        </w:rPr>
      </w:pPr>
      <w:r>
        <w:rPr>
          <w:rFonts w:ascii="Arial" w:cs="Arial" w:eastAsia="Arial" w:hAnsi="Arial"/>
          <w:sz w:val="14"/>
          <w:szCs w:val="14"/>
          <w:color w:val="auto"/>
        </w:rPr>
        <w:t>The Company earned no investment income from control investments.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tables show the fair value of our portfolio of investments (excluding any U.S. Treasury Bills held) by geographic region and industry as of December 31, 2020: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ind w:right="473"/>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Geographic Region</w:t>
            </w:r>
          </w:p>
        </w:tc>
        <w:tc>
          <w:tcPr>
            <w:tcW w:w="100" w:type="dxa"/>
            <w:vAlign w:val="bottom"/>
          </w:tcPr>
          <w:p>
            <w:pPr>
              <w:spacing w:after="0"/>
              <w:rPr>
                <w:sz w:val="10"/>
                <w:szCs w:val="10"/>
                <w:color w:val="auto"/>
              </w:rPr>
            </w:pPr>
          </w:p>
        </w:tc>
        <w:tc>
          <w:tcPr>
            <w:tcW w:w="128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8"/>
              </w:rPr>
              <w:t>Investments at</w:t>
            </w: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Percentage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4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Net Assets</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Western United States</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294,585,551</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63.18</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Northeastern United States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113,684,806</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24.38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Northwestern United States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70,958,641</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25,071,250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Southeastern United States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24,503,250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South Central United States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22,726,932</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Canada</w:t>
            </w: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294,160</w:t>
            </w: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551,824,590</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473"/>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Industry</w:t>
            </w:r>
          </w:p>
        </w:tc>
        <w:tc>
          <w:tcPr>
            <w:tcW w:w="100" w:type="dxa"/>
            <w:vAlign w:val="bottom"/>
          </w:tcPr>
          <w:p>
            <w:pPr>
              <w:spacing w:after="0"/>
              <w:rPr>
                <w:sz w:val="10"/>
                <w:szCs w:val="10"/>
                <w:color w:val="auto"/>
              </w:rPr>
            </w:pPr>
          </w:p>
        </w:tc>
        <w:tc>
          <w:tcPr>
            <w:tcW w:w="128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8"/>
              </w:rPr>
              <w:t>Investments at</w:t>
            </w: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Percentage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4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Net Assets</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Application Software</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166,728,532</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35.76</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Healthcare Technology</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79,159,609</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Internet Retail</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65,886,330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Internet Software &amp; Services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60,804,985</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Data Processing &amp; Outsourced Services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53,016,743</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Specialized Consumer Services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45,470,398</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Human Resource &amp; Employment Services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25,071,250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Education Services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19,240,254</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&amp; Electronics Retail</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18,682,426</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Technology Hardware, Storage &amp; Peripherals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17,136,450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Specialty Finance</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333,453</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System Software</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264,160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w:t>
            </w: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551,824,590</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Runway Growth Credit Fund Inc. (the “Company”) is a Maryland corporation that was formed on August 31, 2015. The Company is an externally managed, non-diversified, closed-end investment company that has elected to be regulated as a business development company (“BDC”) under the Investment Company Act of 1940, as amended (the “1940 Act”). In addition, the Company has elected to be treated, has qualified, and intends to continue to qualify annually as a regulated investment company (“RIC”) under Subchapter M of the Internal Revenue Code of 1986, as amended (the “Code”).</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was formed primarily to lend to, and selectively invest in, high growth-potential companies in technology, life sciences, healthcare information and services, business services, select consumer services and products in other high-growth industries in the United States. The Company’s investment objective is to maximize its total return to its stockholders primarily through current income on its loan portfolio, and secondarily through capital appreciation on its warrants and other equity positions. The Company’s investment activities are managed by its external investment adviser, Runway Growth Capital LLC (“RGC”). The Company’s administrator, Runway Administrator Services LLC (the “Administrator”), is a wholly owned subsidiary of RGC and provides administrative services necessary for the Company to operate.</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October 2015, in connection with the Company’s formation, the Company issued and sold 1,667 shares of common stock to R. David Spreng, the President and Chief Executive Officer of the Company and Chairman of the Company’s Board of Directors, for an aggregate purchase price of $25,000. The sale of shares of common stock was approved by the unanimous consent of the Company’s sole director at the time. Between December 2016 and December 2017, the Company completed its first private offering of shares of common stock to investors (the “Initial Private Offering”) in reliance on exemptions from the registration requirements of the Securities Act of 1933, as amended (the “Securities Act”), and other applicable securities laws. As of June 30, 2021, in connection with the Initial Private Offering, the Company had issued 18,241,157 shares of its common stock for a total purchase price of $275,000,000.</w:t>
      </w:r>
    </w:p>
    <w:p>
      <w:pPr>
        <w:spacing w:after="0" w:line="1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of June 30, 2021, the Company has completed multiple closings under its second private offering (the “Second Private Offering”) and had accepted aggregate capital commitments of $181,473,500. As of June 30, 2021, the Company has issued 8,352,251 shares of its common stock for a total purchase price of $125,283,766 in connection with the Second Private Offering and $56,189,734 of capital commitments remain undrawn. As of June 30, 2021, the Company has issued 22,564 shares as an additional direct investment by Runway Growth Holdings LLC, an affiliate of RGC, at a per-share price of $15.00 for total proceeds of $338,453. As of June 30, 2021, the Company has issued an additional 6,072,815 shares as part of the dividend reinvestment program. Refer to Note 6 for further detail.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accompanying interim unaudited financial statements of the Company are prepared on the accrual basis of accounting in conformity with U.S. Generally Accepted Accounting Principles (“U.S. GAAP”) and pursuant to the requirements for reporting on Form 10-Q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Financial Services — Investment Companies.</w:t>
      </w:r>
    </w:p>
    <w:p>
      <w:pPr>
        <w:spacing w:after="0" w:line="17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the opinion of management, all adjustments, all of which were of a normal recurring nature, considered necessary for the fair presentation of financial statements for the interim period have been included. The results of operations for the current interim period are not necessarily indicative of results that ultimately may be achieved for any other interim period or for the year ending December 31, 2021, including the impact of the novel strain of coronavirus (“COVID-19”) pandemic thereon. The interim unaudited financial statements and notes hereto should be read in conjunction with the audited financial statements and notes thereto contained in the Company’s annual report on Form 10-K for the year ended December 31, 2020, filed with the SEC on March 11, 2021.</w:t>
      </w:r>
    </w:p>
    <w:p>
      <w:pPr>
        <w:sectPr>
          <w:pgSz w:w="11900" w:h="16838" w:orient="portrait"/>
          <w:cols w:equalWidth="0" w:num="1">
            <w:col w:w="9920"/>
          </w:cols>
          <w:pgMar w:left="980" w:top="517"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items in the June 30, 2020 financial statements have been reclassified to conform to the June 30, 2021 presentation with no net effect on the net increase in net assets resulting from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income and expense during the reporting period. Actual results could differ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Cash represents deposits held at financial institutions, while cash equivalents are highly liquid investments held at financial institutions with an original maturity of three months or less at the date of acquisition. From time to time, the Company’s cash and cash equivalents exceed federally insured limits, subjecting the Company to risks related to the uninsured balance. Cash and cash equivalents are held at large, established, high credit-quality financial institutions, and management believes that risk of loss associated with any uninsured balance is remote.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Credit Facility Fees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fees and expenses associated with opening the KeyBank loan facilities or Credit Agreement (as defined below) and Credit Facilities (as defined below) are being deferred and amortized as part of interest expense using the effective interest method over the term of the Credit Agreement and the Credit Facilities in accordance with ASC 470, Debt. Debt issuance costs associated with the Credit Agreement and the Credit Facilities are classified as a direct reduction of the carrying amount of borrowings with the Credit Agreement and the Credit Facilities, unless there are no outstanding borrowings, in which case the debt issuance costs are presented as an asset.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Repurchase Agreement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has, and may in the future, enter into reverse repurchase agreements, under the terms of a Master Repurchase Agreement, with selected commercial banks and broker-dealers, under which the Company acquires securities as collateral (debt obligation) subject to an obligation of the counterparty to repurchase and the Company to resell the securities (obligation) at an agreed upon time and price. The Company, through the custodian or a sub-custodian, receives delivery of the underlying securities collateralizing reverse repurchase agreements. The Company requires the custodian to take possession, to have legally segregated in the Federal Reserve Book Entry System, or to have segregated within the custodian’s vault, all securities held as collateral for reverse repurchase agreements. The Company and the counterparties are permitted to sell, re-pledge, or use the collateral associated with the transaction. It is the Company’s policy that the market value of the collateral be at least equal to 100 percent of the repurchase price in the case of a reverse repurchase agreement of one-day duration and 102 percent of the repurchase price in the case of all other reverse repurchase agreements. Upon an event of default under the terms of the Master Repurchase Agreement, both parties have the right to set-off. If the seller defaults or enters an insolvency proceeding, realization of the collateral by the Company may be delayed, limited or wholly denied.</w:t>
      </w:r>
    </w:p>
    <w:p>
      <w:pPr>
        <w:spacing w:after="0" w:line="1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Pursuant to a reverse repurchase agreement with Goldman Sachs, which expired on July 7, 2021, the Company purchased a U.S. Treasury Bill, due July 8, 2021. The fair value of the related collateral that the Company received for this agreement was $19,999,889 at June 30, 2021. Pursuant to a reverse repurchase agreement with Goldman Sachs which expired on January 6, 2021, the Company purchased a U.S. Treasury Bill, due January 12, 2021. The value of the related collateral that the Company received for this agreement was $70,002,060 at December 31, 2020. At June 30, 2021 and December 31, 2020, the repurchase liability was $19,900,000 and $69,650,000, respectively, which is reflected as Reverse repurchase agreement on the Statement of Assets and Liabilities.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Transactions and Related Investment Income</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Security transactions, if any, are recorded on a trade-date basis. Realized gains or losses from the repayment or sale of investments are measured using the specific identification method. The amortized cost basis of investments represents the original cost adjusted for the accretion/amortization of discounts and premiums and upfront loan origination fees. The Company reports changes from</w:t>
      </w:r>
    </w:p>
    <w:p>
      <w:pPr>
        <w:sectPr>
          <w:pgSz w:w="11900" w:h="16838" w:orient="portrait"/>
          <w:cols w:equalWidth="0" w:num="1">
            <w:col w:w="9920"/>
          </w:cols>
          <w:pgMar w:left="980" w:top="517"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prior period in fair value of investments that are measured at fair value as a component of net change in unrealized appreciation (depreciation) on investments on the Statements of Operations.</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Dividends are recorded on the applicable ex-dividend date. Interest income, if any, adjusted for amortization of market premium and accretion of market discount, is recorded on an accrual basis to the extent that the Company expects to collect such amounts. Original issue discount, principally representing the estimated fair value of detachable equity, warrants or contractual success fees obtained in conjunction with the Company’s debt investments, loan origination fees, end of term payments, and market discount or premium are capitalized and accreted or amortized into interest income over the life of the respective security using the effective interest method. Loan origination fees received in connection with the closing of investments are reported as unearned income, which is included as amortized cost of the investment; the unearned income from such fees is accreted into interest income over the contractual life of the loan based on the effective interest method. Upon prepayment of a loan or debt security, any prepayment penalties, unamortized loan origination fees, end-of-term payments, and unamortized market discounts are recorded as interest income.</w:t>
      </w:r>
    </w:p>
    <w:p>
      <w:pPr>
        <w:spacing w:after="0" w:line="16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Company currently holds, and expects to hold in the future, some investments in its portfolio that contain payment-in-kind (“PIK”) interest provisions. PIK interest is computed at the contractual rate specified in each loan agreement and is added to the principal balance of the loan, rather than being paid to the Company in cash, and is recorded as interest income. Thus, the actual collection of PIK interest may be deferred until the time of debt principal repayment. PIK interest, which is a non-cash source of income, is included in the Company’s taxable income and therefore affects the amount of income the Company is required to distribute to stockholders to maintain its qualification as a RIC for U.S. federal income tax purposes, even though the Company has not yet collected the cash. Generally, when current cash interest and/or principal payments on a loan become past due, or if the Company otherwise does not expect the borrower to be able to service its debt and other obligations, the Company will place the investment on non-accrual status and will generally cease recognizing PIK interest and dividend income on that loan for financial reporting purposes until all principal and interest have been brought current through payment or through a restructuring such that the interest and dividend income is deemed to be collectible. As of June 30, 2021, and December 31, 2020, the Company has not written off any accrued and uncollected PIK interest and dividends. As of June 30, 2021, the Company had six loans to Mojix, Inc. representing an aggregate principal funded of $11,000,000 at a fair value of $10,913,998, on non-accrual status, which represents 2.28% of the Company’s net assets. The non-accrual loans as of June 30, 2021 had total interest of $2,561,665 that would have been accrued into income. Had the loans not been on non-accrual status, $2,039,925 would be payable, and $521,740 would be original issue discount. As of December 31, 2020, the Company had six loans to Mojix, Inc. representing an aggregate principal funded of $11,000,000 at a fair value of $8,961,080, on non-accrual status, which represented 1.92% of the Company's net assets. The non-accrual status loans as of December 31, 2020 had total interest of $1,627,725 that would have been accrued into income. Had the loan not been on non-accrual status, $1,213,861 would be payable, and $413,864 would be original issue discount. For the three and six months ended June 30, 2021, approximately 5.6% and 5.7%, respectively, of the Company’s total investment income was attributable to non-cash PIK interest and dividend income. For the three and six months ended June 30, 2020, approximately 2.1% and 2.9%, respectively, of the Company’s total investment income was attributable to non-cash PIK interest and dividend income.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The Company measures the value of its investments at fair value in accordance with ASC </w:t>
      </w:r>
      <w:r>
        <w:rPr>
          <w:rFonts w:ascii="Arial" w:cs="Arial" w:eastAsia="Arial" w:hAnsi="Arial"/>
          <w:sz w:val="18"/>
          <w:szCs w:val="18"/>
          <w:i w:val="1"/>
          <w:iCs w:val="1"/>
          <w:color w:val="auto"/>
        </w:rPr>
        <w:t>Topic 820, Fair Value Measurements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Disclosure </w:t>
      </w:r>
      <w:r>
        <w:rPr>
          <w:rFonts w:ascii="Arial" w:cs="Arial" w:eastAsia="Arial" w:hAnsi="Arial"/>
          <w:sz w:val="18"/>
          <w:szCs w:val="18"/>
          <w:color w:val="auto"/>
        </w:rPr>
        <w:t>(“ASC Topic 820”), issued by the FASB. Fair value is the price that would be received to sell an asset or paid to transfer a</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in an orderly transaction between market participants at the measurement date.</w:t>
      </w:r>
    </w:p>
    <w:p>
      <w:pPr>
        <w:spacing w:after="0" w:line="18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audit committee of the Company’s Board of Directors (the “Audit Committee”) assists the Board of Directors in valuing investments that are not publicly traded or for which current market values are not readily available. Investments for which market quotations are readily available are valued using market quotations, which are generally obtained from independent pricing services, broker-dealers or market makers. With respect to portfolio investments for which market quotations are not readily available, the Company’s Board of Directors, with the assistance of the Audit Committee, RGC and its senior investment team and independent valuation agents, is responsible for determining, in good faith, the fair value of such investments in accordance with the valuation policy approved by the Board of Directors. If more than one valuation method is used to measure fair value, the results are evaluated and weighted, as appropriate, considering the reasonableness of the range indicated by those results. The Company considers a range of fair values based upon the valuation techniques utilized and selects the value within that range that was most representative of fair value based on current market conditions as well as other factors RGC’s senior investment team considers relevant.</w:t>
      </w:r>
    </w:p>
    <w:p>
      <w:pPr>
        <w:sectPr>
          <w:pgSz w:w="11900" w:h="16838" w:orient="portrait"/>
          <w:cols w:equalWidth="0" w:num="1">
            <w:col w:w="9920"/>
          </w:cols>
          <w:pgMar w:left="980" w:top="517" w:right="999"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Company’s Board of Directors makes this fair value determination on a quarterly basis and any other time when a decision regarding the fair value of the portfolio investments is required. A determination of fair value involves subjective judgments and estimates and depends on the facts and circumstances. Due to the inherent uncertainty of determining the fair value of portfolio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ASC Topic 820 specifies a hierarchy of valuation techniques based on whether the inputs to those valuation techniques are observable or unobservable. ASC Topic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Topic 820, these inputs are summarized in the three levels listed below:</w:t>
      </w:r>
    </w:p>
    <w:p>
      <w:pPr>
        <w:spacing w:after="0" w:line="188" w:lineRule="exact"/>
        <w:rPr>
          <w:sz w:val="20"/>
          <w:szCs w:val="20"/>
          <w:color w:val="auto"/>
        </w:rPr>
      </w:pPr>
    </w:p>
    <w:p>
      <w:pPr>
        <w:ind w:left="580" w:hanging="315"/>
        <w:spacing w:after="0" w:line="277"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1—Valuations are based on quoted prices in active markets for identical assets or liabilities that are accessible at the measurement date.</w:t>
      </w:r>
    </w:p>
    <w:p>
      <w:pPr>
        <w:spacing w:after="0" w:line="143" w:lineRule="exact"/>
        <w:rPr>
          <w:rFonts w:ascii="Arial" w:cs="Arial" w:eastAsia="Arial" w:hAnsi="Arial"/>
          <w:sz w:val="18"/>
          <w:szCs w:val="18"/>
          <w:color w:val="auto"/>
        </w:rPr>
      </w:pPr>
    </w:p>
    <w:p>
      <w:pPr>
        <w:ind w:left="580" w:hanging="315"/>
        <w:spacing w:after="0" w:line="308" w:lineRule="auto"/>
        <w:tabs>
          <w:tab w:leader="none" w:pos="58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2—Valuations are based on quoted prices in markets that are not active or for which all significant inputs are observable, either directly or indirectly and model-based valuation techniques for which all significant inputs are observable.</w:t>
      </w:r>
    </w:p>
    <w:p>
      <w:pPr>
        <w:spacing w:after="0" w:line="105" w:lineRule="exact"/>
        <w:rPr>
          <w:rFonts w:ascii="Arial" w:cs="Arial" w:eastAsia="Arial" w:hAnsi="Arial"/>
          <w:sz w:val="17"/>
          <w:szCs w:val="17"/>
          <w:color w:val="auto"/>
        </w:rPr>
      </w:pPr>
    </w:p>
    <w:p>
      <w:pPr>
        <w:jc w:val="both"/>
        <w:ind w:left="580" w:hanging="315"/>
        <w:spacing w:after="0" w:line="279" w:lineRule="auto"/>
        <w:tabs>
          <w:tab w:leader="none" w:pos="58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3—Valuations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valuations techniques. The valuation of Level 3 assets and liabilities generally requires significant management judgment due to the inability to observe inputs to valuation.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an investment’s level within the fair value hierarchy is based on the lowest level of observable input that is significant to the fair value measurement. The assessment of the significance of a particular input to the fair value measurement in its entirety requires judgment and considers factors specific to the investment.</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ASC Topic 820, the fair value measurement also assumes that the transaction to sell an asset occurs in the principal market for the asset or, in the absence of a principal market, the most advantageous market for the asset, which may be a hypothetical market, and excludes transaction costs. The principal market for any asset is the market with the greatest volume and level of activity for such asset in which the reporting entity would or could sell or transfer the asset. In determining the principal market for an asset or liability under ASC Topic 820, it is assumed that the reporting entity has access to such market as of the measurement date. Market participants are defined as buyers and sellers in the principal or most advantageous market that are independent, knowledgeable and willing and able to transact.</w:t>
      </w:r>
    </w:p>
    <w:p>
      <w:pPr>
        <w:spacing w:after="0" w:line="19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the Company undertakes a multi-step valuation process each quarter, as described below:</w:t>
      </w:r>
    </w:p>
    <w:p>
      <w:pPr>
        <w:spacing w:after="0" w:line="170" w:lineRule="exact"/>
        <w:rPr>
          <w:sz w:val="20"/>
          <w:szCs w:val="20"/>
          <w:color w:val="auto"/>
        </w:rPr>
      </w:pPr>
    </w:p>
    <w:p>
      <w:pPr>
        <w:ind w:left="580" w:hanging="315"/>
        <w:spacing w:after="0" w:line="277"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investment being initially valued by RGC’s investment professionals that are responsible for the portfolio investment;</w:t>
      </w:r>
    </w:p>
    <w:p>
      <w:pPr>
        <w:spacing w:after="0" w:line="129" w:lineRule="exact"/>
        <w:rPr>
          <w:rFonts w:ascii="Arial" w:cs="Arial" w:eastAsia="Arial" w:hAnsi="Arial"/>
          <w:sz w:val="18"/>
          <w:szCs w:val="18"/>
          <w:color w:val="auto"/>
        </w:rPr>
      </w:pPr>
    </w:p>
    <w:p>
      <w:pPr>
        <w:ind w:left="580" w:hanging="315"/>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RGC’s senior investment team;</w:t>
      </w:r>
    </w:p>
    <w:p>
      <w:pPr>
        <w:spacing w:after="0" w:line="198" w:lineRule="exact"/>
        <w:rPr>
          <w:rFonts w:ascii="Arial" w:cs="Arial" w:eastAsia="Arial" w:hAnsi="Arial"/>
          <w:sz w:val="18"/>
          <w:szCs w:val="18"/>
          <w:color w:val="auto"/>
        </w:rPr>
      </w:pPr>
    </w:p>
    <w:p>
      <w:pPr>
        <w:jc w:val="both"/>
        <w:ind w:left="580" w:hanging="315"/>
        <w:spacing w:after="0" w:line="263"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least once annually, the valuation for each portfolio investment, is reviewed by one or more independent valuation firms. Certain investments, however, may not be evaluated by the applicable independent valuation firm if the net asset value and other aspects of such investments in the aggregate do not exceed certain thresholds;</w:t>
      </w:r>
    </w:p>
    <w:p>
      <w:pPr>
        <w:spacing w:after="0" w:line="143" w:lineRule="exact"/>
        <w:rPr>
          <w:rFonts w:ascii="Arial" w:cs="Arial" w:eastAsia="Arial" w:hAnsi="Arial"/>
          <w:sz w:val="18"/>
          <w:szCs w:val="18"/>
          <w:color w:val="auto"/>
        </w:rPr>
      </w:pPr>
    </w:p>
    <w:p>
      <w:pPr>
        <w:ind w:left="580" w:right="20" w:hanging="315"/>
        <w:spacing w:after="0" w:line="277"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Audit Committee then reviews these preliminary valuations from RGC and the applicable independent valuation firm, if any, and makes a recommendation to the Company’s Board of Directors regarding such valuations; and</w:t>
      </w:r>
    </w:p>
    <w:p>
      <w:pPr>
        <w:spacing w:after="0" w:line="129" w:lineRule="exact"/>
        <w:rPr>
          <w:rFonts w:ascii="Arial" w:cs="Arial" w:eastAsia="Arial" w:hAnsi="Arial"/>
          <w:sz w:val="18"/>
          <w:szCs w:val="18"/>
          <w:color w:val="auto"/>
        </w:rPr>
      </w:pPr>
    </w:p>
    <w:p>
      <w:pPr>
        <w:jc w:val="both"/>
        <w:ind w:left="580" w:right="20" w:hanging="315"/>
        <w:spacing w:after="0" w:line="263"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231F20"/>
        </w:rPr>
        <w:t>The Company’s Board of Directors reviews the recommended preliminary valuations and determines the fair value of each investment in the Company’s portfolio, in good faith, based on the input of RGC, the independent valuation firm and the Audit Committee.</w:t>
      </w:r>
    </w:p>
    <w:p>
      <w:pPr>
        <w:sectPr>
          <w:pgSz w:w="11900" w:h="16838" w:orient="portrait"/>
          <w:cols w:equalWidth="0" w:num="1">
            <w:col w:w="9920"/>
          </w:cols>
          <w:pgMar w:left="980" w:top="517"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231F20"/>
        </w:rPr>
        <w:t>The Company’s investments are primarily loans made to and equity and warrants of high growth-potential companies focused in technology, life sciences, healthcare information and services, business services, select consumer services and products and other high-growth industries. These investments are considered Level 3 assets under ASC Topic 820 because there is no known or accessible market or market indices for these types of debt instruments and, thus, RGC’s senior investment team must estimate the fair value of these investment securities based on models utilizing unobservable inputs.</w:t>
      </w:r>
    </w:p>
    <w:p>
      <w:pPr>
        <w:spacing w:after="0" w:line="1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Rule 2a-5 under the 1940 Act was recently adopted by the SEC and establishes requirements for determining fair value in good faith for purposes of the 1940 Act. The Company is evaluating the impact of adopting Rule 2a-5 on the financial statements and intends to comply with the new rule’s requirements on or before the compliance date in September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Valuation Techniques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Debt Investments: </w:t>
      </w:r>
      <w:r>
        <w:rPr>
          <w:rFonts w:ascii="Arial" w:cs="Arial" w:eastAsia="Arial" w:hAnsi="Arial"/>
          <w:sz w:val="17"/>
          <w:szCs w:val="17"/>
          <w:color w:val="auto"/>
        </w:rPr>
        <w:t>To determine the fair value of the Company’s debt investments, the Company compares the cost basis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debt investment, which includes original issue discount, if any, to the resulting fair value determined using a discounted cash flow model, unless another model is more appropriate based on the circumstances at the measurement date. The discounted cash flow approach entails analyzing the interest rate spreads for recently completed financing transactions that are similar in nature to the Company’s investments, in order to determine a comparable range of effective market interest rates for its investments. The range of interest rate spreads utilized is based on borrowers with similar credit profiles. All remaining expected cash flows of the investment are discounted using this range of interest rates to determine a range of fair values for the debt investment.</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valuation process includes, among other things, evaluating the underlying investment performance, the portfolio company’s current financial condition and ability to raise additional capital, as well as macro-economic events that may impact valuations. These events include, but are not limited to, current market yields and interest rate spreads of similar securities as of the measurement date. Significant increases or decreases in these unobservable inputs could result in a significantly higher or lower fair value measurement; however, a significantly higher or lower fair value measurement of any of the Company’s portfolio investments may occur regardless of whether there is a signficiant increase or decrease in these unobservable inputs.</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Under certain circumstances, the Company may use an alternative technique to value the debt investments to be acquired by the Company that better reflects the fair value of the investment, such as the price paid or realized in a recently completed transaction or a binding offer received in an arms-length transaction, the use of multiple probability-weighted cash flow models when the expected future cash flows contain elements of variability or estimates of proceeds that would be received in a liquidation scenario.</w:t>
      </w:r>
    </w:p>
    <w:p>
      <w:pPr>
        <w:spacing w:after="0" w:line="15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Warrants: </w:t>
      </w:r>
      <w:r>
        <w:rPr>
          <w:rFonts w:ascii="Arial" w:cs="Arial" w:eastAsia="Arial" w:hAnsi="Arial"/>
          <w:sz w:val="17"/>
          <w:szCs w:val="17"/>
          <w:color w:val="auto"/>
        </w:rPr>
        <w:t>Fair value of warrants is primarily determined using a Black Scholes option-pricing model. Privately held warrants</w:t>
      </w:r>
      <w:r>
        <w:rPr>
          <w:rFonts w:ascii="Arial" w:cs="Arial" w:eastAsia="Arial" w:hAnsi="Arial"/>
          <w:sz w:val="17"/>
          <w:szCs w:val="17"/>
          <w:i w:val="1"/>
          <w:iCs w:val="1"/>
          <w:color w:val="auto"/>
        </w:rPr>
        <w:t xml:space="preserve"> </w:t>
      </w:r>
      <w:r>
        <w:rPr>
          <w:rFonts w:ascii="Arial" w:cs="Arial" w:eastAsia="Arial" w:hAnsi="Arial"/>
          <w:sz w:val="17"/>
          <w:szCs w:val="17"/>
          <w:color w:val="auto"/>
        </w:rPr>
        <w:t>and equity-related securities are valued based on an analysis of various factors including, but not limited to, the following:</w:t>
      </w:r>
    </w:p>
    <w:p>
      <w:pPr>
        <w:spacing w:after="0" w:line="146" w:lineRule="exact"/>
        <w:rPr>
          <w:sz w:val="20"/>
          <w:szCs w:val="20"/>
          <w:color w:val="auto"/>
        </w:rPr>
      </w:pPr>
    </w:p>
    <w:p>
      <w:pPr>
        <w:jc w:val="both"/>
        <w:ind w:left="580" w:hanging="315"/>
        <w:spacing w:after="0" w:line="253"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Underlying enterprise value of the issuer is estimated based on information available, including any information regarding the most recent rounds of issuer funding. Valuation techniques to determine enterprise value include market multiple approaches, income approaches or approaches that utilize recent rounds of financing and the portfolio company’s capital structure to determine enterprise value. Valuation techniques are also utilized to allocate the enterprise fair value of a portfolio company to the specific class of common or preferred stock exercisable in the warrant. Such techniques take into account the rights and preferences of the portfolio company’s securities, expected exit scenarios, and volatility associated with such outcomes to allocate the fair value to the specific class of stock held in the portfolio. Such techniques include Option Pricing Models, or “OPM,” including back-solve techniques, Probability Weighted Expected Return Models, or “PWERM,” and other techniques as determined to be appropriate.</w:t>
      </w:r>
    </w:p>
    <w:p>
      <w:pPr>
        <w:spacing w:after="0" w:line="169" w:lineRule="exact"/>
        <w:rPr>
          <w:rFonts w:ascii="Arial" w:cs="Arial" w:eastAsia="Arial" w:hAnsi="Arial"/>
          <w:sz w:val="18"/>
          <w:szCs w:val="18"/>
          <w:color w:val="auto"/>
        </w:rPr>
      </w:pPr>
    </w:p>
    <w:p>
      <w:pPr>
        <w:jc w:val="both"/>
        <w:ind w:left="580" w:hanging="315"/>
        <w:spacing w:after="0" w:line="257"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Volatility, or the amount of uncertainty or risk about the size of the changes in the warrant price, is based on comparable publicly traded companies within indices similar in nature to the underlying company issuing the warrant.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147" w:lineRule="exact"/>
        <w:rPr>
          <w:rFonts w:ascii="Arial" w:cs="Arial" w:eastAsia="Arial" w:hAnsi="Arial"/>
          <w:sz w:val="18"/>
          <w:szCs w:val="18"/>
          <w:color w:val="auto"/>
        </w:rPr>
      </w:pPr>
    </w:p>
    <w:p>
      <w:pPr>
        <w:ind w:left="580" w:hanging="315"/>
        <w:spacing w:after="0" w:line="342" w:lineRule="auto"/>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risk-free interest rates are derived from the U.S. Treasury yield curve. The risk-free interest rates are calculated based on a weighted average of the risk-free interest rates that correspond closest to the expected remaining life of the warrant. Significant</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580"/>
        <w:spacing w:after="0" w:line="263" w:lineRule="auto"/>
        <w:rPr>
          <w:sz w:val="20"/>
          <w:szCs w:val="20"/>
          <w:color w:val="auto"/>
        </w:rPr>
      </w:pPr>
      <w:r>
        <w:rPr>
          <w:rFonts w:ascii="Arial" w:cs="Arial" w:eastAsia="Arial" w:hAnsi="Arial"/>
          <w:sz w:val="18"/>
          <w:szCs w:val="18"/>
          <w:color w:val="auto"/>
        </w:rPr>
        <w:t>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157" w:lineRule="exact"/>
        <w:rPr>
          <w:sz w:val="20"/>
          <w:szCs w:val="20"/>
          <w:color w:val="auto"/>
        </w:rPr>
      </w:pPr>
    </w:p>
    <w:p>
      <w:pPr>
        <w:jc w:val="both"/>
        <w:ind w:left="580" w:hanging="315"/>
        <w:spacing w:after="0" w:line="279" w:lineRule="auto"/>
        <w:tabs>
          <w:tab w:leader="none" w:pos="5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Other adjustments, including a marketability discount on private company warrants, are estimated based on judgment about the general industry environment.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130" w:lineRule="exact"/>
        <w:rPr>
          <w:rFonts w:ascii="Arial" w:cs="Arial" w:eastAsia="Arial" w:hAnsi="Arial"/>
          <w:sz w:val="17"/>
          <w:szCs w:val="17"/>
          <w:color w:val="auto"/>
        </w:rPr>
      </w:pPr>
    </w:p>
    <w:p>
      <w:pPr>
        <w:jc w:val="both"/>
        <w:ind w:left="580" w:hanging="315"/>
        <w:spacing w:after="0" w:line="272" w:lineRule="auto"/>
        <w:tabs>
          <w:tab w:leader="none" w:pos="5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Historical portfolio experience on cancellations and exercises of warrants are utilized as the basis for determining the estimated life of the warrants in each financial reporting period. Warrants may be exercised in the event of acquisitions, mergers or initial public offerings, and cancelled due to events such as bankruptcies, restructuring activities or additional financings. These events cause the expected remaining life assumption to be shorter than the contractual term of the warrants.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certain circumstances, the Company may use an alternative technique to value warrants that better reflects the warrants’ fair values, such as an expected settlement of a warrant in the near term, a model that incorporates a put feature associated with the warrant, or the price paid or realized in a recently completed transaction or binding offer received in an arms-length transaction. The fair value may be determined based on the expected proceeds to be received from such settlement or based on the net present value of the expected proceeds from the put option.</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These 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16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Equity Investments. </w:t>
      </w:r>
      <w:r>
        <w:rPr>
          <w:rFonts w:ascii="Arial" w:cs="Arial" w:eastAsia="Arial" w:hAnsi="Arial"/>
          <w:sz w:val="17"/>
          <w:szCs w:val="17"/>
          <w:color w:val="auto"/>
        </w:rPr>
        <w:t>The fair value of an equity investment in a privately held company is initially the face value of the amount</w:t>
      </w:r>
      <w:r>
        <w:rPr>
          <w:rFonts w:ascii="Arial" w:cs="Arial" w:eastAsia="Arial" w:hAnsi="Arial"/>
          <w:sz w:val="17"/>
          <w:szCs w:val="17"/>
          <w:i w:val="1"/>
          <w:iCs w:val="1"/>
          <w:color w:val="auto"/>
        </w:rPr>
        <w:t xml:space="preserve"> </w:t>
      </w:r>
      <w:r>
        <w:rPr>
          <w:rFonts w:ascii="Arial" w:cs="Arial" w:eastAsia="Arial" w:hAnsi="Arial"/>
          <w:sz w:val="17"/>
          <w:szCs w:val="17"/>
          <w:color w:val="auto"/>
        </w:rPr>
        <w:t>invested. The Company adjusts the fair value of equity investments in private companies upon the completion of a new third-party round of equity financing subsequent to the Company’s investment. The Company may make adjustments to fair value, absent a new equity financing event, based upon positive or negative changes in a portfolio company’s financial or operational performance. The Company may also reference comparable transactions and/or secondary market transactions in connection with its determination of fair value. The fair value of an equity investment in a publicly traded company is based upon the closing public share price on the date of measurement. These assets are recorded at fair value on a recurring basis. These valuation methodologies involve a significant degree of judgment. There is no single standard for determining the fair value of investments that do not have an active public market. Valuation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carrying amounts of the Company’s financial instruments, including cash and accrued liabilities, approximate fair value due to their short-term nature.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Classification</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is a non-diversified company within the meaning of the 1940 Act. The Company classifies its investments by level of control. As defined in the 1940 Act, control investments are those where the investor has the ability or power to exercise a controlling influence over the management or policies of a company. Control is generally deemed to exist when a company or individual possesses, or has the right to acquire within 60 days or less, beneficial ownership of more than 25.0% of the voting securities of a company. Affiliated investments and affiliated companies are defined by a lesser degree of influence and are deemed to exist through</w:t>
      </w:r>
    </w:p>
    <w:p>
      <w:pPr>
        <w:sectPr>
          <w:pgSz w:w="11900" w:h="16838" w:orient="portrait"/>
          <w:cols w:equalWidth="0" w:num="1">
            <w:col w:w="9920"/>
          </w:cols>
          <w:pgMar w:left="980" w:top="517"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possession outright, or via the right to acquire within 60 days or less, beneficial ownership of 5.0% or more of the outstanding voting securities of a company.</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Investments are recognized when the Company assumes an obligation to acquire a financial instrument and assumes the risks for gains or losses related to that instrument. Investments are derecognized when the Company assumes an obligation to sell a financial instrument and foregoes the risks for gains or losses related to that instrument. Specifically, the Company records all security transactions on a trade date basis. Investments in other, non-security financial instruments, such as limited partnerships or private companies, are recorded on the basis of subscription date or redemption date, as applicable. Amounts for investments recognized or derecognized but not yet settled will be reported as receivables for investments sold and payables for investments acquired, respectively, on the Statements of Assets and Liabilities.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 elected to be treated as a RIC under Subchapter M of the Code beginning with its taxable year ended December 31, 2016, and has qualified and intends to continue to qualify for the tax treatment applicable to RICs. Generally, a RIC is not subject to U.S. federal income taxes on distributed income and gains so long as it meets certain source-of-income and asset diversification requirements and it distributes at least 90% of its net ordinary income and net short-term capital gains in excess of its net long-term capital losses, if any, to its stockholders. So long as the Company obtains and maintains its status as a RIC, it generally will not pay corporate-level U.S. federal income taxes on any ordinary income or capital gains that it distributes at least annually to its stockholders as dividends. Rather, any tax liability related to income earned by the Company represents obligations of the Company’s investors and will not be reflected in the financial statements of the Company. The Company intends to make sufficient distributions to maintain its RIC status each year and it does not anticipate paying any material U.S. federal income taxes in the future.</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accounts for income taxes in conformity with ASC Topic 740, Income Taxes ("ASC 740"). ASC 740 provides guidelines for how uncertain tax positions should be recognized, measured, presented and disclosed in Consolidated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Statements of Operations. There were no material uncertain income tax positions at June 30, 2021 or December 31, 2020. Although we file federal and state tax returns, our major tax jurisdiction is federal. The previous three tax year-ends and the interim tax period since then remain subject to examination by the Internal Revenue Service.</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the Company does not timely distribute (or is not deemed to have distributed) each calendar year the sum of (1) at least 98% of its net ordinary income (not taking into account any capital gains or losses) for each calendar year, (2) at least 98.2% of the amount by which the Company’s capital gains exceed its capital losses (adjusted for certain ordinary losses) for a one-year period generally ending on October 31 in that calendar year (unless the Company makes an election to use its taxable year) and (3) any net ordinary income and net capital gain recognized in preceding years on which the Company paid no U.S. federal income tax (the “Minimum Distribution Amount”), the Company will generally be required to pay a nondeductible U.S. federal excise tax equal to 4% of the amount by which the Minimum Distribution Amount exceeds the distributions for the year. To the extent that the Company determines that its estimated current year annual taxable income will be in excess of estimated current year dividend distributions from such taxable income, the Company accrues excise taxes, if any, on estimated excess taxable income as taxable income is earned using an annual effective excise tax rate. The annual effective U.S. federal excise tax rate is determined by dividing the estimated annual excise tax by the estimated annual taxable income.</w:t>
      </w:r>
    </w:p>
    <w:p>
      <w:pPr>
        <w:spacing w:after="0" w:line="18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If the Company does not qualify to be treated as a RIC for any taxable year, the Company will be taxed as a regular corporation (a “C corporation”) under subchapter C of the Code for such taxable year. If the Company has previously qualified to be treated as a RIC but is subsequently unable to qualify for treatment as a RIC, and certain amelioration provisions are not applicable, the Company would be subject to U.S. federal income tax on all of its taxable income (including its net capital gains) at regular corporate rates. The Company would not be able to deduct distributions to stockholders, nor would it be required to make distributions.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as a RIC. If the Company fails to requalify as a RIC for a period greater than two taxable years, it may be subject to regular corporate-level U.S. federal income tax on any net built-in gains with respect to certain of its assets (i.e., the excess of the aggregate gains, including</w:t>
      </w:r>
    </w:p>
    <w:p>
      <w:pPr>
        <w:sectPr>
          <w:pgSz w:w="11900" w:h="16838" w:orient="portrait"/>
          <w:cols w:equalWidth="0" w:num="1">
            <w:col w:w="9920"/>
          </w:cols>
          <w:pgMar w:left="980" w:top="517"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items of income, over aggregate losses that would have been realized with respect to such assets if the Company had been liquidated) that it elects to recognize on requalification or when recognized over the next five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 Share Information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Basic and diluted earnings per common share is calculated using the weighted-average number of common shares outstanding for the period presented. For the three and six months ended June 30, 2021 and 2020, basic and diluted earnings per share of common stock were the same because there were no potentially dilutive securities outstanding. Per share data is based on the weighted-average shares outstanding.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generally intends to distribute, out of assets legally available for distribution, substantially all of its available earnings, on a quarterly basis, subject to the discretion of the Board of Directors. For the three and six months ended June 30, 2021, the Company declared and paid dividends in the amount of $11,859,731 and $23,482,930, respectively, of which $2,449,360 and $4,889,338, respectively, was distributed in cash and the remainder distributed in shares to stockholders pursuant to the Company’s dividend reinvestment plan. For the threeand six months ended June 30, 2020, the Company declared dividends in the amount of $9,242,578 and $19,567,064, respectively, of which $1,704,037 and $3,643,100, respectively, was distributable in cash and the remainder distributable in shares to stockholders pursuant to the Company’s dividend reinvestment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Offering Costs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Organization costs include, among other things, the cost of organizing as a Maryland corporation, including the cost of legal services and other fees pertaining to the Company’s organization, all of which are expensed as incurred. Offering costs include, among other things, legal fees and other costs pertaining to the preparation of the Company’s private placement memorandum and other offering documents, including travel-related expenses related to the Initial Private Offering. Pursuant to the investment advisory agreement in place between the Company and RGC at the time of the Initial Private Offering, the Company and RGC agreed that organization and offering costs incurred in connection with the Initial Private Offering would be borne by the Company up to a maximum amount of $1,000,000, provided that the amount of such costs in excess of $1,000,000 would be paid by RGC. As of December 31, 2016, the Company had already incurred the maximum amount of $1,000,000 in organization and offering costs incurred in connection with the Initial Private Offering. </w:t>
      </w:r>
      <w:r>
        <w:rPr>
          <w:rFonts w:ascii="Arial" w:cs="Arial" w:eastAsia="Arial" w:hAnsi="Arial"/>
          <w:sz w:val="17"/>
          <w:szCs w:val="17"/>
          <w:color w:val="231F20"/>
        </w:rPr>
        <w:t>As a result, for the three and six months ended June 30, 2021 and 2020, the Company did not incur any</w:t>
      </w:r>
      <w:r>
        <w:rPr>
          <w:rFonts w:ascii="Arial" w:cs="Arial" w:eastAsia="Arial" w:hAnsi="Arial"/>
          <w:sz w:val="17"/>
          <w:szCs w:val="17"/>
          <w:color w:val="auto"/>
        </w:rPr>
        <w:t xml:space="preserve"> </w:t>
      </w:r>
      <w:r>
        <w:rPr>
          <w:rFonts w:ascii="Arial" w:cs="Arial" w:eastAsia="Arial" w:hAnsi="Arial"/>
          <w:sz w:val="17"/>
          <w:szCs w:val="17"/>
          <w:color w:val="231F20"/>
        </w:rPr>
        <w:t>organization or offering expenses in connection with the Initial Private Offering.</w:t>
      </w:r>
    </w:p>
    <w:p>
      <w:pPr>
        <w:spacing w:after="0" w:line="1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Offering costs related to new or follow-on offerings, including the Second Private Offering, were accumulated and charged to additional paid in capital at the time of closing beginning in 2019. These offering costs related to the Second Private Offering are subject to a cap of $600,000, excluding placement agent fees which have no cap, of which the Company will bear the cost. As of June 30, 2021 and December 31, 2020, respectively, the Company had accumulated and recorded $613,820 and $608,989 of offering costs related to the Second Private Offering. As of each of June 30, 2021 and December 31, 2020, respectively, $154,738 and $123,009 in placement agent fees had been incurred. Under the terms of the Second Private Offering, offering costs in excess of $600,000, excluding placement agent fees, will be reimbursed by RGC.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March 2020, the FASB issued ASU 2020-04 Reference Rate Reform (Topic 848) - Facilitation of the effects of reference rate reform on financial reporting. The amendments in this update provide optional expedients and exceptions for applying U.S. GAAP to certain contracts and hedging relationships that reference LIBOR or another reference rate expected to be discontinued due to reference rate reform and became effective upon issuance for all entities. The Company has agreements that have LIBOR as a reference rate with certain portfolio companies and also with certain lenders. These agreements include language for choosing an alternative successor rate if LIBOR reference is no longer considered to be appropriate. Such contract modifications are required to be evaluated in determining whether the modifications result in the establishment of new contracts or the continuation of existing contracts. The new guidance is effective as of March 12, 2020 through December 21, 2022. The Company is currently evaluating its effective date for adoption and the impact the adoption of this new accounting standard will have on its financial statements, however the impact of the adoption is not expected to be material.</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Commitments and Contingencies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normal course of business, the Company may enter into investment agreements under which it commits to make an investment in a portfolio company at some future date or over a specified period of time.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At June 30, 2021, the Company had $122,560,569 in unfunded loan commitments to provide debt financing to its portfolio companies. The balance of unfunded commitments to extend financing as of June 30, 2021 was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gridSpan w:val="3"/>
          </w:tcPr>
          <w:p>
            <w:pPr>
              <w:spacing w:after="0"/>
              <w:rPr>
                <w:sz w:val="20"/>
                <w:szCs w:val="20"/>
                <w:color w:val="auto"/>
              </w:rPr>
            </w:pPr>
            <w:r>
              <w:rPr>
                <w:rFonts w:ascii="Arial" w:cs="Arial" w:eastAsia="Arial" w:hAnsi="Arial"/>
                <w:sz w:val="14"/>
                <w:szCs w:val="14"/>
                <w:b w:val="1"/>
                <w:bCs w:val="1"/>
                <w:color w:val="auto"/>
              </w:rPr>
              <w:t>Portfolio Company</w:t>
            </w:r>
          </w:p>
        </w:tc>
        <w:tc>
          <w:tcPr>
            <w:tcW w:w="2720" w:type="dxa"/>
            <w:vAlign w:val="bottom"/>
          </w:tcPr>
          <w:p>
            <w:pPr>
              <w:ind w:left="840"/>
              <w:spacing w:after="0"/>
              <w:rPr>
                <w:sz w:val="20"/>
                <w:szCs w:val="20"/>
                <w:color w:val="auto"/>
              </w:rPr>
            </w:pPr>
            <w:r>
              <w:rPr>
                <w:rFonts w:ascii="Arial" w:cs="Arial" w:eastAsia="Arial" w:hAnsi="Arial"/>
                <w:sz w:val="14"/>
                <w:szCs w:val="14"/>
                <w:b w:val="1"/>
                <w:bCs w:val="1"/>
                <w:color w:val="auto"/>
              </w:rPr>
              <w:t>Investment Type</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tcPr>
          <w:p>
            <w:pPr>
              <w:jc w:val="right"/>
              <w:ind w:right="411"/>
              <w:spacing w:after="0"/>
              <w:rPr>
                <w:sz w:val="20"/>
                <w:szCs w:val="20"/>
                <w:color w:val="auto"/>
              </w:rPr>
            </w:pPr>
            <w:r>
              <w:rPr>
                <w:rFonts w:ascii="Arial" w:cs="Arial" w:eastAsia="Arial" w:hAnsi="Arial"/>
                <w:sz w:val="14"/>
                <w:szCs w:val="14"/>
                <w:b w:val="1"/>
                <w:bCs w:val="1"/>
                <w:color w:val="auto"/>
              </w:rPr>
              <w:t>June 30, 2021</w:t>
            </w:r>
          </w:p>
        </w:tc>
      </w:tr>
      <w:tr>
        <w:trPr>
          <w:trHeight w:val="209"/>
        </w:trPr>
        <w:tc>
          <w:tcPr>
            <w:tcW w:w="20" w:type="dxa"/>
            <w:vAlign w:val="bottom"/>
          </w:tcPr>
          <w:p>
            <w:pPr>
              <w:spacing w:after="0"/>
              <w:rPr>
                <w:sz w:val="18"/>
                <w:szCs w:val="18"/>
                <w:color w:val="auto"/>
              </w:rPr>
            </w:pPr>
          </w:p>
        </w:tc>
        <w:tc>
          <w:tcPr>
            <w:tcW w:w="4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Allurion Technologies, Inc.</w:t>
            </w:r>
          </w:p>
        </w:tc>
        <w:tc>
          <w:tcPr>
            <w:tcW w:w="280" w:type="dxa"/>
            <w:vAlign w:val="bottom"/>
          </w:tcPr>
          <w:p>
            <w:pPr>
              <w:spacing w:after="0"/>
              <w:rPr>
                <w:sz w:val="18"/>
                <w:szCs w:val="18"/>
                <w:color w:val="auto"/>
              </w:rPr>
            </w:pPr>
          </w:p>
        </w:tc>
        <w:tc>
          <w:tcPr>
            <w:tcW w:w="2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Senior Secured Term Loan</w:t>
            </w:r>
          </w:p>
        </w:tc>
        <w:tc>
          <w:tcPr>
            <w:tcW w:w="26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10,000,000</w:t>
            </w: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Sesame, Inc.</w:t>
            </w: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585,569</w:t>
            </w: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CrossRoads Extremity Systems, LLC</w:t>
            </w:r>
          </w:p>
        </w:tc>
        <w:tc>
          <w:tcPr>
            <w:tcW w:w="2720" w:type="dxa"/>
            <w:vAlign w:val="bottom"/>
          </w:tcPr>
          <w:p>
            <w:pPr>
              <w:spacing w:after="0"/>
              <w:rPr>
                <w:sz w:val="20"/>
                <w:szCs w:val="20"/>
                <w:color w:val="auto"/>
              </w:rPr>
            </w:pPr>
            <w:r>
              <w:rPr>
                <w:rFonts w:ascii="Arial" w:cs="Arial" w:eastAsia="Arial" w:hAnsi="Arial"/>
                <w:sz w:val="18"/>
                <w:szCs w:val="18"/>
                <w:color w:val="auto"/>
              </w:rPr>
              <w:t>Senior Secured Term Loan</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7,500,000</w:t>
            </w: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Dtex Systems, Inc.</w:t>
            </w: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Fidelis Cybersecurity, Inc.</w:t>
            </w:r>
          </w:p>
        </w:tc>
        <w:tc>
          <w:tcPr>
            <w:tcW w:w="2720" w:type="dxa"/>
            <w:vAlign w:val="bottom"/>
          </w:tcPr>
          <w:p>
            <w:pPr>
              <w:spacing w:after="0"/>
              <w:rPr>
                <w:sz w:val="20"/>
                <w:szCs w:val="20"/>
                <w:color w:val="auto"/>
              </w:rPr>
            </w:pPr>
            <w:r>
              <w:rPr>
                <w:rFonts w:ascii="Arial" w:cs="Arial" w:eastAsia="Arial" w:hAnsi="Arial"/>
                <w:sz w:val="18"/>
                <w:szCs w:val="18"/>
                <w:color w:val="auto"/>
              </w:rPr>
              <w:t>Senior Secured Term Loan</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Gynesonics, Inc.</w:t>
            </w: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Marley Spoon AG</w:t>
            </w:r>
          </w:p>
        </w:tc>
        <w:tc>
          <w:tcPr>
            <w:tcW w:w="2720" w:type="dxa"/>
            <w:vAlign w:val="bottom"/>
          </w:tcPr>
          <w:p>
            <w:pPr>
              <w:spacing w:after="0"/>
              <w:rPr>
                <w:sz w:val="20"/>
                <w:szCs w:val="20"/>
                <w:color w:val="auto"/>
              </w:rPr>
            </w:pPr>
            <w:r>
              <w:rPr>
                <w:rFonts w:ascii="Arial" w:cs="Arial" w:eastAsia="Arial" w:hAnsi="Arial"/>
                <w:sz w:val="18"/>
                <w:szCs w:val="18"/>
                <w:color w:val="auto"/>
              </w:rPr>
              <w:t>Senior Secured Term Loan</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20,475,000</w:t>
            </w: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Porch Group, Inc.</w:t>
            </w: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SetPoint Medical Corporation</w:t>
            </w:r>
          </w:p>
        </w:tc>
        <w:tc>
          <w:tcPr>
            <w:tcW w:w="2720" w:type="dxa"/>
            <w:vAlign w:val="bottom"/>
          </w:tcPr>
          <w:p>
            <w:pPr>
              <w:spacing w:after="0"/>
              <w:rPr>
                <w:sz w:val="20"/>
                <w:szCs w:val="20"/>
                <w:color w:val="auto"/>
              </w:rPr>
            </w:pPr>
            <w:r>
              <w:rPr>
                <w:rFonts w:ascii="Arial" w:cs="Arial" w:eastAsia="Arial" w:hAnsi="Arial"/>
                <w:sz w:val="18"/>
                <w:szCs w:val="18"/>
                <w:color w:val="auto"/>
              </w:rPr>
              <w:t>Senior Secured Term Loan</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25,000,000</w:t>
            </w: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ShareThis, Inc.</w:t>
            </w: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r>
      <w:tr>
        <w:trPr>
          <w:trHeight w:val="216"/>
        </w:trPr>
        <w:tc>
          <w:tcPr>
            <w:tcW w:w="20" w:type="dxa"/>
            <w:vAlign w:val="bottom"/>
          </w:tcPr>
          <w:p>
            <w:pPr>
              <w:spacing w:after="0"/>
              <w:rPr>
                <w:sz w:val="18"/>
                <w:szCs w:val="18"/>
                <w:color w:val="auto"/>
              </w:rPr>
            </w:pPr>
          </w:p>
        </w:tc>
        <w:tc>
          <w:tcPr>
            <w:tcW w:w="5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VERO Biotech LLC</w:t>
            </w:r>
          </w:p>
        </w:tc>
        <w:tc>
          <w:tcPr>
            <w:tcW w:w="2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Senior Secured Term Loan</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10,000,000</w:t>
            </w:r>
          </w:p>
        </w:tc>
      </w:tr>
      <w:tr>
        <w:trPr>
          <w:trHeight w:val="209"/>
        </w:trPr>
        <w:tc>
          <w:tcPr>
            <w:tcW w:w="20" w:type="dxa"/>
            <w:vAlign w:val="bottom"/>
          </w:tcPr>
          <w:p>
            <w:pPr>
              <w:spacing w:after="0"/>
              <w:rPr>
                <w:sz w:val="18"/>
                <w:szCs w:val="18"/>
                <w:color w:val="auto"/>
              </w:rPr>
            </w:pPr>
          </w:p>
        </w:tc>
        <w:tc>
          <w:tcPr>
            <w:tcW w:w="5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unused commitments to extend financing</w:t>
            </w:r>
          </w:p>
        </w:tc>
        <w:tc>
          <w:tcPr>
            <w:tcW w:w="27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122,560,569</w:t>
            </w: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December 31, 2020, the Company had $49,085,569 in unfunded loan commitments to provide debt financing to its portfolio companies. The balance of unfunded commitments to extend financing as of December 31, 2020 was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20"/>
                <w:szCs w:val="20"/>
                <w:color w:val="auto"/>
              </w:rPr>
            </w:pPr>
            <w:r>
              <w:rPr>
                <w:rFonts w:ascii="Arial" w:cs="Arial" w:eastAsia="Arial" w:hAnsi="Arial"/>
                <w:sz w:val="14"/>
                <w:szCs w:val="14"/>
                <w:b w:val="1"/>
                <w:bCs w:val="1"/>
                <w:color w:val="auto"/>
              </w:rPr>
              <w:t>Portfolio Company</w:t>
            </w:r>
          </w:p>
        </w:tc>
        <w:tc>
          <w:tcPr>
            <w:tcW w:w="280" w:type="dxa"/>
            <w:vAlign w:val="bottom"/>
          </w:tcPr>
          <w:p>
            <w:pPr>
              <w:spacing w:after="0"/>
              <w:rPr>
                <w:sz w:val="14"/>
                <w:szCs w:val="14"/>
                <w:color w:val="auto"/>
              </w:rPr>
            </w:pPr>
          </w:p>
        </w:tc>
        <w:tc>
          <w:tcPr>
            <w:tcW w:w="2980" w:type="dxa"/>
            <w:vAlign w:val="bottom"/>
            <w:gridSpan w:val="2"/>
          </w:tcPr>
          <w:p>
            <w:pPr>
              <w:ind w:left="840"/>
              <w:spacing w:after="0"/>
              <w:rPr>
                <w:sz w:val="20"/>
                <w:szCs w:val="20"/>
                <w:color w:val="auto"/>
              </w:rPr>
            </w:pPr>
            <w:r>
              <w:rPr>
                <w:rFonts w:ascii="Arial" w:cs="Arial" w:eastAsia="Arial" w:hAnsi="Arial"/>
                <w:sz w:val="14"/>
                <w:szCs w:val="14"/>
                <w:b w:val="1"/>
                <w:bCs w:val="1"/>
                <w:color w:val="auto"/>
              </w:rPr>
              <w:t>Investment Type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jc w:val="right"/>
              <w:ind w:right="253"/>
              <w:spacing w:after="0"/>
              <w:rPr>
                <w:sz w:val="20"/>
                <w:szCs w:val="20"/>
                <w:color w:val="auto"/>
              </w:rPr>
            </w:pPr>
            <w:r>
              <w:rPr>
                <w:rFonts w:ascii="Arial" w:cs="Arial" w:eastAsia="Arial" w:hAnsi="Arial"/>
                <w:sz w:val="14"/>
                <w:szCs w:val="14"/>
                <w:b w:val="1"/>
                <w:bCs w:val="1"/>
                <w:color w:val="auto"/>
                <w:w w:val="99"/>
              </w:rPr>
              <w:t>December 31, 2020</w:t>
            </w:r>
          </w:p>
        </w:tc>
      </w:tr>
      <w:tr>
        <w:trPr>
          <w:trHeight w:val="209"/>
        </w:trPr>
        <w:tc>
          <w:tcPr>
            <w:tcW w:w="4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CloudPassage, Inc.</w:t>
            </w:r>
          </w:p>
        </w:tc>
        <w:tc>
          <w:tcPr>
            <w:tcW w:w="28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2,500,000</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Credit Sesame, Inc.</w:t>
            </w:r>
          </w:p>
        </w:tc>
        <w:tc>
          <w:tcPr>
            <w:tcW w:w="3260" w:type="dxa"/>
            <w:vAlign w:val="bottom"/>
            <w:gridSpan w:val="3"/>
          </w:tcPr>
          <w:p>
            <w:pPr>
              <w:ind w:left="280"/>
              <w:spacing w:after="0"/>
              <w:rPr>
                <w:sz w:val="20"/>
                <w:szCs w:val="20"/>
                <w:color w:val="auto"/>
              </w:rPr>
            </w:pPr>
            <w:r>
              <w:rPr>
                <w:rFonts w:ascii="Arial" w:cs="Arial" w:eastAsia="Arial" w:hAnsi="Arial"/>
                <w:sz w:val="18"/>
                <w:szCs w:val="18"/>
                <w:color w:val="auto"/>
              </w:rPr>
              <w:t>Revolving Line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585,569</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Gynesonics, Inc.</w:t>
            </w:r>
          </w:p>
        </w:tc>
        <w:tc>
          <w:tcPr>
            <w:tcW w:w="32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Senior Secured Term Loan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ShareThis, Inc.</w:t>
            </w:r>
          </w:p>
        </w:tc>
        <w:tc>
          <w:tcPr>
            <w:tcW w:w="3260" w:type="dxa"/>
            <w:vAlign w:val="bottom"/>
            <w:gridSpan w:val="3"/>
          </w:tcPr>
          <w:p>
            <w:pPr>
              <w:ind w:left="280"/>
              <w:spacing w:after="0"/>
              <w:rPr>
                <w:sz w:val="20"/>
                <w:szCs w:val="20"/>
                <w:color w:val="auto"/>
              </w:rPr>
            </w:pPr>
            <w:r>
              <w:rPr>
                <w:rFonts w:ascii="Arial" w:cs="Arial" w:eastAsia="Arial" w:hAnsi="Arial"/>
                <w:sz w:val="18"/>
                <w:szCs w:val="18"/>
                <w:color w:val="auto"/>
              </w:rPr>
              <w:t>Senior Secured Term Loan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VERO Biotech LLC</w:t>
            </w:r>
          </w:p>
        </w:tc>
        <w:tc>
          <w:tcPr>
            <w:tcW w:w="32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Senior Secured Term Loan</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25,000,000</w:t>
            </w:r>
          </w:p>
        </w:tc>
      </w:tr>
      <w:tr>
        <w:trPr>
          <w:trHeight w:val="210"/>
        </w:trPr>
        <w:tc>
          <w:tcPr>
            <w:tcW w:w="4820" w:type="dxa"/>
            <w:vAlign w:val="bottom"/>
          </w:tcPr>
          <w:p>
            <w:pPr>
              <w:spacing w:after="0"/>
              <w:rPr>
                <w:sz w:val="20"/>
                <w:szCs w:val="20"/>
                <w:color w:val="auto"/>
              </w:rPr>
            </w:pPr>
            <w:r>
              <w:rPr>
                <w:rFonts w:ascii="Arial" w:cs="Arial" w:eastAsia="Arial" w:hAnsi="Arial"/>
                <w:sz w:val="18"/>
                <w:szCs w:val="18"/>
                <w:b w:val="1"/>
                <w:bCs w:val="1"/>
                <w:color w:val="auto"/>
              </w:rPr>
              <w:t>Total unused commitments to extend financing</w:t>
            </w:r>
          </w:p>
        </w:tc>
        <w:tc>
          <w:tcPr>
            <w:tcW w:w="2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49,085,569</w:t>
            </w:r>
          </w:p>
        </w:tc>
      </w:tr>
      <w:tr>
        <w:trPr>
          <w:trHeight w:val="20"/>
        </w:trPr>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management believes that its available cash balances, availability under the Credit Agreement and/or ability to drawdown capital from investors provides sufficient funds to cover its unfunded commitments as of June 30, 2021. The Company has evaluated the expected net future cash flows related to unfunded commitments and determined the fair value to be zero as of June 30, 2021 and December 31, 2020.</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is currently not subject to any material legal proceedings, nor, to its knowledge, is any material proceeding threatened against the Company. From time to time, the Company may be a party to certain legal proceedings in the ordinary course of business, including proceedings relating to the enforcement of its rights under contracts with its portfolio companies. While the outcome of any such legal proceedings cannot be predicted with certainty, the Company does not expect that any such proceedings will have a material effect upon its business, financial condition or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Concentration of Credit Risk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normal course of business, the Company maintains its cash balances in financial institutions, which at times may exceed federally insured limits. The Company is subject to credit risk to the extent that any financial institution with which it conducts business is unable to fulfill contractual obligations on its behalf. The Company’s management monitors the financial condition of those financial institutions and does not currently anticipate any losses from these counterparties.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Net Increase in Net Assets Resulting from Operations per Common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information sets forth the computation of basic income per common share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Six Months Ended</w:t>
            </w:r>
          </w:p>
        </w:tc>
      </w:tr>
      <w:tr>
        <w:trPr>
          <w:trHeight w:val="148"/>
        </w:trPr>
        <w:tc>
          <w:tcPr>
            <w:tcW w:w="24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ind w:left="340"/>
              <w:spacing w:after="0" w:line="149"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2"/>
                <w:szCs w:val="12"/>
                <w:color w:val="auto"/>
              </w:rPr>
            </w:pPr>
          </w:p>
        </w:tc>
        <w:tc>
          <w:tcPr>
            <w:tcW w:w="1340" w:type="dxa"/>
            <w:vAlign w:val="bottom"/>
          </w:tcPr>
          <w:p>
            <w:pPr>
              <w:jc w:val="right"/>
              <w:ind w:right="397"/>
              <w:spacing w:after="0" w:line="149" w:lineRule="exact"/>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June 30,</w:t>
            </w:r>
          </w:p>
        </w:tc>
      </w:tr>
      <w:tr>
        <w:trPr>
          <w:trHeight w:val="171"/>
        </w:trPr>
        <w:tc>
          <w:tcPr>
            <w:tcW w:w="2480" w:type="dxa"/>
            <w:vAlign w:val="bottom"/>
            <w:tcBorders>
              <w:bottom w:val="single" w:sz="8" w:color="CCEEFF"/>
            </w:tcBorders>
          </w:tcPr>
          <w:p>
            <w:pPr>
              <w:spacing w:after="0"/>
              <w:rPr>
                <w:sz w:val="14"/>
                <w:szCs w:val="14"/>
                <w:color w:val="auto"/>
              </w:rPr>
            </w:pPr>
          </w:p>
        </w:tc>
        <w:tc>
          <w:tcPr>
            <w:tcW w:w="14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r>
      <w:tr>
        <w:trPr>
          <w:trHeight w:val="209"/>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Net increase in net assets resulting from operations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6,711,343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13,574,289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16,082,671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15,321,533</w:t>
            </w:r>
          </w:p>
        </w:tc>
        <w:tc>
          <w:tcPr>
            <w:tcW w:w="160" w:type="dxa"/>
            <w:vAlign w:val="bottom"/>
            <w:shd w:val="clear" w:color="auto" w:fill="CCEEFF"/>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w w:val="94"/>
              </w:rPr>
              <w:t>Weighted-average shares outstanding for the period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32,396,396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26,645,717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31,953,287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26,266,501</w:t>
            </w:r>
          </w:p>
        </w:tc>
        <w:tc>
          <w:tcPr>
            <w:tcW w:w="160" w:type="dxa"/>
            <w:vAlign w:val="bottom"/>
            <w:shd w:val="clear" w:color="auto" w:fill="CCEEFF"/>
          </w:tcPr>
          <w:p>
            <w:pPr>
              <w:spacing w:after="0"/>
              <w:rPr>
                <w:sz w:val="18"/>
                <w:szCs w:val="18"/>
                <w:color w:val="auto"/>
              </w:rPr>
            </w:pPr>
          </w:p>
        </w:tc>
      </w:tr>
      <w:tr>
        <w:trPr>
          <w:trHeight w:val="216"/>
        </w:trPr>
        <w:tc>
          <w:tcPr>
            <w:tcW w:w="3940" w:type="dxa"/>
            <w:vAlign w:val="bottom"/>
            <w:gridSpan w:val="2"/>
          </w:tcPr>
          <w:p>
            <w:pPr>
              <w:ind w:left="12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32,396,396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26,645,717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31,953,287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26,266,501</w:t>
            </w:r>
          </w:p>
        </w:tc>
        <w:tc>
          <w:tcPr>
            <w:tcW w:w="16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Per Share Data</w:t>
            </w:r>
            <w:r>
              <w:rPr>
                <w:rFonts w:ascii="Arial" w:cs="Arial" w:eastAsia="Arial" w:hAnsi="Arial"/>
                <w:sz w:val="25"/>
                <w:szCs w:val="25"/>
                <w:b w:val="1"/>
                <w:bCs w:val="1"/>
                <w:color w:val="auto"/>
                <w:vertAlign w:val="superscript"/>
              </w:rPr>
              <w:t>(1)</w:t>
            </w:r>
            <w:r>
              <w:rPr>
                <w:rFonts w:ascii="Arial" w:cs="Arial" w:eastAsia="Arial" w:hAnsi="Arial"/>
                <w:sz w:val="17"/>
                <w:szCs w:val="17"/>
                <w:b w:val="1"/>
                <w:bCs w:val="1"/>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Basic and diluted income per common share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60" w:type="dxa"/>
            <w:vAlign w:val="bottom"/>
            <w:shd w:val="clear" w:color="auto" w:fill="CCEEFF"/>
          </w:tcPr>
          <w:p>
            <w:pPr>
              <w:spacing w:after="0"/>
              <w:rPr>
                <w:sz w:val="18"/>
                <w:szCs w:val="18"/>
                <w:color w:val="auto"/>
              </w:rPr>
            </w:pPr>
          </w:p>
        </w:tc>
      </w:tr>
      <w:tr>
        <w:trPr>
          <w:trHeight w:val="209"/>
        </w:trPr>
        <w:tc>
          <w:tcPr>
            <w:tcW w:w="3940" w:type="dxa"/>
            <w:vAlign w:val="bottom"/>
            <w:gridSpan w:val="2"/>
          </w:tcPr>
          <w:p>
            <w:pPr>
              <w:ind w:left="12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160" w:type="dxa"/>
            <w:vAlign w:val="bottom"/>
          </w:tcPr>
          <w:p>
            <w:pPr>
              <w:spacing w:after="0"/>
              <w:rPr>
                <w:sz w:val="18"/>
                <w:szCs w:val="18"/>
                <w:color w:val="auto"/>
              </w:rPr>
            </w:pPr>
          </w:p>
        </w:tc>
      </w:tr>
      <w:tr>
        <w:trPr>
          <w:trHeight w:val="20"/>
        </w:trPr>
        <w:tc>
          <w:tcPr>
            <w:tcW w:w="2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96"/>
        </w:trPr>
        <w:tc>
          <w:tcPr>
            <w:tcW w:w="2480" w:type="dxa"/>
            <w:vAlign w:val="bottom"/>
            <w:tcBorders>
              <w:bottom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r>
    </w:tbl>
    <w:p>
      <w:pPr>
        <w:ind w:left="660" w:hanging="328"/>
        <w:spacing w:after="0" w:line="229" w:lineRule="auto"/>
        <w:tabs>
          <w:tab w:leader="none" w:pos="660" w:val="left"/>
        </w:tabs>
        <w:numPr>
          <w:ilvl w:val="0"/>
          <w:numId w:val="11"/>
        </w:numPr>
        <w:rPr>
          <w:rFonts w:ascii="Arial" w:cs="Arial" w:eastAsia="Arial" w:hAnsi="Arial"/>
          <w:sz w:val="27"/>
          <w:szCs w:val="27"/>
          <w:color w:val="auto"/>
          <w:vertAlign w:val="superscript"/>
        </w:rPr>
      </w:pPr>
      <w:r>
        <w:rPr>
          <w:rFonts w:ascii="Arial" w:cs="Arial" w:eastAsia="Arial" w:hAnsi="Arial"/>
          <w:sz w:val="18"/>
          <w:szCs w:val="18"/>
          <w:color w:val="auto"/>
        </w:rPr>
        <w:t>Per share data is based on average weighted shares outstanding.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Net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the authority to issue 100,000,000 shares of common stock, $0.01 par value per share.</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During the three months ended June 30, 2021, the Company issued 637,127 shares for $9,410,371 in connection with the reinvestment of dividends. The following table summarizes capital activity during the three months ended June 30, 2021: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186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120" w:type="dxa"/>
            <w:vAlign w:val="bottom"/>
          </w:tcPr>
          <w:p>
            <w:pPr>
              <w:jc w:val="right"/>
              <w:ind w:right="155"/>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Distributable</w:t>
            </w:r>
          </w:p>
        </w:tc>
        <w:tc>
          <w:tcPr>
            <w:tcW w:w="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133"/>
        </w:trPr>
        <w:tc>
          <w:tcPr>
            <w:tcW w:w="4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right"/>
              <w:ind w:right="255"/>
              <w:spacing w:after="0" w:line="133"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86"/>
              </w:rPr>
              <w:t>(Losses)</w:t>
            </w:r>
          </w:p>
        </w:tc>
        <w:tc>
          <w:tcPr>
            <w:tcW w:w="20" w:type="dxa"/>
            <w:vAlign w:val="bottom"/>
          </w:tcPr>
          <w:p>
            <w:pPr>
              <w:spacing w:after="0"/>
              <w:rPr>
                <w:sz w:val="11"/>
                <w:szCs w:val="11"/>
                <w:color w:val="auto"/>
              </w:rPr>
            </w:pPr>
          </w:p>
        </w:tc>
        <w:tc>
          <w:tcPr>
            <w:tcW w:w="11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Net</w:t>
            </w:r>
          </w:p>
        </w:tc>
      </w:tr>
      <w:tr>
        <w:trPr>
          <w:trHeight w:val="171"/>
        </w:trPr>
        <w:tc>
          <w:tcPr>
            <w:tcW w:w="4420" w:type="dxa"/>
            <w:vAlign w:val="bottom"/>
          </w:tcPr>
          <w:p>
            <w:pPr>
              <w:spacing w:after="0"/>
              <w:rPr>
                <w:sz w:val="14"/>
                <w:szCs w:val="14"/>
                <w:color w:val="auto"/>
              </w:rPr>
            </w:pPr>
          </w:p>
        </w:tc>
        <w:tc>
          <w:tcPr>
            <w:tcW w:w="940" w:type="dxa"/>
            <w:vAlign w:val="bottom"/>
          </w:tcPr>
          <w:p>
            <w:pPr>
              <w:jc w:val="right"/>
              <w:ind w:right="173"/>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120" w:type="dxa"/>
            <w:vAlign w:val="bottom"/>
          </w:tcPr>
          <w:p>
            <w:pPr>
              <w:jc w:val="right"/>
              <w:ind w:right="255"/>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Earnings</w:t>
            </w:r>
          </w:p>
        </w:tc>
        <w:tc>
          <w:tcPr>
            <w:tcW w:w="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2"/>
              </w:rPr>
              <w:t>Assets</w:t>
            </w: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32,053,327</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$ 320,533</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$ 476,351,521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(3,194,630)</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$ 473,477,424</w:t>
            </w: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Issuance of common stock</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Reinvestment of dividends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637,127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6,371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9,404,000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9,410,371</w:t>
            </w: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Offering costs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(310)</w:t>
            </w: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investment income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11,340,477</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11,340,477</w:t>
            </w: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Net realized gain (loss) on investments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(4,595,853)</w:t>
            </w:r>
          </w:p>
        </w:tc>
        <w:tc>
          <w:tcPr>
            <w:tcW w:w="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(4,595,853)</w:t>
            </w: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change in unrealized appreciation</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(depreciation) on investments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(33,281)</w:t>
            </w:r>
          </w:p>
        </w:tc>
        <w:tc>
          <w:tcPr>
            <w:tcW w:w="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(33,281)</w:t>
            </w: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declared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(11,859,731)</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(11,859,731)</w:t>
            </w: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Tax reconciliation of stockholders'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in accordance with U.S. GAAP</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420" w:type="dxa"/>
            <w:vAlign w:val="bottom"/>
          </w:tcPr>
          <w:p>
            <w:pPr>
              <w:spacing w:after="0"/>
              <w:rPr>
                <w:sz w:val="20"/>
                <w:szCs w:val="20"/>
                <w:color w:val="auto"/>
              </w:rPr>
            </w:pPr>
            <w:r>
              <w:rPr>
                <w:rFonts w:ascii="Arial" w:cs="Arial" w:eastAsia="Arial" w:hAnsi="Arial"/>
                <w:sz w:val="18"/>
                <w:szCs w:val="18"/>
                <w:color w:val="auto"/>
              </w:rPr>
              <w:t>Balance, end of period</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32,690,454</w:t>
            </w:r>
          </w:p>
        </w:tc>
        <w:tc>
          <w:tcPr>
            <w:tcW w:w="1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$ 326,904</w:t>
            </w: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$ 485,755,211</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(8,343,018)</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$ 477,739,097</w:t>
            </w:r>
          </w:p>
        </w:tc>
      </w:tr>
      <w:tr>
        <w:trPr>
          <w:trHeight w:val="20"/>
        </w:trPr>
        <w:tc>
          <w:tcPr>
            <w:tcW w:w="44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During the six months ended June 30, 2021, the Company issued 1,255,942 shares for $18,593,591 in connection with the reinvestment of dividends. The following table summarizes capital activity during the six months ended June 30, 2021:</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186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120" w:type="dxa"/>
            <w:vAlign w:val="bottom"/>
          </w:tcPr>
          <w:p>
            <w:pPr>
              <w:jc w:val="right"/>
              <w:ind w:right="155"/>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Distributable</w:t>
            </w:r>
          </w:p>
        </w:tc>
        <w:tc>
          <w:tcPr>
            <w:tcW w:w="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133"/>
        </w:trPr>
        <w:tc>
          <w:tcPr>
            <w:tcW w:w="4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right"/>
              <w:ind w:right="255"/>
              <w:spacing w:after="0" w:line="133"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86"/>
              </w:rPr>
              <w:t>(Losses)</w:t>
            </w:r>
          </w:p>
        </w:tc>
        <w:tc>
          <w:tcPr>
            <w:tcW w:w="20" w:type="dxa"/>
            <w:vAlign w:val="bottom"/>
          </w:tcPr>
          <w:p>
            <w:pPr>
              <w:spacing w:after="0"/>
              <w:rPr>
                <w:sz w:val="11"/>
                <w:szCs w:val="11"/>
                <w:color w:val="auto"/>
              </w:rPr>
            </w:pPr>
          </w:p>
        </w:tc>
        <w:tc>
          <w:tcPr>
            <w:tcW w:w="11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Net</w:t>
            </w:r>
          </w:p>
        </w:tc>
      </w:tr>
      <w:tr>
        <w:trPr>
          <w:trHeight w:val="171"/>
        </w:trPr>
        <w:tc>
          <w:tcPr>
            <w:tcW w:w="4420" w:type="dxa"/>
            <w:vAlign w:val="bottom"/>
          </w:tcPr>
          <w:p>
            <w:pPr>
              <w:spacing w:after="0"/>
              <w:rPr>
                <w:sz w:val="14"/>
                <w:szCs w:val="14"/>
                <w:color w:val="auto"/>
              </w:rPr>
            </w:pPr>
          </w:p>
        </w:tc>
        <w:tc>
          <w:tcPr>
            <w:tcW w:w="940" w:type="dxa"/>
            <w:vAlign w:val="bottom"/>
          </w:tcPr>
          <w:p>
            <w:pPr>
              <w:jc w:val="right"/>
              <w:ind w:right="173"/>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120" w:type="dxa"/>
            <w:vAlign w:val="bottom"/>
          </w:tcPr>
          <w:p>
            <w:pPr>
              <w:jc w:val="right"/>
              <w:ind w:right="255"/>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Earnings</w:t>
            </w:r>
          </w:p>
        </w:tc>
        <w:tc>
          <w:tcPr>
            <w:tcW w:w="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2"/>
              </w:rPr>
              <w:t>Assets</w:t>
            </w:r>
          </w:p>
        </w:tc>
      </w:tr>
      <w:tr>
        <w:trPr>
          <w:trHeight w:val="209"/>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31,414,051</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$ 314,140</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$ 466,872,304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(942,759)</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$ 466,243,685</w:t>
            </w: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Issuance of common stock</w:t>
            </w:r>
          </w:p>
        </w:tc>
        <w:tc>
          <w:tcPr>
            <w:tcW w:w="940" w:type="dxa"/>
            <w:vAlign w:val="bottom"/>
          </w:tcPr>
          <w:p>
            <w:pPr>
              <w:jc w:val="right"/>
              <w:spacing w:after="0"/>
              <w:rPr>
                <w:sz w:val="20"/>
                <w:szCs w:val="20"/>
                <w:color w:val="auto"/>
              </w:rPr>
            </w:pPr>
            <w:r>
              <w:rPr>
                <w:rFonts w:ascii="Arial" w:cs="Arial" w:eastAsia="Arial" w:hAnsi="Arial"/>
                <w:sz w:val="18"/>
                <w:szCs w:val="18"/>
                <w:color w:val="auto"/>
              </w:rPr>
              <w:t>20,461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306,706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306,911</w:t>
            </w: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Reinvestment of dividends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1,255,942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12,559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18,581,032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18,593,591</w:t>
            </w: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Offering costs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(4,831)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(4,831)</w:t>
            </w: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investment income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22,822,211</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22,822,211</w:t>
            </w: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Net realized gain (loss) on investments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(4,795,077)</w:t>
            </w:r>
          </w:p>
        </w:tc>
        <w:tc>
          <w:tcPr>
            <w:tcW w:w="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(4,795,077)</w:t>
            </w: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change in unrealized appreciation</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(depreciation) on investments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(1,944,463)</w:t>
            </w:r>
          </w:p>
        </w:tc>
        <w:tc>
          <w:tcPr>
            <w:tcW w:w="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(1,944,463)</w:t>
            </w: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declared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(23,482,930)</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(23,482,930)</w:t>
            </w: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Tax reconciliation of stockholders'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in accordance with U.S. GAAP</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420" w:type="dxa"/>
            <w:vAlign w:val="bottom"/>
          </w:tcPr>
          <w:p>
            <w:pPr>
              <w:spacing w:after="0"/>
              <w:rPr>
                <w:sz w:val="20"/>
                <w:szCs w:val="20"/>
                <w:color w:val="auto"/>
              </w:rPr>
            </w:pPr>
            <w:r>
              <w:rPr>
                <w:rFonts w:ascii="Arial" w:cs="Arial" w:eastAsia="Arial" w:hAnsi="Arial"/>
                <w:sz w:val="18"/>
                <w:szCs w:val="18"/>
                <w:color w:val="auto"/>
              </w:rPr>
              <w:t>Balance, end of period</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32,690,454</w:t>
            </w:r>
          </w:p>
        </w:tc>
        <w:tc>
          <w:tcPr>
            <w:tcW w:w="1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$ 326,904</w:t>
            </w: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$ 485,755,211</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(8,343,018)</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$ 477,739,097</w:t>
            </w:r>
          </w:p>
        </w:tc>
      </w:tr>
      <w:tr>
        <w:trPr>
          <w:trHeight w:val="20"/>
        </w:trPr>
        <w:tc>
          <w:tcPr>
            <w:tcW w:w="44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During the three months ended June 30, 2020, the Company issued 529,020 shares for $7,538,541 in connection with the reinvestment of dividends. The following table summarizes capital activity during the three months ended June 30, 2020:</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86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120" w:type="dxa"/>
            <w:vAlign w:val="bottom"/>
          </w:tcPr>
          <w:p>
            <w:pPr>
              <w:jc w:val="right"/>
              <w:ind w:right="155"/>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Distributable</w:t>
            </w:r>
          </w:p>
        </w:tc>
        <w:tc>
          <w:tcPr>
            <w:tcW w:w="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133"/>
        </w:trPr>
        <w:tc>
          <w:tcPr>
            <w:tcW w:w="4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right"/>
              <w:ind w:right="255"/>
              <w:spacing w:after="0" w:line="133"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1"/>
                <w:szCs w:val="11"/>
                <w:color w:val="auto"/>
              </w:rPr>
            </w:pPr>
          </w:p>
        </w:tc>
        <w:tc>
          <w:tcPr>
            <w:tcW w:w="1200" w:type="dxa"/>
            <w:vAlign w:val="bottom"/>
            <w:gridSpan w:val="2"/>
          </w:tcPr>
          <w:p>
            <w:pPr>
              <w:jc w:val="center"/>
              <w:ind w:right="140"/>
              <w:spacing w:after="0" w:line="133" w:lineRule="exact"/>
              <w:rPr>
                <w:sz w:val="20"/>
                <w:szCs w:val="20"/>
                <w:color w:val="auto"/>
              </w:rPr>
            </w:pPr>
            <w:r>
              <w:rPr>
                <w:rFonts w:ascii="Arial" w:cs="Arial" w:eastAsia="Arial" w:hAnsi="Arial"/>
                <w:sz w:val="14"/>
                <w:szCs w:val="14"/>
                <w:b w:val="1"/>
                <w:bCs w:val="1"/>
                <w:color w:val="auto"/>
                <w:w w:val="86"/>
              </w:rPr>
              <w:t>(Losses)</w:t>
            </w:r>
          </w:p>
        </w:tc>
        <w:tc>
          <w:tcPr>
            <w:tcW w:w="20" w:type="dxa"/>
            <w:vAlign w:val="bottom"/>
          </w:tcPr>
          <w:p>
            <w:pPr>
              <w:spacing w:after="0"/>
              <w:rPr>
                <w:sz w:val="11"/>
                <w:szCs w:val="11"/>
                <w:color w:val="auto"/>
              </w:rPr>
            </w:pPr>
          </w:p>
        </w:tc>
        <w:tc>
          <w:tcPr>
            <w:tcW w:w="11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Net</w:t>
            </w:r>
          </w:p>
        </w:tc>
      </w:tr>
      <w:tr>
        <w:trPr>
          <w:trHeight w:val="171"/>
        </w:trPr>
        <w:tc>
          <w:tcPr>
            <w:tcW w:w="4380" w:type="dxa"/>
            <w:vAlign w:val="bottom"/>
          </w:tcPr>
          <w:p>
            <w:pPr>
              <w:spacing w:after="0"/>
              <w:rPr>
                <w:sz w:val="14"/>
                <w:szCs w:val="14"/>
                <w:color w:val="auto"/>
              </w:rPr>
            </w:pPr>
          </w:p>
        </w:tc>
        <w:tc>
          <w:tcPr>
            <w:tcW w:w="940" w:type="dxa"/>
            <w:vAlign w:val="bottom"/>
          </w:tcPr>
          <w:p>
            <w:pPr>
              <w:jc w:val="right"/>
              <w:ind w:right="173"/>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120" w:type="dxa"/>
            <w:vAlign w:val="bottom"/>
          </w:tcPr>
          <w:p>
            <w:pPr>
              <w:jc w:val="right"/>
              <w:ind w:right="255"/>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Earnings</w:t>
            </w:r>
          </w:p>
        </w:tc>
        <w:tc>
          <w:tcPr>
            <w:tcW w:w="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2"/>
              </w:rPr>
              <w:t>Assets</w:t>
            </w: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26,407,367</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$ 264,074</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$ 393,019,555</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(16,891,987)</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$ 376,391,642</w:t>
            </w: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Issuance of common stock</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Reinvestment of dividends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529,020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7,533,251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7,538,541</w:t>
            </w: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Offering costs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(7,836)</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(7,836)</w:t>
            </w: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investment income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7,873,841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7,873,841</w:t>
            </w: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Net realized gain (loss) on investments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203,854</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203,854</w:t>
            </w: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change in unrealized appreciation</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(depreciation) on investments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5,496,594</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5,496,594</w:t>
            </w: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declared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(9,242,578)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(9,242,578)</w:t>
            </w: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Tax reconciliation of stockholders'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in accordance with U.S. GAAP</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380" w:type="dxa"/>
            <w:vAlign w:val="bottom"/>
          </w:tcPr>
          <w:p>
            <w:pPr>
              <w:spacing w:after="0"/>
              <w:rPr>
                <w:sz w:val="20"/>
                <w:szCs w:val="20"/>
                <w:color w:val="auto"/>
              </w:rPr>
            </w:pPr>
            <w:r>
              <w:rPr>
                <w:rFonts w:ascii="Arial" w:cs="Arial" w:eastAsia="Arial" w:hAnsi="Arial"/>
                <w:sz w:val="18"/>
                <w:szCs w:val="18"/>
                <w:color w:val="auto"/>
              </w:rPr>
              <w:t>Balance, end of period</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26,936,387</w:t>
            </w:r>
          </w:p>
        </w:tc>
        <w:tc>
          <w:tcPr>
            <w:tcW w:w="1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$ 269,364</w:t>
            </w: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$ 400,544,970</w:t>
            </w:r>
          </w:p>
        </w:tc>
        <w:tc>
          <w:tcPr>
            <w:tcW w:w="1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(12,560,276)</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$ 388,254,058</w:t>
            </w:r>
          </w:p>
        </w:tc>
      </w:tr>
      <w:tr>
        <w:trPr>
          <w:trHeight w:val="20"/>
        </w:trPr>
        <w:tc>
          <w:tcPr>
            <w:tcW w:w="4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During the six months ended June 30, 2020, the Company issued 1,104,152 shares for $15,923,964 in connection with the reinvestment of dividends. The following table summarizes capital activity during the six months ended June 30, 2020:</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86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120" w:type="dxa"/>
            <w:vAlign w:val="bottom"/>
          </w:tcPr>
          <w:p>
            <w:pPr>
              <w:jc w:val="right"/>
              <w:ind w:right="155"/>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Distributable</w:t>
            </w:r>
          </w:p>
        </w:tc>
        <w:tc>
          <w:tcPr>
            <w:tcW w:w="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133"/>
        </w:trPr>
        <w:tc>
          <w:tcPr>
            <w:tcW w:w="4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right"/>
              <w:ind w:right="255"/>
              <w:spacing w:after="0" w:line="133"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86"/>
              </w:rPr>
              <w:t>(Losses)</w:t>
            </w:r>
          </w:p>
        </w:tc>
        <w:tc>
          <w:tcPr>
            <w:tcW w:w="20" w:type="dxa"/>
            <w:vAlign w:val="bottom"/>
          </w:tcPr>
          <w:p>
            <w:pPr>
              <w:spacing w:after="0"/>
              <w:rPr>
                <w:sz w:val="11"/>
                <w:szCs w:val="11"/>
                <w:color w:val="auto"/>
              </w:rPr>
            </w:pPr>
          </w:p>
        </w:tc>
        <w:tc>
          <w:tcPr>
            <w:tcW w:w="11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Net</w:t>
            </w:r>
          </w:p>
        </w:tc>
      </w:tr>
      <w:tr>
        <w:trPr>
          <w:trHeight w:val="171"/>
        </w:trPr>
        <w:tc>
          <w:tcPr>
            <w:tcW w:w="4380" w:type="dxa"/>
            <w:vAlign w:val="bottom"/>
          </w:tcPr>
          <w:p>
            <w:pPr>
              <w:spacing w:after="0"/>
              <w:rPr>
                <w:sz w:val="14"/>
                <w:szCs w:val="14"/>
                <w:color w:val="auto"/>
              </w:rPr>
            </w:pPr>
          </w:p>
        </w:tc>
        <w:tc>
          <w:tcPr>
            <w:tcW w:w="940" w:type="dxa"/>
            <w:vAlign w:val="bottom"/>
          </w:tcPr>
          <w:p>
            <w:pPr>
              <w:jc w:val="right"/>
              <w:ind w:right="173"/>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120" w:type="dxa"/>
            <w:vAlign w:val="bottom"/>
          </w:tcPr>
          <w:p>
            <w:pPr>
              <w:jc w:val="right"/>
              <w:ind w:right="255"/>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Earnings</w:t>
            </w:r>
          </w:p>
        </w:tc>
        <w:tc>
          <w:tcPr>
            <w:tcW w:w="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2"/>
              </w:rPr>
              <w:t>Assets</w:t>
            </w: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25,811,214</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$ 258,112</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$ 384,369,854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(8,314,745)</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$ 376,313,221</w:t>
            </w: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Issuance of common stock</w:t>
            </w:r>
          </w:p>
        </w:tc>
        <w:tc>
          <w:tcPr>
            <w:tcW w:w="940" w:type="dxa"/>
            <w:vAlign w:val="bottom"/>
          </w:tcPr>
          <w:p>
            <w:pPr>
              <w:jc w:val="right"/>
              <w:spacing w:after="0"/>
              <w:rPr>
                <w:sz w:val="20"/>
                <w:szCs w:val="20"/>
                <w:color w:val="auto"/>
              </w:rPr>
            </w:pPr>
            <w:r>
              <w:rPr>
                <w:rFonts w:ascii="Arial" w:cs="Arial" w:eastAsia="Arial" w:hAnsi="Arial"/>
                <w:sz w:val="18"/>
                <w:szCs w:val="18"/>
                <w:color w:val="auto"/>
              </w:rPr>
              <w:t>21,021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315,098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315,308</w:t>
            </w: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Reinvestment of dividends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1,104,152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11,042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15,912,922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15,923,964</w:t>
            </w: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Offering costs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(52,904)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(52,904)</w:t>
            </w: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investment income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17,517,428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17,517,428</w:t>
            </w: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Net realized gain (loss) on investments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(6,513,408)</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(6,513,408)</w:t>
            </w: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change in unrealized appreciation</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(depreciation) on investments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4,317,513</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4,317,513</w:t>
            </w: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declared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(19,567,064)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(19,567,064)</w:t>
            </w: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Tax reconciliation of stockholders'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in accordance with U.S. GAAP</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380" w:type="dxa"/>
            <w:vAlign w:val="bottom"/>
          </w:tcPr>
          <w:p>
            <w:pPr>
              <w:spacing w:after="0"/>
              <w:rPr>
                <w:sz w:val="20"/>
                <w:szCs w:val="20"/>
                <w:color w:val="auto"/>
              </w:rPr>
            </w:pPr>
            <w:r>
              <w:rPr>
                <w:rFonts w:ascii="Arial" w:cs="Arial" w:eastAsia="Arial" w:hAnsi="Arial"/>
                <w:sz w:val="18"/>
                <w:szCs w:val="18"/>
                <w:color w:val="auto"/>
              </w:rPr>
              <w:t>Balance, end of period</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26,936,387</w:t>
            </w:r>
          </w:p>
        </w:tc>
        <w:tc>
          <w:tcPr>
            <w:tcW w:w="1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$ 269,364</w:t>
            </w: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$ 400,544,970</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(12,560,276)</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$ 388,254,058</w:t>
            </w:r>
          </w:p>
        </w:tc>
      </w:tr>
      <w:tr>
        <w:trPr>
          <w:trHeight w:val="20"/>
        </w:trPr>
        <w:tc>
          <w:tcPr>
            <w:tcW w:w="4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shares of common stock issued, the price per share and the proceeds raised, from inception through June 30, 2021, are detailed in the following table: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Issuance Date</w:t>
            </w:r>
          </w:p>
        </w:tc>
        <w:tc>
          <w:tcPr>
            <w:tcW w:w="940" w:type="dxa"/>
            <w:vAlign w:val="bottom"/>
          </w:tcPr>
          <w:p>
            <w:pPr>
              <w:jc w:val="right"/>
              <w:ind w:right="171"/>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Price Per</w:t>
            </w:r>
          </w:p>
        </w:tc>
        <w:tc>
          <w:tcPr>
            <w:tcW w:w="80" w:type="dxa"/>
            <w:vAlign w:val="bottom"/>
          </w:tcPr>
          <w:p>
            <w:pPr>
              <w:spacing w:after="0"/>
              <w:rPr>
                <w:sz w:val="14"/>
                <w:szCs w:val="14"/>
                <w:color w:val="auto"/>
              </w:rPr>
            </w:pPr>
          </w:p>
        </w:tc>
        <w:tc>
          <w:tcPr>
            <w:tcW w:w="106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87"/>
              </w:rPr>
              <w:t>Gross Proceeds</w:t>
            </w:r>
          </w:p>
        </w:tc>
        <w:tc>
          <w:tcPr>
            <w:tcW w:w="0" w:type="dxa"/>
            <w:vAlign w:val="bottom"/>
          </w:tcPr>
          <w:p>
            <w:pPr>
              <w:spacing w:after="0"/>
              <w:rPr>
                <w:sz w:val="1"/>
                <w:szCs w:val="1"/>
                <w:color w:val="auto"/>
              </w:rPr>
            </w:pPr>
          </w:p>
        </w:tc>
      </w:tr>
      <w:tr>
        <w:trPr>
          <w:trHeight w:val="171"/>
        </w:trPr>
        <w:tc>
          <w:tcPr>
            <w:tcW w:w="6620" w:type="dxa"/>
            <w:vAlign w:val="bottom"/>
            <w:gridSpan w:val="2"/>
            <w:vMerge w:val="continue"/>
          </w:tcPr>
          <w:p>
            <w:pPr>
              <w:spacing w:after="0"/>
              <w:rPr>
                <w:sz w:val="14"/>
                <w:szCs w:val="14"/>
                <w:color w:val="auto"/>
              </w:rPr>
            </w:pPr>
          </w:p>
        </w:tc>
        <w:tc>
          <w:tcPr>
            <w:tcW w:w="940" w:type="dxa"/>
            <w:vAlign w:val="bottom"/>
          </w:tcPr>
          <w:p>
            <w:pPr>
              <w:jc w:val="right"/>
              <w:ind w:right="191"/>
              <w:spacing w:after="0"/>
              <w:rPr>
                <w:sz w:val="20"/>
                <w:szCs w:val="20"/>
                <w:color w:val="auto"/>
              </w:rPr>
            </w:pPr>
            <w:r>
              <w:rPr>
                <w:rFonts w:ascii="Arial" w:cs="Arial" w:eastAsia="Arial" w:hAnsi="Arial"/>
                <w:sz w:val="14"/>
                <w:szCs w:val="14"/>
                <w:b w:val="1"/>
                <w:bCs w:val="1"/>
                <w:color w:val="auto"/>
              </w:rPr>
              <w:t>Issued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Share</w:t>
            </w:r>
          </w:p>
        </w:tc>
        <w:tc>
          <w:tcPr>
            <w:tcW w:w="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8, 2015</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December 22, 2016</w:t>
            </w:r>
          </w:p>
        </w:tc>
        <w:tc>
          <w:tcPr>
            <w:tcW w:w="940" w:type="dxa"/>
            <w:vAlign w:val="bottom"/>
          </w:tcPr>
          <w:p>
            <w:pPr>
              <w:jc w:val="right"/>
              <w:spacing w:after="0"/>
              <w:rPr>
                <w:sz w:val="20"/>
                <w:szCs w:val="20"/>
                <w:color w:val="auto"/>
              </w:rPr>
            </w:pPr>
            <w:r>
              <w:rPr>
                <w:rFonts w:ascii="Arial" w:cs="Arial" w:eastAsia="Arial" w:hAnsi="Arial"/>
                <w:sz w:val="18"/>
                <w:szCs w:val="18"/>
                <w:color w:val="auto"/>
              </w:rPr>
              <w:t>333,333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19, 2017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June 26, 2017</w:t>
            </w:r>
          </w:p>
        </w:tc>
        <w:tc>
          <w:tcPr>
            <w:tcW w:w="940" w:type="dxa"/>
            <w:vAlign w:val="bottom"/>
          </w:tcPr>
          <w:p>
            <w:pPr>
              <w:jc w:val="right"/>
              <w:spacing w:after="0"/>
              <w:rPr>
                <w:sz w:val="20"/>
                <w:szCs w:val="20"/>
                <w:color w:val="auto"/>
              </w:rPr>
            </w:pPr>
            <w:r>
              <w:rPr>
                <w:rFonts w:ascii="Arial" w:cs="Arial" w:eastAsia="Arial" w:hAnsi="Arial"/>
                <w:sz w:val="18"/>
                <w:szCs w:val="18"/>
                <w:color w:val="auto"/>
              </w:rPr>
              <w:t>1,666,667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12, 2017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2,666,667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40,000,000</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December 22, 2017</w:t>
            </w:r>
          </w:p>
        </w:tc>
        <w:tc>
          <w:tcPr>
            <w:tcW w:w="940" w:type="dxa"/>
            <w:vAlign w:val="bottom"/>
          </w:tcPr>
          <w:p>
            <w:pPr>
              <w:jc w:val="right"/>
              <w:spacing w:after="0"/>
              <w:rPr>
                <w:sz w:val="20"/>
                <w:szCs w:val="20"/>
                <w:color w:val="auto"/>
              </w:rPr>
            </w:pPr>
            <w:r>
              <w:rPr>
                <w:rFonts w:ascii="Arial" w:cs="Arial" w:eastAsia="Arial" w:hAnsi="Arial"/>
                <w:sz w:val="18"/>
                <w:szCs w:val="18"/>
                <w:color w:val="auto"/>
              </w:rPr>
              <w:t>3,000,000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45,000,000</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May 31, 2018</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1,045,570</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line="216" w:lineRule="exact"/>
              <w:rPr>
                <w:sz w:val="20"/>
                <w:szCs w:val="20"/>
                <w:color w:val="auto"/>
              </w:rPr>
            </w:pPr>
            <w:r>
              <w:rPr>
                <w:rFonts w:ascii="Arial" w:cs="Arial" w:eastAsia="Arial" w:hAnsi="Arial"/>
                <w:sz w:val="17"/>
                <w:szCs w:val="17"/>
                <w:color w:val="auto"/>
              </w:rPr>
              <w:t>August 31, 2018</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117,582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14.92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1,754,244</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27, 2018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1,997,337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line="216" w:lineRule="exact"/>
              <w:rPr>
                <w:sz w:val="20"/>
                <w:szCs w:val="20"/>
                <w:color w:val="auto"/>
              </w:rPr>
            </w:pPr>
            <w:r>
              <w:rPr>
                <w:rFonts w:ascii="Arial" w:cs="Arial" w:eastAsia="Arial" w:hAnsi="Arial"/>
                <w:sz w:val="17"/>
                <w:szCs w:val="17"/>
                <w:color w:val="auto"/>
              </w:rPr>
              <w:t>November 15, 2018</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202,779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3,055,498</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14, 2019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4,344,964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66,000,000</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line="216" w:lineRule="exact"/>
              <w:rPr>
                <w:sz w:val="20"/>
                <w:szCs w:val="20"/>
                <w:color w:val="auto"/>
              </w:rPr>
            </w:pPr>
            <w:r>
              <w:rPr>
                <w:rFonts w:ascii="Arial" w:cs="Arial" w:eastAsia="Arial" w:hAnsi="Arial"/>
                <w:sz w:val="17"/>
                <w:szCs w:val="17"/>
                <w:color w:val="auto"/>
              </w:rPr>
              <w:t>March 26, 2019</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326,431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4,942,168</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May 21, 2019</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374,783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5,670,467</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May 24, 2019</w:t>
            </w:r>
          </w:p>
        </w:tc>
        <w:tc>
          <w:tcPr>
            <w:tcW w:w="940" w:type="dxa"/>
            <w:vAlign w:val="bottom"/>
          </w:tcPr>
          <w:p>
            <w:pPr>
              <w:jc w:val="right"/>
              <w:spacing w:after="0"/>
              <w:rPr>
                <w:sz w:val="20"/>
                <w:szCs w:val="20"/>
                <w:color w:val="auto"/>
              </w:rPr>
            </w:pPr>
            <w:r>
              <w:rPr>
                <w:rFonts w:ascii="Arial" w:cs="Arial" w:eastAsia="Arial" w:hAnsi="Arial"/>
                <w:sz w:val="18"/>
                <w:szCs w:val="18"/>
                <w:color w:val="auto"/>
              </w:rPr>
              <w:t>3,232,189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49,000,000</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July 16, 2019</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464,986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7,035,236</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line="216" w:lineRule="exact"/>
              <w:rPr>
                <w:sz w:val="20"/>
                <w:szCs w:val="20"/>
                <w:color w:val="auto"/>
              </w:rPr>
            </w:pPr>
            <w:r>
              <w:rPr>
                <w:rFonts w:ascii="Arial" w:cs="Arial" w:eastAsia="Arial" w:hAnsi="Arial"/>
                <w:sz w:val="17"/>
                <w:szCs w:val="17"/>
                <w:color w:val="auto"/>
              </w:rPr>
              <w:t>August 26, 2019</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480,121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7,088,143</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15, 2019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line="216" w:lineRule="exact"/>
              <w:rPr>
                <w:sz w:val="20"/>
                <w:szCs w:val="20"/>
                <w:color w:val="auto"/>
              </w:rPr>
            </w:pPr>
            <w:r>
              <w:rPr>
                <w:rFonts w:ascii="Arial" w:cs="Arial" w:eastAsia="Arial" w:hAnsi="Arial"/>
                <w:sz w:val="17"/>
                <w:szCs w:val="17"/>
                <w:color w:val="auto"/>
              </w:rPr>
              <w:t>November 12, 2019</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43,979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649,123</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20, 2019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line="216" w:lineRule="exact"/>
              <w:rPr>
                <w:sz w:val="20"/>
                <w:szCs w:val="20"/>
                <w:color w:val="auto"/>
              </w:rPr>
            </w:pPr>
            <w:r>
              <w:rPr>
                <w:rFonts w:ascii="Arial" w:cs="Arial" w:eastAsia="Arial" w:hAnsi="Arial"/>
                <w:sz w:val="17"/>
                <w:szCs w:val="17"/>
                <w:color w:val="auto"/>
              </w:rPr>
              <w:t>December 23, 2019</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487,166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7,073,650</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March 20, 2020</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8,385,423</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March 31, 2020</w:t>
            </w:r>
          </w:p>
        </w:tc>
        <w:tc>
          <w:tcPr>
            <w:tcW w:w="940" w:type="dxa"/>
            <w:vAlign w:val="bottom"/>
          </w:tcPr>
          <w:p>
            <w:pPr>
              <w:jc w:val="right"/>
              <w:spacing w:after="0"/>
              <w:rPr>
                <w:sz w:val="20"/>
                <w:szCs w:val="20"/>
                <w:color w:val="auto"/>
              </w:rPr>
            </w:pPr>
            <w:r>
              <w:rPr>
                <w:rFonts w:ascii="Arial" w:cs="Arial" w:eastAsia="Arial" w:hAnsi="Arial"/>
                <w:sz w:val="18"/>
                <w:szCs w:val="18"/>
                <w:color w:val="auto"/>
              </w:rPr>
              <w:t>21,021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315,308</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May 21, 2020</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529,020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7,538,541</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line="216" w:lineRule="exact"/>
              <w:rPr>
                <w:sz w:val="20"/>
                <w:szCs w:val="20"/>
                <w:color w:val="auto"/>
              </w:rPr>
            </w:pPr>
            <w:r>
              <w:rPr>
                <w:rFonts w:ascii="Arial" w:cs="Arial" w:eastAsia="Arial" w:hAnsi="Arial"/>
                <w:sz w:val="17"/>
                <w:szCs w:val="17"/>
                <w:color w:val="auto"/>
              </w:rPr>
              <w:t>August 6, 2020</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550,639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14.41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7,934,712</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15, 2020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line="216" w:lineRule="exact"/>
              <w:rPr>
                <w:sz w:val="20"/>
                <w:szCs w:val="20"/>
                <w:color w:val="auto"/>
              </w:rPr>
            </w:pPr>
            <w:r>
              <w:rPr>
                <w:rFonts w:ascii="Arial" w:cs="Arial" w:eastAsia="Arial" w:hAnsi="Arial"/>
                <w:sz w:val="17"/>
                <w:szCs w:val="17"/>
                <w:color w:val="auto"/>
              </w:rPr>
              <w:t>November 12, 2020</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593,692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14.46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8,584,772</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March 19, 2021</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618,815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9,183,220</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March 24, 2021</w:t>
            </w:r>
          </w:p>
        </w:tc>
        <w:tc>
          <w:tcPr>
            <w:tcW w:w="940" w:type="dxa"/>
            <w:vAlign w:val="bottom"/>
          </w:tcPr>
          <w:p>
            <w:pPr>
              <w:jc w:val="right"/>
              <w:spacing w:after="0"/>
              <w:rPr>
                <w:sz w:val="20"/>
                <w:szCs w:val="20"/>
                <w:color w:val="auto"/>
              </w:rPr>
            </w:pPr>
            <w:r>
              <w:rPr>
                <w:rFonts w:ascii="Arial" w:cs="Arial" w:eastAsia="Arial" w:hAnsi="Arial"/>
                <w:sz w:val="18"/>
                <w:szCs w:val="18"/>
                <w:color w:val="auto"/>
              </w:rPr>
              <w:t>20,461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306,911</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May 13, 2021</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637,127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9,410,371</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32,690,454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489,998,357</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205740</wp:posOffset>
            </wp:positionV>
            <wp:extent cx="15684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318"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27"/>
          <w:szCs w:val="27"/>
          <w:color w:val="auto"/>
          <w:vertAlign w:val="superscript"/>
        </w:rPr>
      </w:pPr>
      <w:r>
        <w:rPr>
          <w:rFonts w:ascii="Arial" w:cs="Arial" w:eastAsia="Arial" w:hAnsi="Arial"/>
          <w:sz w:val="18"/>
          <w:szCs w:val="18"/>
          <w:color w:val="auto"/>
        </w:rPr>
        <w:t>Shares were issued as part of the dividend reinvestment plan.</w:t>
      </w:r>
    </w:p>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In connection with the Initial Private Offering, the Company issued 18,241,157 shares of its common stock to stockholders for a total purchase price of $275,000,000. Between June 14, 2019 and June 30, 2021, the Company accepted $181,473,500 in capital commitments under its Second Private Offering. As of June 30, 2021 and December 31, 2020, respectively, the Company issued 8,352,251 and 8,352,251 shares of its common stock for aggregate proceeds of $125,283,766 and $125,283,766 under the Second Private Offering. </w:t>
      </w:r>
      <w:r>
        <w:rPr>
          <w:rFonts w:ascii="Arial" w:cs="Arial" w:eastAsia="Arial" w:hAnsi="Arial"/>
          <w:sz w:val="17"/>
          <w:szCs w:val="17"/>
          <w:color w:val="231F20"/>
        </w:rPr>
        <w:t>As of June 30, 2021, the Company has issued 22,564 shares as an additional direct investment by Runway Growth Holdings</w:t>
      </w:r>
      <w:r>
        <w:rPr>
          <w:rFonts w:ascii="Arial" w:cs="Arial" w:eastAsia="Arial" w:hAnsi="Arial"/>
          <w:sz w:val="17"/>
          <w:szCs w:val="17"/>
          <w:color w:val="auto"/>
        </w:rPr>
        <w:t xml:space="preserve"> </w:t>
      </w:r>
      <w:r>
        <w:rPr>
          <w:rFonts w:ascii="Arial" w:cs="Arial" w:eastAsia="Arial" w:hAnsi="Arial"/>
          <w:sz w:val="17"/>
          <w:szCs w:val="17"/>
          <w:color w:val="231F20"/>
        </w:rPr>
        <w:t>LLC, an affiliate of RGC, at $15.00 per share for total proceeds of $338,453.</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Capital commitments may be drawn down from investors by the Company on a pro rata basis, as needed, upon not less than ten</w:t>
      </w:r>
    </w:p>
    <w:p>
      <w:pPr>
        <w:spacing w:after="0" w:line="46" w:lineRule="exact"/>
        <w:rPr>
          <w:sz w:val="20"/>
          <w:szCs w:val="20"/>
          <w:color w:val="auto"/>
        </w:rPr>
      </w:pPr>
    </w:p>
    <w:p>
      <w:pPr>
        <w:jc w:val="both"/>
        <w:ind w:firstLine="8"/>
        <w:spacing w:after="0" w:line="302" w:lineRule="auto"/>
        <w:tabs>
          <w:tab w:leader="none" w:pos="365" w:val="left"/>
        </w:tabs>
        <w:numPr>
          <w:ilvl w:val="0"/>
          <w:numId w:val="13"/>
        </w:numPr>
        <w:rPr>
          <w:rFonts w:ascii="Arial" w:cs="Arial" w:eastAsia="Arial" w:hAnsi="Arial"/>
          <w:sz w:val="16"/>
          <w:szCs w:val="16"/>
          <w:color w:val="auto"/>
        </w:rPr>
      </w:pPr>
      <w:r>
        <w:rPr>
          <w:rFonts w:ascii="Arial" w:cs="Arial" w:eastAsia="Arial" w:hAnsi="Arial"/>
          <w:sz w:val="16"/>
          <w:szCs w:val="16"/>
          <w:color w:val="auto"/>
        </w:rPr>
        <w:t>days’ prior written notice for the purposes of funding the Company’s investments (including follow-on investments), paying the Company’s expenses, including fees under the second amended and restated investment advisory agreement, by and between the Company and RGC (the “Advisory Agreement”), and/or maintaining a reserve account for the payment of future expenses or liabilities.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Related Party Agreements and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Advisory Agreement</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November 29, 2016, the Company’s Board of Directors approved an investment advisory agreement between RGC and the Company, under which RGC, subject to the overall supervision of the Board of Directors, manages the day-to-day operations of and provides investment advisory services to the Company (together with a subsequent amendment thereto, the “Prior Agreement”). On April 7, 2021, the Board of Directors approved the Advisory Agreement at a virtual meeting and recommended that the Company’s stockholders approve the Advisory Agreement. In reliance upon certain exemptive relief granted by the SEC in connection with the global COVID-19 pandemic, the Board of Directors undertook to ratify the Advisory Agreement at its next in-person meeting which was held in July 2021. The Advisory Agreement amended the Prior Advisory Agreement to include certain revisions to the management and incentive fee calculation mechanisms and clarify language relating to liquidity events. The Advisory Agreement became effective on May 27, 2021 upon approval by the stockholders at a special meeting of stockholders of the Company. Under the terms of the Advisory Agreement, RGC:</w:t>
      </w:r>
    </w:p>
    <w:p>
      <w:pPr>
        <w:spacing w:after="0" w:line="194" w:lineRule="exact"/>
        <w:rPr>
          <w:sz w:val="20"/>
          <w:szCs w:val="20"/>
          <w:color w:val="auto"/>
        </w:rPr>
      </w:pPr>
    </w:p>
    <w:p>
      <w:pPr>
        <w:ind w:left="580" w:right="20" w:hanging="315"/>
        <w:spacing w:after="0" w:line="277"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determines the composition of the Company’s portfolio, the nature and timing of the changes to the portfolio and the manner of implementing such changes;</w:t>
      </w:r>
    </w:p>
    <w:p>
      <w:pPr>
        <w:spacing w:after="0" w:line="143" w:lineRule="exact"/>
        <w:rPr>
          <w:rFonts w:ascii="Arial" w:cs="Arial" w:eastAsia="Arial" w:hAnsi="Arial"/>
          <w:sz w:val="18"/>
          <w:szCs w:val="18"/>
          <w:color w:val="auto"/>
        </w:rPr>
      </w:pPr>
    </w:p>
    <w:p>
      <w:pPr>
        <w:ind w:left="580" w:hanging="315"/>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the Company makes;</w:t>
      </w:r>
    </w:p>
    <w:p>
      <w:pPr>
        <w:spacing w:after="0" w:line="184" w:lineRule="exact"/>
        <w:rPr>
          <w:rFonts w:ascii="Arial" w:cs="Arial" w:eastAsia="Arial" w:hAnsi="Arial"/>
          <w:sz w:val="18"/>
          <w:szCs w:val="18"/>
          <w:color w:val="auto"/>
        </w:rPr>
      </w:pPr>
    </w:p>
    <w:p>
      <w:pPr>
        <w:ind w:left="580" w:hanging="315"/>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executes, closes and monitors the investments the Company makes;</w:t>
      </w:r>
    </w:p>
    <w:p>
      <w:pPr>
        <w:spacing w:after="0" w:line="184" w:lineRule="exact"/>
        <w:rPr>
          <w:rFonts w:ascii="Arial" w:cs="Arial" w:eastAsia="Arial" w:hAnsi="Arial"/>
          <w:sz w:val="18"/>
          <w:szCs w:val="18"/>
          <w:color w:val="auto"/>
        </w:rPr>
      </w:pPr>
    </w:p>
    <w:p>
      <w:pPr>
        <w:ind w:left="580" w:hanging="315"/>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determines the securities and other assets that the Company will purchase, retain or sell;</w:t>
      </w:r>
    </w:p>
    <w:p>
      <w:pPr>
        <w:spacing w:after="0" w:line="198" w:lineRule="exact"/>
        <w:rPr>
          <w:rFonts w:ascii="Arial" w:cs="Arial" w:eastAsia="Arial" w:hAnsi="Arial"/>
          <w:sz w:val="18"/>
          <w:szCs w:val="18"/>
          <w:color w:val="auto"/>
        </w:rPr>
      </w:pPr>
    </w:p>
    <w:p>
      <w:pPr>
        <w:ind w:left="580" w:hanging="315"/>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performs due diligence on prospective investments; and</w:t>
      </w:r>
    </w:p>
    <w:p>
      <w:pPr>
        <w:spacing w:after="0" w:line="184" w:lineRule="exact"/>
        <w:rPr>
          <w:rFonts w:ascii="Arial" w:cs="Arial" w:eastAsia="Arial" w:hAnsi="Arial"/>
          <w:sz w:val="18"/>
          <w:szCs w:val="18"/>
          <w:color w:val="auto"/>
        </w:rPr>
      </w:pPr>
    </w:p>
    <w:p>
      <w:pPr>
        <w:ind w:left="580" w:hanging="315"/>
        <w:spacing w:after="0" w:line="277"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provides the Company with other such investment advisory, research and related services as the Company may, from time to time, reasonably require for the investment of its funds.</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Advisory Agreement, the Company pays RGC a fee for its investment advisory and management services consisting of two components – a base management fee and an incentive fee. The cost of both the base management fee and incentive fee are ultimately borne by the Company’s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Base Management Fee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base management fee is payable on the first day of each calendar quarter.</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For purposes of the Advisory Agreement, a “Spin-Off transaction” includes either a transaction whereby (a) the Company offers its stockholders the option to elect to either (i) retain their ownership of shares of the Company’s common stock, or (ii) exchange their shares of the Company’s common stock for shares of common stock in a newly formed entity (the “Public Fund”) that will elect to be regulated as a BDC under the 1940 Act and treated as a RIC under Subchapter M of the Code (the “Public Fund Spin Off”); or (b) the Company completes a listing of the Company’s securities on any securities exchange (an “Exchange Listing”). The base management fee will be an amount equal to 0.40% (1.60% annualized) of the Company’s average daily Gross Assets (defined below) during the most recently completed calendar quarter for so long as the aggregate amount of Gross Assets of the Company as of the end of the most recently completed calendar quarter is equal or greater than $500,000,000 but less than $1,000,000. For purposes of the Advisory Agreement, “Gross Assets” is defined as the Company’s gross assets, including assets purchased with borrowed funds or other forms of leverage, as well as any paid-in-kind interest, as of the end of the most recently completed fiscal quarter. If the aggregate amount of the Company’s Gross Assets as of the end of the most recently completed calendar quarter is less than $500,000,000the base management fee will be an amount equal to 0.4375% (1.75% annualized) of the Company’s average daily Gross Assets during the most recently completed calendar quarter. If the aggregate amount of the Company’s Gross Assets as of the end of the most recently completed calendar quarter is equal to or greater than $1,000,000,000, the base management fee will be an amount equal to 0.375% (1.50% annualized) of the Company’s average daily Gross Assets during the most recently completed calendar quarter.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RGC earned base management fees of $2,276,341 and $4,345,550 for the three and six months ended June 30, 2021, respectively, and $1,758,729 and $3,295,677 for the three and six months ended June 30, 2020,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Incentive Fee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incentive fee, which provides RGC with a share of the income that RGC generates for the Company, consists of an investment-income component and a capital-gains component, which are largely independent of each other, with the result that one component may be payable even if the other is not.</w:t>
      </w:r>
    </w:p>
    <w:p>
      <w:pPr>
        <w:spacing w:after="0" w:line="18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Under the investment-income component (the “Income Incentive Fee”), the Company pays RGC each quarter an incentive fee with respect to the Company’s Pre-Incentive Fee net investment income. The Income Incentive Fee is calculated and payable quarterly in arrears based on the Pre-Incentive Fee net investment income for the immediately preceding fiscal quarter. Payments based on Pre-Incentive Fee net investment income will be based on the Pre-Incentive Fee net investment income earned for the quarter. For this purpose, “Pre-Incentive Fee net investment income” means interest income, dividend income and any other income (including any other fees, such as commitment, origination, structuring, diligence, managerial and consulting fees or other fees that the Company receives from portfolio companies) that the Company accrues during the fiscal quarter, minus the Company’s operating expenses for the quarter (including the base management fee, expenses payable under the amended and restated administration agreement with the Administrator (the “Administration Agreement”), and any dividends paid on any issued and outstanding preferred stock, but excluding the incentive fee). Pre-Incentive Fee net investment income includes, in the case of investments with a deferred interest feature (such as original issue discount, debt instruments with pay in kind interest and zero coupon securities), accrued income the Company has not yet received in cash; provided, however, that the portion of the Income Incentive Fee attributable to deferred interest features will be paid, only if and to the extent received in cash, and any accrual thereof will be reversed if and to the extent such interest is reversed in connection with any write off or similar treatment of the investment giving rise to any deferred interest accrual, applied in each case in the order such interest was accrued. Such subsequent payments in respect of previously accrued income will not reduce the amounts payable for any quarter pursuant to the calculation of the Income Incentive Fee described above. Pre-Incentive Fee net investment income does not include any realized capital gains, realized capital losses or unrealized capital appreciation or depreciation.</w:t>
      </w:r>
    </w:p>
    <w:p>
      <w:pPr>
        <w:spacing w:after="0" w:line="17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Pre-Incentive Fee net investment income, expressed as a rate of return on the value of the Company’s net assets (defined as total assets less liabilities) at the end of the immediately preceding fiscal quarter, will be compared to a “hurdle rate” of 2.0% per quarter (8.0% annualized). The Company pays RGC an Income Incentive Fee with respect to the Company’s Pre-Incentive Fee net investment income in each calendar quarter as follows: (1) no Income Incentive Fee in any calendar quarter in which the Company’s Pre-Incentive Fee net investment income does not exceed the hurdle rate of 2.0%; (2) 80% of the Company’s Pre-Incentive Fee net investment income with respect to that portion of such Pre-Incentive Fee net investment income, if any, that exceeds the hurdle rate but is less than 2.667% in any calendar quarter (10.668% annualized) (the portion of the Company’s Pre-Incentive Fee net investment income that exceeds the hurdle but is less than 2.667% is referred to as the “catch-up”; the “catch-up” is meant to provide RGC with 20.0% of the Company’s Pre-Incentive Fee net investment income as if a hurdle did not apply if the Company’s Pre-Incentive Fee net investment income exceeds 2.667% in any calendar quarter (10.668% annualized)); and (3) 20.0% of the amount of the Company’s Pre-Incentive Fee net investment income, if any, that exceeds 2.667% in any calendar quarter (10.668% annualized) payable to RGC (once the hurdle is reached and the catch-up is achieved, 20.0% of all Pre-Incentive Fee net investment income thereafter is allocated to RGC).</w:t>
      </w:r>
    </w:p>
    <w:p>
      <w:pPr>
        <w:spacing w:after="0" w:line="16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Until the consummation of a Spin-Off transaction, in the event that (a) the sum of the Company’s cumulative net realized losses since the date of the Company’s election to be regulated as a BDC exceeds 2.0% of the total non-control/non-affiliate investments made by the Company since the date of the Company’s election to be regulated as a BDC through the end of the quarter and (b) the Pre-Incentive Fee net investment income adjusted to include any realized capital gains and losses (“Adjusted Pre-Incentive Fee net investment income”), expressed as an annualized rate of return on the value of the Company’s average daily net assets (defined as total assets less liabilities), since the Company’s election to be regulated as a BDC through the end of the quarter is less than 10.0%, no Income Incentive Fee will be payable for such quarter until the first subsequent quarter in which either (x) the sum of the Company’s cumulative net realized losses since the date of the Company’s election to be regulated as a BDC is equal to or less than 2.0% of the total non-control/non-affiliate investments made by the Company since the date of the Company’s election to be regulated as a BDC through the end of such subsequent quarter or (y) the Adjusted Pre-Incentive Fee net investment income, expressed as an annualized rate of return on the value of the Company’s average daily net assets (defined as total assets less liabilities), since the Company’s election to be regulated as a BDC through the of the end of the quarter equals or exceeds 10.0%; provided, however, that in no event will any Income Incentive Fee be payable for any prior quarter after the three-year anniversary of the end of such quarter.</w:t>
      </w:r>
    </w:p>
    <w:p>
      <w:pPr>
        <w:sectPr>
          <w:pgSz w:w="11900" w:h="16838" w:orient="portrait"/>
          <w:cols w:equalWidth="0" w:num="1">
            <w:col w:w="9920"/>
          </w:cols>
          <w:pgMar w:left="980" w:top="517" w:right="999"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Under the capital-gains component of the incentive fee (the “Capital Gains Fee”), the Company will pay RGC, as of the end of each calendar year, 20.0% of the Company’s aggregate cumulative realized capital gains, if any, from the date of the Company’s election to be regulated as a BDC through the end of that calendar year, computed net of the Company’s aggregate cumulative realized capital losses and aggregate cumulative unrealized capital depreciation through the end of such year, less the aggregate amount of any previously paid Capital Gains Fee. For the foregoing purpose, the Company’s “aggregate cumulative realized capital gains” will not include any unrealized appreciation. If such amount is negative, then no Capital Gains Fee will be payable for such year.</w:t>
      </w:r>
    </w:p>
    <w:p>
      <w:pPr>
        <w:spacing w:after="0" w:line="16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RGC earned incentive fees of $2,836,303 and $3,812,007, respectively, for the three and six months ended June 30, 2021; $2,229,639 and $2,968,870, respectively, of the incentive fees for the three and six months ended June 30, 2021 were earned, payable in cash, and $606,664 and $843,137, respectively, of the incentive fees for the three and six months ended June 30, 2021 were accrued and generated from deferred interest (i.e., PIK interest and certain discount accretion) and are not payable pending receipt of cash by the Company. RGC earned incentive fees for the three and six months ended June 30, 2020 of $905,858 and $3,220,976, respectively; $686,221 and $2,532,754, respectively, of the incentive fees for the three and six months ended June 30, 2020 were earned, payable in cash, and $219,637 and $688,222, respectively, of the incentive fees for the three and six months ended June 30, 2020 were accrued and deferred (i.e., PIK interest and certain discount accretion) and are not payable pending receipt of cash by the Company.</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capital gains incentive fee consists of fees related to realized gains, realized capital losses and unrealized capital depreciation. With respect to the incentive fee expense accrual related to the capital gains incentive fee, U.S. GAAP requires that the capital gains invective fee accrual consider the cumulative aggregate unrealized appreciation in the calculation, as a capital gains incentive fee would be payable if such unrealized appreciation were realized even though such unrealized appreciation is not permitted to be considered in calculating the fee actually payable under the Advisory Agreement. As of each of June 30, 2021 and December 31, 2020, there was no capital gains incentive fee accrued, earned or payable to RGC under the Advisory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Spin-Off Incentive Fee</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Income Incentive Fee will be payable in connection with a Public Fund Spin-Off as follows. The Income Incentive Fee will be calculated as of the date of the completion of each Public Fund Spin-Off and will equal the amount of Income Incentive Fee that would be payable to RGC if (1) all of the Company’s investments were liquidated for their current value and any unamortized deferred portfolio investment-related fees would be deemed accelerated, (2) the proceeds from such liquidation were used to pay all of the Company’s outstanding liabilities, and (3) the remainder were distributed to the Company’s stockholders and paid as incentive fee in accordance with the Income Incentive Fee described in clauses (1) and (2) above for determining the amount of the Income Incentive Fee; provided, however, that in no event will the Income Incentive Fee paid in connection with the completion of the Public Fund Spin-Off(x) include the portion of the Income Incentive Fee attributable to deferred interest features of a particular investment that is not transferred pursuant to the Public Fund Spin-Off until such time as the deferred interest is received in cash, or (y) exceed 20.0% of the Company’s Pre-Incentive Fee net investment income accrued by the Company for the fiscal quarter as of the date of the completion of the Public-Fund Spin-Off. The Company will make the payment of the Income Incentive Fee paid in connection with the completion of the Public Fund Spin-Off in cash on or immediately following the date of the completion of the Public-Fund Spin-Off. After the Public Fund Spin-Off, all calculations relating to the incentive fee payable will be made beginning on the day immediately following the completion of the Public Fund Spin-Off without taking into account the exchanged shares of the Company’s common stock (or contributions, distributions or proceeds relating thereto).</w:t>
      </w:r>
    </w:p>
    <w:p>
      <w:pPr>
        <w:spacing w:after="0" w:line="18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Capital Gains Fee will be payable in respect of the exchanged shares of the Company’s common stock in connection with the Public Fund Spin-Off and will be calculated as of the date of the completion of the Public Fund Spin-Off as if such date were a calendar year-end for purposes of calculating and paying the Capital Gains Fee.</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No Income Incentive Fee or Capital Gains Fee will be payable in connection with the Public Fund Spin-Off unless, on the date of the completion of the Public Fund Spin-Off, the sum of the Company’s (i) Pre-Incentive Fee net investment income and (ii) realized capital gains less realized capital losses and unrealized capital depreciation from the date of the Company’s election to be regulated as a BDC through, and including, the date of the completion of the Public Fund Spin-Off, is greater than 8.0% of the cumulative net investments made by the Company since the Company’s election to be regulated as a BDC.</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reimburses the Administrator for the allocable portion of overhead and other expenses incurred by the Administrator in performing its obligations under the Administration Agreement, including furnishing the Company with office facilities, equipment and clerical, bookkeeping and recordkeeping services at such facilities, as well as providing other administrative services. In addition, the Company reimburses the Administrator for the fees and expenses associated with performing compliance functions, and the Company’s allocable portion of the compensation of certain of its officers, including the Company’s Chief Financial Officer, Chief Compliance Officer and any administrative support staff.</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Company reimbursed the Administrator $163,842 and $479,382, respectively, during the three and six months ended June 30, 2021. As of June 30, 2021, the Company had accrued a net payable to the Administrator of $116,544. Of the total amount reimbursed and accrued during the three and six months ended June 30, 2021, $151,524 and $437,439, respectively, was related to overhead allocation expense. The Company reimbursed the Administrator $144,206 and $306,329, respectively, during the three and six months ended June 30, 2020. As of June 30, 2020, the Company accrued a net payable to the Administrator of $84,432. Of the total amount reimbursed and accrued during the three and six months ended June 30, 2020, $141,901 and $274,694, respectively, was related to overhead allocation expense. As of December 31, 2020, the Company had accrued a net payable to the Administrator of $143,515. Administration fees, which include fees payable by the Administrator to third-party service providers who provide additional administration services for the Company, were $92,760 and $240,860 for the three and six months ended June 30, 2021, respectively. Administration fees, which include fees payable by the Administrator to third-party service providers who provide additional administration services for the Company, were $121,369 and $245,680 for the three and six months ended June 30, 2020,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has entered into a license agreement with RGC (the “License Agreement”) pursuant to which RGC has granted the Company a personal, non-exclusive, royalty-free right and license to use the name “Runway Growth Credit Fund”. Under the License Agreement, the Company has the right to use the “Runway Growth Credit Fund” name for so long as RGC or one of its affiliates remains the Company’s investment adviser. Other than with respect to this limited license, the Company has no legal right to the “Runway Growth Credit Fund” name.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Oaktree Strategic Relationship</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December 2016, the Company and RGC entered into a strategic relationship with Oaktree Capital Management, L.P. (“Oaktree”). As part of the strategic relationship, OCM Growth Holdings, LLC, a Delaware limited liability company (“OCM”) managed by Oaktree, made an initial $125.0 million capital commitment to the Company, which was subsequently increased to $139.0 million (the “Initial OCM Commitment”). On September 14, 2019, in connection with the Second Private Offering, the Company accepted a capital commitment from OCM in the amount of $112.5 million (the “Subsequent OCM Commitment and, together with the Initial OCM Commitment, the “OCM Commitment”). As of June 30, 2021, OCM owns 18,763,829 shares of our common stock or 57% of our total issued and outstanding shares. Pursuant to an irrevocable proxy, the shares of the Company’s common stock held by OCM must be voted in the same manner that our other stockholders vote their shares.</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connection with the OCM Commitment, the Company entered into a stockholder agreement, dated December 15, 2016, with OCM, pursuant to which OCM has a right to nominate a member of the Company’s Board of Directors for election for so long as OCM holds shares of the Company’s common stock in an amount equal to, in the aggregate, at least one-third (33%) of OCM’s initial $125 million capital commitment. Brian Laibow, Co-Head of North America &amp; Managing Director Opportunities Funds, serves on the Company’s Board of Directors as OCM’s director nominee and is considered an interested director. OCM also holds a minority interest in RGC and has the right to appoint a member of RGC’s board of managers and a member of RGC’s investment committee. Brian Laibow is OCM’s appointee to RGC’s board of managers and investment committee. In connection with the Subsequent OCM Commitment, OCM also purchased additional equity in RGC.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 Measurements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assets and liabilities recorded at fair value have been categorized based upon a fair value hierarchy in accordance with ASC Topic 820. See Note 2 for discussion of the Company’s valuation policies.</w:t>
      </w:r>
    </w:p>
    <w:p>
      <w:pPr>
        <w:sectPr>
          <w:pgSz w:w="11900" w:h="16838" w:orient="portrait"/>
          <w:cols w:equalWidth="0" w:num="1">
            <w:col w:w="9920"/>
          </w:cols>
          <w:pgMar w:left="980" w:top="517"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tables present information about the Company’s assets and liabilities measured at fair value as of June 30, 2021 and December 31, 2020, respectively: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As of June 30, 2021</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42"/>
        </w:trPr>
        <w:tc>
          <w:tcPr>
            <w:tcW w:w="346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Level 3</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46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737,971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14,324,110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15,062,081</w:t>
            </w:r>
          </w:p>
        </w:tc>
      </w:tr>
      <w:tr>
        <w:trPr>
          <w:trHeight w:val="216"/>
        </w:trPr>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Senior Secured Term Loans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530,911,757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530,911,757</w:t>
            </w:r>
          </w:p>
        </w:tc>
      </w:tr>
      <w:tr>
        <w:trPr>
          <w:trHeight w:val="216"/>
        </w:trPr>
        <w:tc>
          <w:tcPr>
            <w:tcW w:w="3460" w:type="dxa"/>
            <w:vAlign w:val="bottom"/>
          </w:tcPr>
          <w:p>
            <w:pPr>
              <w:ind w:left="120"/>
              <w:spacing w:after="0"/>
              <w:rPr>
                <w:sz w:val="20"/>
                <w:szCs w:val="20"/>
                <w:color w:val="auto"/>
              </w:rPr>
            </w:pPr>
            <w:r>
              <w:rPr>
                <w:rFonts w:ascii="Arial" w:cs="Arial" w:eastAsia="Arial" w:hAnsi="Arial"/>
                <w:sz w:val="18"/>
                <w:szCs w:val="18"/>
                <w:color w:val="auto"/>
              </w:rPr>
              <w:t>Preferred Stock</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15,770,278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1,478,566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17,248,844</w:t>
            </w:r>
          </w:p>
        </w:tc>
      </w:tr>
      <w:tr>
        <w:trPr>
          <w:trHeight w:val="216"/>
        </w:trPr>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Warrants</w:t>
            </w:r>
          </w:p>
        </w:tc>
        <w:tc>
          <w:tcPr>
            <w:tcW w:w="1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24,367,115</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24,394,480</w:t>
            </w:r>
          </w:p>
        </w:tc>
      </w:tr>
      <w:tr>
        <w:trPr>
          <w:trHeight w:val="210"/>
        </w:trPr>
        <w:tc>
          <w:tcPr>
            <w:tcW w:w="3460" w:type="dxa"/>
            <w:vAlign w:val="bottom"/>
          </w:tcPr>
          <w:p>
            <w:pPr>
              <w:spacing w:after="0"/>
              <w:rPr>
                <w:sz w:val="20"/>
                <w:szCs w:val="20"/>
                <w:color w:val="auto"/>
              </w:rPr>
            </w:pPr>
            <w:r>
              <w:rPr>
                <w:rFonts w:ascii="Arial" w:cs="Arial" w:eastAsia="Arial" w:hAnsi="Arial"/>
                <w:sz w:val="18"/>
                <w:szCs w:val="18"/>
                <w:b w:val="1"/>
                <w:bCs w:val="1"/>
                <w:color w:val="auto"/>
              </w:rPr>
              <w:t>Total Portfolio Investments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16,508,249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14,351,475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556,757,438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587,617,162</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Treasury Bill</w:t>
            </w:r>
          </w:p>
        </w:tc>
        <w:tc>
          <w:tcPr>
            <w:tcW w:w="1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29,999,881</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29,999,881</w:t>
            </w:r>
          </w:p>
        </w:tc>
      </w:tr>
      <w:tr>
        <w:trPr>
          <w:trHeight w:val="209"/>
        </w:trPr>
        <w:tc>
          <w:tcPr>
            <w:tcW w:w="3460" w:type="dxa"/>
            <w:vAlign w:val="bottom"/>
          </w:tcPr>
          <w:p>
            <w:pPr>
              <w:spacing w:after="0"/>
              <w:rPr>
                <w:sz w:val="20"/>
                <w:szCs w:val="20"/>
                <w:color w:val="auto"/>
              </w:rPr>
            </w:pPr>
            <w:r>
              <w:rPr>
                <w:rFonts w:ascii="Arial" w:cs="Arial" w:eastAsia="Arial" w:hAnsi="Arial"/>
                <w:sz w:val="18"/>
                <w:szCs w:val="18"/>
                <w:b w:val="1"/>
                <w:bCs w:val="1"/>
                <w:color w:val="auto"/>
              </w:rPr>
              <w:t>Total Investments</w:t>
            </w:r>
          </w:p>
        </w:tc>
        <w:tc>
          <w:tcPr>
            <w:tcW w:w="1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46,508,130</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14,351,475</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556,757,438</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617,617,043</w:t>
            </w:r>
          </w:p>
        </w:tc>
      </w:tr>
      <w:tr>
        <w:trPr>
          <w:trHeight w:val="20"/>
        </w:trPr>
        <w:tc>
          <w:tcPr>
            <w:tcW w:w="3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58"/>
        </w:trPr>
        <w:tc>
          <w:tcPr>
            <w:tcW w:w="3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rPr>
              <w:t>As of December 31, 2020</w:t>
            </w: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42"/>
        </w:trPr>
        <w:tc>
          <w:tcPr>
            <w:tcW w:w="346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Level 3</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Total</w:t>
            </w:r>
          </w:p>
        </w:tc>
      </w:tr>
      <w:tr>
        <w:trPr>
          <w:trHeight w:val="209"/>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46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521,940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521,940</w:t>
            </w:r>
          </w:p>
        </w:tc>
      </w:tr>
      <w:tr>
        <w:trPr>
          <w:trHeight w:val="216"/>
        </w:trPr>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Bonds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333,453</w:t>
            </w:r>
          </w:p>
        </w:tc>
      </w:tr>
      <w:tr>
        <w:trPr>
          <w:trHeight w:val="216"/>
        </w:trPr>
        <w:tc>
          <w:tcPr>
            <w:tcW w:w="3460" w:type="dxa"/>
            <w:vAlign w:val="bottom"/>
          </w:tcPr>
          <w:p>
            <w:pPr>
              <w:ind w:left="120"/>
              <w:spacing w:after="0"/>
              <w:rPr>
                <w:sz w:val="20"/>
                <w:szCs w:val="20"/>
                <w:color w:val="auto"/>
              </w:rPr>
            </w:pPr>
            <w:r>
              <w:rPr>
                <w:rFonts w:ascii="Arial" w:cs="Arial" w:eastAsia="Arial" w:hAnsi="Arial"/>
                <w:sz w:val="18"/>
                <w:szCs w:val="18"/>
                <w:color w:val="auto"/>
              </w:rPr>
              <w:t>Senior Secured Term Loans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501,964,657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501,964,657</w:t>
            </w:r>
          </w:p>
        </w:tc>
      </w:tr>
      <w:tr>
        <w:trPr>
          <w:trHeight w:val="216"/>
        </w:trPr>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Stock</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13,230,000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1,429,600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1,336,268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15,995,868</w:t>
            </w:r>
          </w:p>
        </w:tc>
      </w:tr>
      <w:tr>
        <w:trPr>
          <w:trHeight w:val="216"/>
        </w:trPr>
        <w:tc>
          <w:tcPr>
            <w:tcW w:w="34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Warrants</w:t>
            </w:r>
          </w:p>
        </w:tc>
        <w:tc>
          <w:tcPr>
            <w:tcW w:w="13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33,008,672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33,008,672</w:t>
            </w: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13,230,000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2,284,993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536,309,597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551,824,590</w:t>
            </w:r>
          </w:p>
        </w:tc>
      </w:tr>
      <w:tr>
        <w:trPr>
          <w:trHeight w:val="216"/>
        </w:trPr>
        <w:tc>
          <w:tcPr>
            <w:tcW w:w="34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U.S. Treasury Bill</w:t>
            </w:r>
          </w:p>
        </w:tc>
        <w:tc>
          <w:tcPr>
            <w:tcW w:w="13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70,002,060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70,002,060</w:t>
            </w:r>
          </w:p>
        </w:tc>
      </w:tr>
      <w:tr>
        <w:trPr>
          <w:trHeight w:val="210"/>
        </w:trPr>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3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83,232,060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2,284,993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536,309,597</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621,826,650</w:t>
            </w:r>
          </w:p>
        </w:tc>
      </w:tr>
      <w:tr>
        <w:trPr>
          <w:trHeight w:val="20"/>
        </w:trPr>
        <w:tc>
          <w:tcPr>
            <w:tcW w:w="3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recognizes transfers into and out of the levels indicated above at the end of each reporting period. During the period ended June 30, 2021, the Company had a warrant investment converted to a common stock investment, resulting in an asset transfer out of Level 3 and into Level 2 at the fair value of $9,492,345. There were no transfers into or out of the levels during the year ended December 31, 2020.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 rollforward of Level 3 assets measured at fair value as of June 30, 2021: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Preferred</w:t>
            </w:r>
          </w:p>
        </w:tc>
        <w:tc>
          <w:tcPr>
            <w:tcW w:w="80" w:type="dxa"/>
            <w:vAlign w:val="bottom"/>
          </w:tcPr>
          <w:p>
            <w:pPr>
              <w:spacing w:after="0"/>
              <w:rPr>
                <w:sz w:val="14"/>
                <w:szCs w:val="14"/>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Senior Secured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Warrants</w:t>
            </w:r>
          </w:p>
        </w:tc>
        <w:tc>
          <w:tcPr>
            <w:tcW w:w="120" w:type="dxa"/>
            <w:vAlign w:val="bottom"/>
          </w:tcPr>
          <w:p>
            <w:pPr>
              <w:spacing w:after="0"/>
              <w:rPr>
                <w:sz w:val="14"/>
                <w:szCs w:val="14"/>
                <w:color w:val="auto"/>
              </w:rPr>
            </w:pPr>
          </w:p>
        </w:tc>
        <w:tc>
          <w:tcPr>
            <w:tcW w:w="100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Term Loans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Fair value at December 31, 2020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1,336,268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501,964,657</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33,008,672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536,309,597</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w w:val="97"/>
              </w:rPr>
              <w:t>Amortization of fixed income premiums or accretion of discounts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3,661,864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3,661,864</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Purchases of investments</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2,000,000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132,838,824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728,728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135,567,552</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line="216" w:lineRule="exact"/>
              <w:rPr>
                <w:sz w:val="20"/>
                <w:szCs w:val="20"/>
                <w:color w:val="auto"/>
              </w:rPr>
            </w:pPr>
            <w:r>
              <w:rPr>
                <w:rFonts w:ascii="Arial" w:cs="Arial" w:eastAsia="Arial" w:hAnsi="Arial"/>
                <w:sz w:val="17"/>
                <w:szCs w:val="17"/>
                <w:color w:val="auto"/>
              </w:rPr>
              <w:t>Sales or repayments of investments</w:t>
            </w:r>
            <w:r>
              <w:rPr>
                <w:rFonts w:ascii="Arial" w:cs="Arial" w:eastAsia="Arial" w:hAnsi="Arial"/>
                <w:sz w:val="25"/>
                <w:szCs w:val="25"/>
                <w:color w:val="auto"/>
                <w:vertAlign w:val="superscript"/>
              </w:rPr>
              <w:t>(1)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(96,452,874)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(96,452,874)</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Transfers out of Level 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(9,492,345)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(9,492,345)</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Realized (loss)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(490,408)</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(490,408)</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unrealized appreciation (depreciation)</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(1,857,702)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(11,100,714)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612,468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(12,345,948)</w:t>
            </w:r>
          </w:p>
        </w:tc>
        <w:tc>
          <w:tcPr>
            <w:tcW w:w="0" w:type="dxa"/>
            <w:vAlign w:val="bottom"/>
          </w:tcPr>
          <w:p>
            <w:pPr>
              <w:spacing w:after="0"/>
              <w:rPr>
                <w:sz w:val="1"/>
                <w:szCs w:val="1"/>
                <w:color w:val="auto"/>
              </w:rPr>
            </w:pPr>
          </w:p>
        </w:tc>
      </w:tr>
      <w:tr>
        <w:trPr>
          <w:trHeight w:val="249"/>
        </w:trPr>
        <w:tc>
          <w:tcPr>
            <w:tcW w:w="4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Fair value at June 30, 2021</w:t>
            </w:r>
          </w:p>
        </w:tc>
        <w:tc>
          <w:tcPr>
            <w:tcW w:w="2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1,478,566</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530,911,757</w:t>
            </w: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24,367,115</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556,757,438</w:t>
            </w:r>
          </w:p>
        </w:tc>
        <w:tc>
          <w:tcPr>
            <w:tcW w:w="0" w:type="dxa"/>
            <w:vAlign w:val="bottom"/>
          </w:tcPr>
          <w:p>
            <w:pPr>
              <w:spacing w:after="0"/>
              <w:rPr>
                <w:sz w:val="1"/>
                <w:szCs w:val="1"/>
                <w:color w:val="auto"/>
              </w:rPr>
            </w:pPr>
          </w:p>
        </w:tc>
      </w:tr>
      <w:tr>
        <w:trPr>
          <w:trHeight w:val="155"/>
        </w:trPr>
        <w:tc>
          <w:tcPr>
            <w:tcW w:w="4980" w:type="dxa"/>
            <w:vAlign w:val="bottom"/>
            <w:gridSpan w:val="2"/>
            <w:shd w:val="clear" w:color="auto" w:fill="CCEEFF"/>
          </w:tcPr>
          <w:p>
            <w:pPr>
              <w:spacing w:after="0" w:line="155" w:lineRule="exact"/>
              <w:rPr>
                <w:sz w:val="20"/>
                <w:szCs w:val="20"/>
                <w:color w:val="auto"/>
              </w:rPr>
            </w:pPr>
            <w:r>
              <w:rPr>
                <w:rFonts w:ascii="Arial" w:cs="Arial" w:eastAsia="Arial" w:hAnsi="Arial"/>
                <w:sz w:val="17"/>
                <w:szCs w:val="17"/>
                <w:color w:val="auto"/>
              </w:rPr>
              <w:t>Change in unrealized appreciation (depreciation) on Level 3</w:t>
            </w:r>
          </w:p>
        </w:tc>
        <w:tc>
          <w:tcPr>
            <w:tcW w:w="3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142,297</w:t>
            </w:r>
          </w:p>
        </w:tc>
        <w:tc>
          <w:tcPr>
            <w:tcW w:w="80" w:type="dxa"/>
            <w:vAlign w:val="bottom"/>
            <w:shd w:val="clear" w:color="auto" w:fill="CCEEFF"/>
          </w:tcPr>
          <w:p>
            <w:pPr>
              <w:spacing w:after="0"/>
              <w:rPr>
                <w:sz w:val="13"/>
                <w:szCs w:val="13"/>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(9,896,411)</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5"/>
              </w:rPr>
              <w:t>(8,569,068)</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(18,323,182)</w:t>
            </w:r>
          </w:p>
        </w:tc>
        <w:tc>
          <w:tcPr>
            <w:tcW w:w="0" w:type="dxa"/>
            <w:vAlign w:val="bottom"/>
          </w:tcPr>
          <w:p>
            <w:pPr>
              <w:spacing w:after="0"/>
              <w:rPr>
                <w:sz w:val="1"/>
                <w:szCs w:val="1"/>
                <w:color w:val="auto"/>
              </w:rPr>
            </w:pPr>
          </w:p>
        </w:tc>
      </w:tr>
      <w:tr>
        <w:trPr>
          <w:trHeight w:val="217"/>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still held as of June 30, 2021</w:t>
            </w:r>
          </w:p>
        </w:tc>
        <w:tc>
          <w:tcPr>
            <w:tcW w:w="36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480" w:type="dxa"/>
            <w:vAlign w:val="bottom"/>
            <w:tcBorders>
              <w:bottom w:val="single" w:sz="8" w:color="auto"/>
            </w:tcBorders>
          </w:tcPr>
          <w:p>
            <w:pPr>
              <w:spacing w:after="0"/>
              <w:rPr>
                <w:sz w:val="8"/>
                <w:szCs w:val="8"/>
                <w:color w:val="auto"/>
              </w:rPr>
            </w:pPr>
          </w:p>
        </w:tc>
        <w:tc>
          <w:tcPr>
            <w:tcW w:w="2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880" w:right="3740" w:hanging="4548"/>
        <w:spacing w:after="0" w:line="908" w:lineRule="auto"/>
        <w:tabs>
          <w:tab w:leader="none" w:pos="662" w:val="left"/>
        </w:tabs>
        <w:numPr>
          <w:ilvl w:val="0"/>
          <w:numId w:val="15"/>
        </w:numPr>
        <w:rPr>
          <w:rFonts w:ascii="Arial" w:cs="Arial" w:eastAsia="Arial" w:hAnsi="Arial"/>
          <w:sz w:val="27"/>
          <w:szCs w:val="27"/>
          <w:color w:val="auto"/>
          <w:vertAlign w:val="superscript"/>
        </w:rPr>
      </w:pPr>
      <w:r>
        <w:rPr>
          <w:rFonts w:ascii="Arial" w:cs="Arial" w:eastAsia="Arial" w:hAnsi="Arial"/>
          <w:sz w:val="18"/>
          <w:szCs w:val="18"/>
          <w:color w:val="auto"/>
        </w:rPr>
        <w:t>Includes PIK interest, net of reorganization and restructuring of investments.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-204470</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 rollforward of Level 3 assets measured at fair value as of June 30, 2020:</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Preferred</w:t>
            </w:r>
          </w:p>
        </w:tc>
        <w:tc>
          <w:tcPr>
            <w:tcW w:w="80" w:type="dxa"/>
            <w:vAlign w:val="bottom"/>
          </w:tcPr>
          <w:p>
            <w:pPr>
              <w:spacing w:after="0"/>
              <w:rPr>
                <w:sz w:val="14"/>
                <w:szCs w:val="14"/>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Senior Secured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Warrants</w:t>
            </w:r>
          </w:p>
        </w:tc>
        <w:tc>
          <w:tcPr>
            <w:tcW w:w="120" w:type="dxa"/>
            <w:vAlign w:val="bottom"/>
          </w:tcPr>
          <w:p>
            <w:pPr>
              <w:spacing w:after="0"/>
              <w:rPr>
                <w:sz w:val="14"/>
                <w:szCs w:val="14"/>
                <w:color w:val="auto"/>
              </w:rPr>
            </w:pPr>
          </w:p>
        </w:tc>
        <w:tc>
          <w:tcPr>
            <w:tcW w:w="100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Term Loans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Fair value at December 31,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437,515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349,570,424</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18,008,337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368,016,276</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Amortization of fixed income premiums or accretion of discounts</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4,331,997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4,331,997</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Purchases of investments</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18,687,450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77,680,287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2,011,400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98,379,137</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line="216" w:lineRule="exact"/>
              <w:rPr>
                <w:sz w:val="20"/>
                <w:szCs w:val="20"/>
                <w:color w:val="auto"/>
              </w:rPr>
            </w:pPr>
            <w:r>
              <w:rPr>
                <w:rFonts w:ascii="Arial" w:cs="Arial" w:eastAsia="Arial" w:hAnsi="Arial"/>
                <w:sz w:val="17"/>
                <w:szCs w:val="17"/>
                <w:color w:val="auto"/>
              </w:rPr>
              <w:t>Sales or repayments of investments</w:t>
            </w:r>
            <w:r>
              <w:rPr>
                <w:rFonts w:ascii="Arial" w:cs="Arial" w:eastAsia="Arial" w:hAnsi="Arial"/>
                <w:sz w:val="25"/>
                <w:szCs w:val="25"/>
                <w:color w:val="auto"/>
                <w:vertAlign w:val="superscript"/>
              </w:rPr>
              <w:t>(1)</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(57,316,891)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(2,749,949)</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(60,066,840)</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Realized gain (loss)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(7,883,584)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1,179,751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(6,703,833)</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Change in unrealized appreciation (depreciation)</w:t>
            </w: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(1,233,471)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2,652,095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1,815,431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3,234,055</w:t>
            </w: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Fair value at June 30, 2020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17,891,494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369,034,328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20,264,970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407,190,792</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line="195" w:lineRule="exact"/>
              <w:rPr>
                <w:sz w:val="20"/>
                <w:szCs w:val="20"/>
                <w:color w:val="auto"/>
              </w:rPr>
            </w:pPr>
            <w:r>
              <w:rPr>
                <w:rFonts w:ascii="Arial" w:cs="Arial" w:eastAsia="Arial" w:hAnsi="Arial"/>
                <w:sz w:val="18"/>
                <w:szCs w:val="18"/>
                <w:color w:val="auto"/>
              </w:rPr>
              <w:t>Change in unrealized appreciation (depreciation) on Level 3</w:t>
            </w: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180" w:type="dxa"/>
            <w:vAlign w:val="bottom"/>
            <w:gridSpan w:val="2"/>
            <w:vMerge w:val="continue"/>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13,979</w:t>
            </w:r>
          </w:p>
        </w:tc>
        <w:tc>
          <w:tcPr>
            <w:tcW w:w="80" w:type="dxa"/>
            <w:vAlign w:val="bottom"/>
          </w:tcPr>
          <w:p>
            <w:pPr>
              <w:spacing w:after="0"/>
              <w:rPr>
                <w:sz w:val="13"/>
                <w:szCs w:val="13"/>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3,431,640</w:t>
            </w:r>
          </w:p>
        </w:tc>
        <w:tc>
          <w:tcPr>
            <w:tcW w:w="60" w:type="dxa"/>
            <w:vAlign w:val="bottom"/>
          </w:tcPr>
          <w:p>
            <w:pPr>
              <w:spacing w:after="0"/>
              <w:rPr>
                <w:sz w:val="13"/>
                <w:szCs w:val="13"/>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5"/>
              </w:rPr>
              <w:t>(1,855,184)</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1,590,435</w:t>
            </w:r>
          </w:p>
        </w:tc>
        <w:tc>
          <w:tcPr>
            <w:tcW w:w="0" w:type="dxa"/>
            <w:vAlign w:val="bottom"/>
          </w:tcPr>
          <w:p>
            <w:pPr>
              <w:spacing w:after="0"/>
              <w:rPr>
                <w:sz w:val="1"/>
                <w:szCs w:val="1"/>
                <w:color w:val="auto"/>
              </w:rPr>
            </w:pPr>
          </w:p>
        </w:tc>
      </w:tr>
      <w:tr>
        <w:trPr>
          <w:trHeight w:val="217"/>
        </w:trPr>
        <w:tc>
          <w:tcPr>
            <w:tcW w:w="5180" w:type="dxa"/>
            <w:vAlign w:val="bottom"/>
            <w:gridSpan w:val="2"/>
          </w:tcPr>
          <w:p>
            <w:pPr>
              <w:spacing w:after="0"/>
              <w:rPr>
                <w:sz w:val="20"/>
                <w:szCs w:val="20"/>
                <w:color w:val="auto"/>
              </w:rPr>
            </w:pPr>
            <w:r>
              <w:rPr>
                <w:rFonts w:ascii="Arial" w:cs="Arial" w:eastAsia="Arial" w:hAnsi="Arial"/>
                <w:sz w:val="18"/>
                <w:szCs w:val="18"/>
                <w:color w:val="auto"/>
              </w:rPr>
              <w:t>investments still held as of June 30, 2020</w:t>
            </w:r>
          </w:p>
        </w:tc>
        <w:tc>
          <w:tcPr>
            <w:tcW w:w="1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480" w:type="dxa"/>
            <w:vAlign w:val="bottom"/>
            <w:tcBorders>
              <w:bottom w:val="single" w:sz="8" w:color="auto"/>
            </w:tcBorders>
          </w:tcPr>
          <w:p>
            <w:pPr>
              <w:spacing w:after="0"/>
              <w:rPr>
                <w:sz w:val="8"/>
                <w:szCs w:val="8"/>
                <w:color w:val="auto"/>
              </w:rPr>
            </w:pPr>
          </w:p>
        </w:tc>
        <w:tc>
          <w:tcPr>
            <w:tcW w:w="2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line="229" w:lineRule="auto"/>
        <w:tabs>
          <w:tab w:leader="none" w:pos="660" w:val="left"/>
        </w:tabs>
        <w:numPr>
          <w:ilvl w:val="0"/>
          <w:numId w:val="16"/>
        </w:numPr>
        <w:rPr>
          <w:rFonts w:ascii="Arial" w:cs="Arial" w:eastAsia="Arial" w:hAnsi="Arial"/>
          <w:sz w:val="27"/>
          <w:szCs w:val="27"/>
          <w:color w:val="auto"/>
          <w:vertAlign w:val="superscript"/>
        </w:rPr>
      </w:pPr>
      <w:r>
        <w:rPr>
          <w:rFonts w:ascii="Arial" w:cs="Arial" w:eastAsia="Arial" w:hAnsi="Arial"/>
          <w:sz w:val="18"/>
          <w:szCs w:val="18"/>
          <w:color w:val="auto"/>
        </w:rPr>
        <w:t>Includes PIK interest, net of reorganization and restructuring of investments.</w:t>
      </w:r>
    </w:p>
    <w:p>
      <w:pPr>
        <w:spacing w:after="0" w:line="202" w:lineRule="exact"/>
        <w:rPr>
          <w:rFonts w:ascii="Arial" w:cs="Arial" w:eastAsia="Arial" w:hAnsi="Arial"/>
          <w:sz w:val="27"/>
          <w:szCs w:val="27"/>
          <w:color w:val="auto"/>
          <w:vertAlign w:val="superscript"/>
        </w:rPr>
      </w:pPr>
    </w:p>
    <w:p>
      <w:pPr>
        <w:ind w:left="660"/>
        <w:spacing w:after="0"/>
        <w:rPr>
          <w:rFonts w:ascii="Arial" w:cs="Arial" w:eastAsia="Arial" w:hAnsi="Arial"/>
          <w:sz w:val="27"/>
          <w:szCs w:val="27"/>
          <w:color w:val="auto"/>
          <w:vertAlign w:val="superscript"/>
        </w:rPr>
      </w:pPr>
      <w:r>
        <w:rPr>
          <w:rFonts w:ascii="Arial" w:cs="Arial" w:eastAsia="Arial" w:hAnsi="Arial"/>
          <w:sz w:val="17"/>
          <w:szCs w:val="17"/>
          <w:color w:val="auto"/>
        </w:rPr>
        <w:t>The following table provides quantitative information regarding Level 3 fair value measurements as of June 30, 2021: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21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Valuation Technique</w:t>
            </w:r>
          </w:p>
        </w:tc>
        <w:tc>
          <w:tcPr>
            <w:tcW w:w="22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Unobservable Inputs</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8"/>
              </w:rPr>
              <w:t>Range</w:t>
            </w:r>
          </w:p>
        </w:tc>
        <w:tc>
          <w:tcPr>
            <w:tcW w:w="0" w:type="dxa"/>
            <w:vAlign w:val="bottom"/>
          </w:tcPr>
          <w:p>
            <w:pPr>
              <w:spacing w:after="0"/>
              <w:rPr>
                <w:sz w:val="1"/>
                <w:szCs w:val="1"/>
                <w:color w:val="auto"/>
              </w:rPr>
            </w:pPr>
          </w:p>
        </w:tc>
      </w:tr>
      <w:tr>
        <w:trPr>
          <w:trHeight w:val="171"/>
        </w:trPr>
        <w:tc>
          <w:tcPr>
            <w:tcW w:w="2340" w:type="dxa"/>
            <w:vAlign w:val="bottom"/>
            <w:gridSpan w:val="3"/>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5"/>
        </w:trPr>
        <w:tc>
          <w:tcPr>
            <w:tcW w:w="20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Preferred Stock</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Recent private market and</w:t>
            </w:r>
          </w:p>
        </w:tc>
        <w:tc>
          <w:tcPr>
            <w:tcW w:w="140" w:type="dxa"/>
            <w:vAlign w:val="bottom"/>
            <w:tcBorders>
              <w:top w:val="single" w:sz="8" w:color="CCEEFF"/>
            </w:tcBorders>
            <w:shd w:val="clear" w:color="auto" w:fill="CCEEFF"/>
          </w:tcPr>
          <w:p>
            <w:pPr>
              <w:spacing w:after="0"/>
              <w:rPr>
                <w:sz w:val="16"/>
                <w:szCs w:val="16"/>
                <w:color w:val="auto"/>
              </w:rPr>
            </w:pPr>
          </w:p>
        </w:tc>
        <w:tc>
          <w:tcPr>
            <w:tcW w:w="20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merger and acquisition</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gridSpan w:val="3"/>
            <w:shd w:val="clear" w:color="auto" w:fill="CCEEFF"/>
          </w:tcPr>
          <w:p>
            <w:pPr>
              <w:ind w:left="22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1,478,566</w:t>
            </w:r>
          </w:p>
        </w:tc>
        <w:tc>
          <w:tcPr>
            <w:tcW w:w="140" w:type="dxa"/>
            <w:vAlign w:val="bottom"/>
            <w:shd w:val="clear" w:color="auto" w:fill="CCEEFF"/>
          </w:tcPr>
          <w:p>
            <w:pPr>
              <w:spacing w:after="0"/>
              <w:rPr>
                <w:sz w:val="20"/>
                <w:szCs w:val="20"/>
                <w:color w:val="auto"/>
              </w:rPr>
            </w:pP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transaction prices</w:t>
            </w:r>
          </w:p>
        </w:tc>
        <w:tc>
          <w:tcPr>
            <w:tcW w:w="22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N/A</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198"/>
        </w:trPr>
        <w:tc>
          <w:tcPr>
            <w:tcW w:w="234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Senior Secured Term</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gridSpan w:val="2"/>
          </w:tcPr>
          <w:p>
            <w:pPr>
              <w:jc w:val="center"/>
              <w:ind w:right="140"/>
              <w:spacing w:after="0" w:line="198" w:lineRule="exact"/>
              <w:rPr>
                <w:sz w:val="20"/>
                <w:szCs w:val="20"/>
                <w:color w:val="auto"/>
              </w:rPr>
            </w:pPr>
            <w:r>
              <w:rPr>
                <w:rFonts w:ascii="Arial" w:cs="Arial" w:eastAsia="Arial" w:hAnsi="Arial"/>
                <w:sz w:val="18"/>
                <w:szCs w:val="18"/>
                <w:color w:val="auto"/>
                <w:w w:val="91"/>
              </w:rPr>
              <w:t>Discounted cash flow</w:t>
            </w: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40" w:type="dxa"/>
            <w:vAlign w:val="bottom"/>
            <w:gridSpan w:val="3"/>
          </w:tcPr>
          <w:p>
            <w:pPr>
              <w:spacing w:after="0" w:line="235" w:lineRule="exact"/>
              <w:rPr>
                <w:sz w:val="20"/>
                <w:szCs w:val="20"/>
                <w:color w:val="auto"/>
              </w:rPr>
            </w:pPr>
            <w:r>
              <w:rPr>
                <w:rFonts w:ascii="Arial" w:cs="Arial" w:eastAsia="Arial" w:hAnsi="Arial"/>
                <w:sz w:val="18"/>
                <w:szCs w:val="18"/>
                <w:b w:val="1"/>
                <w:bCs w:val="1"/>
                <w:color w:val="auto"/>
              </w:rPr>
              <w:t>Loans</w:t>
            </w:r>
            <w:r>
              <w:rPr>
                <w:rFonts w:ascii="Arial" w:cs="Arial" w:eastAsia="Arial" w:hAnsi="Arial"/>
                <w:sz w:val="26"/>
                <w:szCs w:val="26"/>
                <w:b w:val="1"/>
                <w:bCs w:val="1"/>
                <w:color w:val="auto"/>
                <w:vertAlign w:val="superscript"/>
              </w:rPr>
              <w:t>(1)</w:t>
            </w:r>
          </w:p>
        </w:tc>
        <w:tc>
          <w:tcPr>
            <w:tcW w:w="1000" w:type="dxa"/>
            <w:vAlign w:val="bottom"/>
          </w:tcPr>
          <w:p>
            <w:pPr>
              <w:jc w:val="right"/>
              <w:spacing w:after="0"/>
              <w:rPr>
                <w:sz w:val="20"/>
                <w:szCs w:val="20"/>
                <w:color w:val="auto"/>
              </w:rPr>
            </w:pPr>
            <w:r>
              <w:rPr>
                <w:rFonts w:ascii="Arial" w:cs="Arial" w:eastAsia="Arial" w:hAnsi="Arial"/>
                <w:sz w:val="18"/>
                <w:szCs w:val="18"/>
                <w:color w:val="auto"/>
                <w:w w:val="89"/>
              </w:rPr>
              <w:t>506,199,844</w:t>
            </w:r>
          </w:p>
        </w:tc>
        <w:tc>
          <w:tcPr>
            <w:tcW w:w="140" w:type="dxa"/>
            <w:vAlign w:val="bottom"/>
          </w:tcPr>
          <w:p>
            <w:pPr>
              <w:spacing w:after="0"/>
              <w:rPr>
                <w:sz w:val="20"/>
                <w:szCs w:val="20"/>
                <w:color w:val="auto"/>
              </w:rPr>
            </w:pP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analysis</w:t>
            </w:r>
          </w:p>
        </w:tc>
        <w:tc>
          <w:tcPr>
            <w:tcW w:w="22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Discount rate</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8.6%-100.0% (14.1%)</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Market approach</w:t>
            </w:r>
          </w:p>
        </w:tc>
        <w:tc>
          <w:tcPr>
            <w:tcW w:w="22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6"/>
              </w:rPr>
              <w:t>Origination yield</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6.8%-100.1% (13.2%)</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24,711,913</w:t>
            </w:r>
          </w:p>
        </w:tc>
        <w:tc>
          <w:tcPr>
            <w:tcW w:w="140" w:type="dxa"/>
            <w:vAlign w:val="bottom"/>
          </w:tcPr>
          <w:p>
            <w:pPr>
              <w:spacing w:after="0"/>
              <w:rPr>
                <w:sz w:val="18"/>
                <w:szCs w:val="18"/>
                <w:color w:val="auto"/>
              </w:rPr>
            </w:pP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PWERM</w:t>
            </w:r>
          </w:p>
        </w:tc>
        <w:tc>
          <w:tcPr>
            <w:tcW w:w="22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Discount rate</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27.1%-46.3% (37.8%)</w:t>
            </w:r>
          </w:p>
        </w:tc>
        <w:tc>
          <w:tcPr>
            <w:tcW w:w="0" w:type="dxa"/>
            <w:vAlign w:val="bottom"/>
          </w:tcPr>
          <w:p>
            <w:pPr>
              <w:spacing w:after="0"/>
              <w:rPr>
                <w:sz w:val="1"/>
                <w:szCs w:val="1"/>
                <w:color w:val="auto"/>
              </w:rPr>
            </w:pPr>
          </w:p>
        </w:tc>
      </w:tr>
      <w:tr>
        <w:trPr>
          <w:trHeight w:val="216"/>
        </w:trPr>
        <w:tc>
          <w:tcPr>
            <w:tcW w:w="234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Warrants</w:t>
            </w:r>
            <w:r>
              <w:rPr>
                <w:rFonts w:ascii="Arial" w:cs="Arial" w:eastAsia="Arial" w:hAnsi="Arial"/>
                <w:sz w:val="25"/>
                <w:szCs w:val="25"/>
                <w:b w:val="1"/>
                <w:bCs w:val="1"/>
                <w:color w:val="auto"/>
                <w:vertAlign w:val="superscript"/>
              </w:rPr>
              <w:t>(2)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17,465,202</w:t>
            </w: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4"/>
              </w:rPr>
              <w:t>Option pricing model</w:t>
            </w:r>
          </w:p>
        </w:tc>
        <w:tc>
          <w:tcPr>
            <w:tcW w:w="22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Risk-free interest rate</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0.0%-1.0% (0.1%)</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Average industry volatility</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0.0%-75.0% (50.3%)</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Estimated time to exit</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0.0-5.0 (1.4) years</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Revenue multiples</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0.00x-9.78x (3.59x)</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6,901,913</w:t>
            </w: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5"/>
              </w:rPr>
              <w:t>PWERM</w:t>
            </w:r>
          </w:p>
        </w:tc>
        <w:tc>
          <w:tcPr>
            <w:tcW w:w="22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Discount rate</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30.0%-46.0% (37.0%)</w:t>
            </w:r>
          </w:p>
        </w:tc>
        <w:tc>
          <w:tcPr>
            <w:tcW w:w="0" w:type="dxa"/>
            <w:vAlign w:val="bottom"/>
          </w:tcPr>
          <w:p>
            <w:pPr>
              <w:spacing w:after="0"/>
              <w:rPr>
                <w:sz w:val="1"/>
                <w:szCs w:val="1"/>
                <w:color w:val="auto"/>
              </w:rPr>
            </w:pPr>
          </w:p>
        </w:tc>
      </w:tr>
      <w:tr>
        <w:trPr>
          <w:trHeight w:val="216"/>
        </w:trPr>
        <w:tc>
          <w:tcPr>
            <w:tcW w:w="20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0" w:type="dxa"/>
            <w:vAlign w:val="bottom"/>
            <w:tcBorders>
              <w:bottom w:val="single" w:sz="8" w:color="CCEEFF"/>
            </w:tcBorders>
            <w:gridSpan w:val="2"/>
          </w:tcPr>
          <w:p>
            <w:pPr>
              <w:jc w:val="center"/>
              <w:ind w:right="140"/>
              <w:spacing w:after="0"/>
              <w:rPr>
                <w:sz w:val="20"/>
                <w:szCs w:val="20"/>
                <w:color w:val="auto"/>
              </w:rPr>
            </w:pPr>
            <w:r>
              <w:rPr>
                <w:rFonts w:ascii="Arial" w:cs="Arial" w:eastAsia="Arial" w:hAnsi="Arial"/>
                <w:sz w:val="18"/>
                <w:szCs w:val="18"/>
                <w:color w:val="auto"/>
                <w:w w:val="90"/>
              </w:rPr>
              <w:t>Revenue multiples</w:t>
            </w:r>
          </w:p>
        </w:tc>
        <w:tc>
          <w:tcPr>
            <w:tcW w:w="20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3"/>
              </w:rPr>
              <w:t>3.57x-36.51x (7.33x)</w:t>
            </w:r>
          </w:p>
        </w:tc>
        <w:tc>
          <w:tcPr>
            <w:tcW w:w="0" w:type="dxa"/>
            <w:vAlign w:val="bottom"/>
          </w:tcPr>
          <w:p>
            <w:pPr>
              <w:spacing w:after="0"/>
              <w:rPr>
                <w:sz w:val="1"/>
                <w:szCs w:val="1"/>
                <w:color w:val="auto"/>
              </w:rPr>
            </w:pPr>
          </w:p>
        </w:tc>
      </w:tr>
      <w:tr>
        <w:trPr>
          <w:trHeight w:val="210"/>
        </w:trPr>
        <w:tc>
          <w:tcPr>
            <w:tcW w:w="2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Total Level 3 Investments</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556,757,438</w:t>
            </w:r>
          </w:p>
        </w:tc>
        <w:tc>
          <w:tcPr>
            <w:tcW w:w="14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quantitative information regarding Level 3 fair value measurements as of December 31, 2020: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21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Valuation Technique</w:t>
            </w:r>
          </w:p>
        </w:tc>
        <w:tc>
          <w:tcPr>
            <w:tcW w:w="21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Unobservable Inputs</w:t>
            </w:r>
          </w:p>
        </w:tc>
        <w:tc>
          <w:tcPr>
            <w:tcW w:w="2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Range</w:t>
            </w:r>
          </w:p>
        </w:tc>
        <w:tc>
          <w:tcPr>
            <w:tcW w:w="0" w:type="dxa"/>
            <w:vAlign w:val="bottom"/>
          </w:tcPr>
          <w:p>
            <w:pPr>
              <w:spacing w:after="0"/>
              <w:rPr>
                <w:sz w:val="1"/>
                <w:szCs w:val="1"/>
                <w:color w:val="auto"/>
              </w:rPr>
            </w:pPr>
          </w:p>
        </w:tc>
      </w:tr>
      <w:tr>
        <w:trPr>
          <w:trHeight w:val="171"/>
        </w:trPr>
        <w:tc>
          <w:tcPr>
            <w:tcW w:w="2320" w:type="dxa"/>
            <w:vAlign w:val="bottom"/>
            <w:gridSpan w:val="3"/>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5"/>
        </w:trPr>
        <w:tc>
          <w:tcPr>
            <w:tcW w:w="20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Preferred Stock</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Recent private market and</w:t>
            </w:r>
          </w:p>
        </w:tc>
        <w:tc>
          <w:tcPr>
            <w:tcW w:w="140" w:type="dxa"/>
            <w:vAlign w:val="bottom"/>
            <w:tcBorders>
              <w:top w:val="single" w:sz="8" w:color="CCEEFF"/>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merger and acquisition</w:t>
            </w: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gridSpan w:val="3"/>
            <w:shd w:val="clear" w:color="auto" w:fill="CCEEFF"/>
          </w:tcPr>
          <w:p>
            <w:pPr>
              <w:ind w:left="220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1,336,268</w:t>
            </w:r>
          </w:p>
        </w:tc>
        <w:tc>
          <w:tcPr>
            <w:tcW w:w="140" w:type="dxa"/>
            <w:vAlign w:val="bottom"/>
            <w:shd w:val="clear" w:color="auto" w:fill="CCEEFF"/>
          </w:tcPr>
          <w:p>
            <w:pPr>
              <w:spacing w:after="0"/>
              <w:rPr>
                <w:sz w:val="20"/>
                <w:szCs w:val="20"/>
                <w:color w:val="auto"/>
              </w:rPr>
            </w:pP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transaction prices</w:t>
            </w: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N/A</w:t>
            </w:r>
          </w:p>
        </w:tc>
        <w:tc>
          <w:tcPr>
            <w:tcW w:w="21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198"/>
        </w:trPr>
        <w:tc>
          <w:tcPr>
            <w:tcW w:w="232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Senior Secured Term</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gridSpan w:val="2"/>
          </w:tcPr>
          <w:p>
            <w:pPr>
              <w:jc w:val="center"/>
              <w:ind w:right="140"/>
              <w:spacing w:after="0" w:line="198" w:lineRule="exact"/>
              <w:rPr>
                <w:sz w:val="20"/>
                <w:szCs w:val="20"/>
                <w:color w:val="auto"/>
              </w:rPr>
            </w:pPr>
            <w:r>
              <w:rPr>
                <w:rFonts w:ascii="Arial" w:cs="Arial" w:eastAsia="Arial" w:hAnsi="Arial"/>
                <w:sz w:val="18"/>
                <w:szCs w:val="18"/>
                <w:color w:val="auto"/>
                <w:w w:val="91"/>
              </w:rPr>
              <w:t>Discounted Cash Flow</w:t>
            </w:r>
          </w:p>
        </w:tc>
        <w:tc>
          <w:tcPr>
            <w:tcW w:w="2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gridSpan w:val="3"/>
          </w:tcPr>
          <w:p>
            <w:pPr>
              <w:spacing w:after="0" w:line="235" w:lineRule="exact"/>
              <w:rPr>
                <w:sz w:val="20"/>
                <w:szCs w:val="20"/>
                <w:color w:val="auto"/>
              </w:rPr>
            </w:pPr>
            <w:r>
              <w:rPr>
                <w:rFonts w:ascii="Arial" w:cs="Arial" w:eastAsia="Arial" w:hAnsi="Arial"/>
                <w:sz w:val="18"/>
                <w:szCs w:val="18"/>
                <w:b w:val="1"/>
                <w:bCs w:val="1"/>
                <w:color w:val="auto"/>
              </w:rPr>
              <w:t>Loans</w:t>
            </w:r>
            <w:r>
              <w:rPr>
                <w:rFonts w:ascii="Arial" w:cs="Arial" w:eastAsia="Arial" w:hAnsi="Arial"/>
                <w:sz w:val="26"/>
                <w:szCs w:val="26"/>
                <w:b w:val="1"/>
                <w:bCs w:val="1"/>
                <w:color w:val="auto"/>
                <w:vertAlign w:val="superscript"/>
              </w:rPr>
              <w:t>(1)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471,256,844</w:t>
            </w:r>
          </w:p>
        </w:tc>
        <w:tc>
          <w:tcPr>
            <w:tcW w:w="140" w:type="dxa"/>
            <w:vAlign w:val="bottom"/>
          </w:tcPr>
          <w:p>
            <w:pPr>
              <w:spacing w:after="0"/>
              <w:rPr>
                <w:sz w:val="20"/>
                <w:szCs w:val="20"/>
                <w:color w:val="auto"/>
              </w:rPr>
            </w:pP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analysis</w:t>
            </w: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Discount Rate</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8.0%-100.0% (14.8%)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Market approach</w:t>
            </w: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4"/>
              </w:rPr>
              <w:t>Origination yield</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11.4%-100.1% (14.3%)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30,707,813</w:t>
            </w:r>
          </w:p>
        </w:tc>
        <w:tc>
          <w:tcPr>
            <w:tcW w:w="140" w:type="dxa"/>
            <w:vAlign w:val="bottom"/>
          </w:tcPr>
          <w:p>
            <w:pPr>
              <w:spacing w:after="0"/>
              <w:rPr>
                <w:sz w:val="18"/>
                <w:szCs w:val="18"/>
                <w:color w:val="auto"/>
              </w:rPr>
            </w:pP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PWERM</w:t>
            </w: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Discount Rate</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19.5%-23.8% (20.2%)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Warrants</w:t>
            </w:r>
            <w:r>
              <w:rPr>
                <w:rFonts w:ascii="Arial" w:cs="Arial" w:eastAsia="Arial" w:hAnsi="Arial"/>
                <w:sz w:val="25"/>
                <w:szCs w:val="25"/>
                <w:b w:val="1"/>
                <w:bCs w:val="1"/>
                <w:color w:val="auto"/>
                <w:vertAlign w:val="superscript"/>
              </w:rPr>
              <w:t>(2)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16,803,367</w:t>
            </w: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4"/>
              </w:rPr>
              <w:t>Option pricing model</w:t>
            </w: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Risk-free interest rate</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0.1%-0.8% (0.1%)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Average industry volatility</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35.0%-72.2% (56.0%)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Estimated time to exit</w:t>
            </w: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0.3-9.2 (1.5) years</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Revenue Multiples</w:t>
            </w:r>
          </w:p>
        </w:tc>
        <w:tc>
          <w:tcPr>
            <w:tcW w:w="21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0.00x-5.85x (1.92x)</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16,205,305</w:t>
            </w: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5"/>
              </w:rPr>
              <w:t>PWERM</w:t>
            </w: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Discount Rate</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21.0%-40.0% (27.9%)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gridSpan w:val="2"/>
          </w:tcPr>
          <w:p>
            <w:pPr>
              <w:jc w:val="center"/>
              <w:ind w:right="160"/>
              <w:spacing w:after="0"/>
              <w:rPr>
                <w:sz w:val="20"/>
                <w:szCs w:val="20"/>
                <w:color w:val="auto"/>
              </w:rPr>
            </w:pPr>
            <w:r>
              <w:rPr>
                <w:rFonts w:ascii="Arial" w:cs="Arial" w:eastAsia="Arial" w:hAnsi="Arial"/>
                <w:sz w:val="18"/>
                <w:szCs w:val="18"/>
                <w:color w:val="auto"/>
                <w:w w:val="93"/>
              </w:rPr>
              <w:t>Revenue Multiples</w:t>
            </w:r>
          </w:p>
        </w:tc>
        <w:tc>
          <w:tcPr>
            <w:tcW w:w="210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2"/>
              </w:rPr>
              <w:t>0.00x-51.69x (5.62x)</w:t>
            </w:r>
          </w:p>
        </w:tc>
        <w:tc>
          <w:tcPr>
            <w:tcW w:w="0" w:type="dxa"/>
            <w:vAlign w:val="bottom"/>
          </w:tcPr>
          <w:p>
            <w:pPr>
              <w:spacing w:after="0"/>
              <w:rPr>
                <w:sz w:val="1"/>
                <w:szCs w:val="1"/>
                <w:color w:val="auto"/>
              </w:rPr>
            </w:pPr>
          </w:p>
        </w:tc>
      </w:tr>
      <w:tr>
        <w:trPr>
          <w:trHeight w:val="210"/>
        </w:trPr>
        <w:tc>
          <w:tcPr>
            <w:tcW w:w="2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Total Level 3 Investments</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1"/>
              </w:rPr>
              <w:t>536,309,597</w:t>
            </w:r>
          </w:p>
        </w:tc>
        <w:tc>
          <w:tcPr>
            <w:tcW w:w="14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60" w:hanging="328"/>
        <w:spacing w:after="0" w:line="237" w:lineRule="auto"/>
        <w:tabs>
          <w:tab w:leader="none" w:pos="660" w:val="left"/>
        </w:tabs>
        <w:numPr>
          <w:ilvl w:val="0"/>
          <w:numId w:val="17"/>
        </w:numPr>
        <w:rPr>
          <w:rFonts w:ascii="Arial" w:cs="Arial" w:eastAsia="Arial" w:hAnsi="Arial"/>
          <w:sz w:val="27"/>
          <w:szCs w:val="27"/>
          <w:color w:val="auto"/>
          <w:vertAlign w:val="superscript"/>
        </w:rPr>
      </w:pPr>
      <w:r>
        <w:rPr>
          <w:rFonts w:ascii="Arial" w:cs="Arial" w:eastAsia="Arial" w:hAnsi="Arial"/>
          <w:sz w:val="18"/>
          <w:szCs w:val="18"/>
          <w:color w:val="auto"/>
        </w:rPr>
        <w:t>The significant unobservable inputs used in the fair value measurement of the Company’s debt securities are origination yields and discount rates. The origination yield is defined as the initial market price of an investment in a hypothetical market to hypothetical market participants where buyers and sellers are willing participants. The discount rate is related to company-specific characteristics such as underlying investment performance, projected cash flows, and other characteristics of the investment. Significant increases (decreases) in the inputs in isolation may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w:t>
      </w:r>
    </w:p>
    <w:p>
      <w:pPr>
        <w:spacing w:after="0" w:line="166" w:lineRule="exact"/>
        <w:rPr>
          <w:rFonts w:ascii="Arial" w:cs="Arial" w:eastAsia="Arial" w:hAnsi="Arial"/>
          <w:sz w:val="27"/>
          <w:szCs w:val="27"/>
          <w:color w:val="auto"/>
          <w:vertAlign w:val="superscript"/>
        </w:rPr>
      </w:pPr>
    </w:p>
    <w:p>
      <w:pPr>
        <w:jc w:val="both"/>
        <w:ind w:left="660" w:hanging="328"/>
        <w:spacing w:after="0" w:line="272" w:lineRule="auto"/>
        <w:tabs>
          <w:tab w:leader="none" w:pos="660" w:val="left"/>
        </w:tabs>
        <w:numPr>
          <w:ilvl w:val="0"/>
          <w:numId w:val="17"/>
        </w:numPr>
        <w:rPr>
          <w:rFonts w:ascii="Arial" w:cs="Arial" w:eastAsia="Arial" w:hAnsi="Arial"/>
          <w:sz w:val="24"/>
          <w:szCs w:val="24"/>
          <w:color w:val="auto"/>
          <w:vertAlign w:val="superscript"/>
        </w:rPr>
      </w:pPr>
      <w:r>
        <w:rPr>
          <w:rFonts w:ascii="Arial" w:cs="Arial" w:eastAsia="Arial" w:hAnsi="Arial"/>
          <w:sz w:val="16"/>
          <w:szCs w:val="16"/>
          <w:color w:val="auto"/>
        </w:rPr>
        <w:t>The significant unobservable inputs used in the fair value measurement of the Company’s warrant and equity-related securities are inputs used in the option pricing model (“OPM”), which include industry volatility, risk free interest rate and estimated time to exit. The Equity Allocation model and the Black Scholes model were the main OPMs used during the period ended June 30, 2021 and the year ended December 31, 2020. Probability Weighted Expected Return Models (“PWERM”) and other techniques were used as determined appropriate. Significant increases (decreases) in the inputs in isolation would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 For some investments, additional consideration may be given to data from the last round of financing or merger/acquisition events near the measurement date.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 Financial Instruments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the normal course of business, the Company may utilize derivative contracts in connection with its investment activities. Investments in derivative contracts are subject to additional risks that can result in a loss of all or part of an investment. The derivative activities and exposure to derivative contracts primarily involve equity price risks. In addition to the primary underlying risk, additional counterparty risk exists due to the potential inability of counterparties to meet the terms of their contracts.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Warrants provide exposure and potential gains upon equity appreciation of the portfolio company’s equity value. A warrant has a limited life and expires on a certain date. As a warrant’s expiration date approaches, the time value of the warrant will decline. In addition, if the stock underlying the warrant declines in price, the intrinsic value of an “in the money” warrant will decline. Further, if the price of the stock underlying the warrant does not exceed the strike price of the warrant on the expiration date, the warrant will expire worthless. As a result, there is the potential for the entire value of an investment in a warrant to be lost. The Company’s volume of warrant investment activity is closely correlated to its primary senior secured loans to portfolio companies. For the three and six months ended June 30, 2021, the Company had a net realized loss of $273,798 and $490,408, respectively, and a net change in unrealized appreciation of $2,875,080 and $612,468, respectively, from its investments in warrants. For the three and six months ended June 30, 2020, the Company had net realized gains of $0 and $1,179,751, respectively, and a net change in unrealized appreciation of $3,445,598 and $1,815,431, respectively, from its investments in warrants. Realized loss from warrants is included in Realized gain (loss) on non-control/non-affiliate investments, including U.S. Treasury Bills on the Statement of Operations. Net change in unrealized appreciaiont/depreciation from investments in warrants is included in Net Change in unrealized appreciation (depreciation) on non-control/non-affiliate investments, including U.S. Treasury Bills.</w:t>
      </w:r>
    </w:p>
    <w:p>
      <w:pPr>
        <w:spacing w:after="0" w:line="18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Counterparty risk exists from the potential failure of an issuer of warrants to settle its exercised warrants. The maximum risk of loss from counterparty risk is the fair value of the contracts and the purchase price of the warrants. The Company’s Board of Directors considers the effects of counterparty risk when determining the fair value of its investments in warrants.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Credit Facilities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31, 2019, the Company entered into a Credit Agreement (the “Credit Agreement”) by and among the Company, as borrower, KeyBank National Association, as administrative agent, syndication agent, and a lender, CIBC Bank USA (“CIBC”), as documentation agent and a lender, U.S. Bank National Association, as paying agent, the guarantors from time to time party thereto, and the other lenders from time to time party thereto.</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Credit Agreement provides for borrowings up to a maximum aggregate principal amount of $100 million, subject to availability under a borrowing base that is determined by the number and value of eligible loan investments in the collateral, applicable advance rates and concentration limits, and certain cash and cash equivalent holdings of the Company. The Credit Agreement has an accordion feature that allows the Company to increase the aggregate commitments up to $200 million, subject to new or existing lenders agreeing to participate in the increase and other customary conditions. There can be no assurances that existing lenders will agree to such an increase, or that additional lenders will join the credit facility to increase available borrowings.</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Borrowings under the Credit Agreement bear interest on a per annum basis equal to a three-month adjusted LIBOR rate (with a LIBOR floor of zero), plus an applicable margin rate that varies from 3.00% to 2.50% per annum depending on utilization and other factors. During the availability period, the applicable margin rate (i) is 3.00% per annum for interest periods during which the average utilization is less than 60% and (ii) varies from 3.00% to 2.50% per annum when the average utilization equals or exceeds 60% (with 3.00% applying when the eligible loans in the collateral consist of 9 or fewer unaffiliated obligors, 2.75% applying when the eligible loans consist of between 10 and 29 unaffiliated obligors, and 2.50% applying when the eligible loans consist of 30 or more unaffiliated obligors). During the amortization period, the applicable margin rate will be 3.00%. If certain eurodollar disruption events occur, then borrowings under the Credit Agreement will bear interest on a per annum basis equal to (i) a base rate instead of LIBOR that is set at the higher of (x) the federal funds rate plus 0.50% and (y) the prime rate, plus (ii) the applicable margin rate discussed above. Interest is payable quarterly in arrears. The Company also pays unused commitment fees of 0.50% per annum on the unused lender commitments under the Credit Agreement, as well as a minimum earnings fee of 3.00% that will be payable annually in arrears, starting on May 31, 2021, on the average unused commitments below 60% of the aggregate commitments during the preceding 12-month period.</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availability period under the Credit Agreement expires on May 31, 2022 and is followed by a two-year amortization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stated maturity date under the Credit Agreement is May 31, 2024.</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November 10, 2020, Company entered into an amendment (the "November Credit Facility Amendment") to the Credit Agreement. The November Credit Facility Amendment amended the Credit Agreement to, among other things: (i) increase the size of the aggregate commitments under the Credit Facility to $175 million from $100 million; (ii) add MUFG Union Bank, N.A. as a new lender and co-documentation agent under the Credit Agreement; (iii) revise the interest rate margin to be 3.00% for the remaining term of the Credit Facility regardless of the Credit Facility average utilization or the number of unaffiliated obligors on loans in the collateral; (iv) permit the Company to obtain a future subscription line of credit of up to $50 million; (v) revise the LIBOR replacement provisions; (vi) implement a 0.50% LIBOR floor and benchmark replacement rate floor on borrowings under the Credit Agreement; and (vii) revise certain of the borrowing base concentration limits.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December 2, 2020, the Company entered into an amendment (the “December Credit Facility Amendment”) to the Credit Agreement. The December Credit Facility Amendment amended the Credit Agreement to: (i) increase the size of the aggregate commitments under the Credit Facility to $215 million from $175 million; (ii) increase the accordion amount under the Credit Facility from a $200 million maximum aggregate commitment amount to a $300 million maximum aggregate commitment amount; and (iii) add Bank of Hope and First Foundation Bank as new Lenders and Managing Agents under the Credit Agreement. Borrowing under the Credit Facility remains subject to the leverage restrictions contained in the 1940 Act.</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June 1, 2021, the Company entered into an amendment (the “June Credit Facility Amendment”) to the Credit Agreement. The June Credit Facility Amendment amended the Credit Agreement to: (i) allow the Company to incur permitted indebtedness without the prior written consent of the Keybank National Association, as administrative agent, subject to the limitations described in the Credit Agreement; (ii) increase the accordion amount under the Credit Agreement from a $300 million maximum aggregate commitment amount to a $350 million maximum aggregate commitment amount; and (iii) amend certain other terms of the Credit Agreement.</w:t>
      </w:r>
    </w:p>
    <w:p>
      <w:pPr>
        <w:spacing w:after="0" w:line="16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Credit Agreement is secured by a perfected first priority security interest in substantially all of the Company’s assets and portfolio investments.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Credit Agreement contains certain customary covenants and events of default for secured revolving credit facilities of this nature, including, without limitation, maintenance of a tangible net worth as of the last day of each fiscal quarter in excess of the greater of (i) $125 million plus 75% of the net proceeds of sales of equity interests in the Company and (ii) the loan balance of the Company’s four largest obligors; maintenance of an asset coverage ratio as of the last day of each fiscal quarter that equals or exceeds the greater of 150% and the ratio otherwise applicable to the Company under the 1940 Act; maintenance of an interest coverage ratio as of the last day of each fiscal quarter of 2.00 to 1.00; maintenance of a minimum liquidity amount as of the last day of each fiscal quarter; net</w:t>
      </w:r>
    </w:p>
    <w:p>
      <w:pPr>
        <w:sectPr>
          <w:pgSz w:w="11900" w:h="16838" w:orient="portrait"/>
          <w:cols w:equalWidth="0" w:num="1">
            <w:col w:w="9920"/>
          </w:cols>
          <w:pgMar w:left="980" w:top="517"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not being negative for two consecutive fiscal quarters or any trailing 12-month period; a limitation on incurring additional indebtedness without the prior written consent of the administrative agent (subject to limited exceptions); certain change-of-control events occur at the Company or the Company’s investment adviser; the departure of certain key persons from the Company or the Company’s investment adviser; RGC ceases to be the Company’s investment adviser; maintenance of business-development-company status and regulated-investment-company status; nonpayment; misrepresentation of representations and warranties; breach of covenant; and certain bankruptcy and liquidation events.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three and six months ended June 30, 2021, the weighted average outstanding debt balance was $86,010,989 and $84,359,116, respectively, and the weighted average effective interest rate under the Credit Agreement and Credit Facilities was 3.5% and 3.5%, respectively. For the three and six months ended June 30, 2020, the weighted average outstanding debt balance was $274,725 and $3,906,593, respectively, and the weighted average effective interest rate under the Credit Agreement and Credit Facilities was 3.98% and 4.88%, respectively.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of June 30, 2021, the Company had $117,000,000 outstanding under the Credit Agreement with maturity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Loan Facility</w:t>
            </w: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Date of</w:t>
            </w: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Due Date</w:t>
            </w:r>
          </w:p>
        </w:tc>
        <w:tc>
          <w:tcPr>
            <w:tcW w:w="20" w:type="dxa"/>
            <w:vAlign w:val="bottom"/>
          </w:tcPr>
          <w:p>
            <w:pPr>
              <w:spacing w:after="0"/>
              <w:rPr>
                <w:sz w:val="14"/>
                <w:szCs w:val="14"/>
                <w:color w:val="auto"/>
              </w:rPr>
            </w:pPr>
          </w:p>
        </w:tc>
        <w:tc>
          <w:tcPr>
            <w:tcW w:w="110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700" w:type="dxa"/>
            <w:vAlign w:val="bottom"/>
            <w:gridSpan w:val="2"/>
            <w:vMerge w:val="restart"/>
          </w:tcPr>
          <w:p>
            <w:pPr>
              <w:jc w:val="right"/>
              <w:ind w:right="19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71"/>
        </w:trPr>
        <w:tc>
          <w:tcPr>
            <w:tcW w:w="6040" w:type="dxa"/>
            <w:vAlign w:val="bottom"/>
            <w:gridSpan w:val="2"/>
            <w:vMerge w:val="continue"/>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Advance</w:t>
            </w:r>
          </w:p>
        </w:tc>
        <w:tc>
          <w:tcPr>
            <w:tcW w:w="9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KeyBank National Association Loan Facility</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6/30/2020</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5/31/2022</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$ 117,000,000</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9"/>
        </w:trPr>
        <w:tc>
          <w:tcPr>
            <w:tcW w:w="5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$ 117,000,000</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2020, the Company had $99,000,000 outstanding under the Credit Agreement with maturity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Loan Facility</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4"/>
          </w:tcPr>
          <w:p>
            <w:pPr>
              <w:jc w:val="right"/>
              <w:ind w:right="350"/>
              <w:spacing w:after="0"/>
              <w:rPr>
                <w:sz w:val="20"/>
                <w:szCs w:val="20"/>
                <w:color w:val="auto"/>
              </w:rPr>
            </w:pPr>
            <w:r>
              <w:rPr>
                <w:rFonts w:ascii="Arial" w:cs="Arial" w:eastAsia="Arial" w:hAnsi="Arial"/>
                <w:sz w:val="14"/>
                <w:szCs w:val="14"/>
                <w:b w:val="1"/>
                <w:bCs w:val="1"/>
                <w:color w:val="auto"/>
              </w:rPr>
              <w:t>Date of</w:t>
            </w:r>
          </w:p>
        </w:tc>
        <w:tc>
          <w:tcPr>
            <w:tcW w:w="960" w:type="dxa"/>
            <w:vAlign w:val="bottom"/>
            <w:gridSpan w:val="5"/>
            <w:vMerge w:val="restart"/>
          </w:tcPr>
          <w:p>
            <w:pPr>
              <w:jc w:val="right"/>
              <w:ind w:right="290"/>
              <w:spacing w:after="0"/>
              <w:rPr>
                <w:sz w:val="20"/>
                <w:szCs w:val="20"/>
                <w:color w:val="auto"/>
              </w:rPr>
            </w:pPr>
            <w:r>
              <w:rPr>
                <w:rFonts w:ascii="Arial" w:cs="Arial" w:eastAsia="Arial" w:hAnsi="Arial"/>
                <w:sz w:val="14"/>
                <w:szCs w:val="14"/>
                <w:b w:val="1"/>
                <w:bCs w:val="1"/>
                <w:color w:val="auto"/>
                <w:w w:val="92"/>
              </w:rPr>
              <w:t>Due Date</w:t>
            </w:r>
          </w:p>
        </w:tc>
        <w:tc>
          <w:tcPr>
            <w:tcW w:w="74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3"/>
            <w:vMerge w:val="restart"/>
          </w:tcPr>
          <w:p>
            <w:pPr>
              <w:jc w:val="right"/>
              <w:ind w:right="19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71"/>
        </w:trPr>
        <w:tc>
          <w:tcPr>
            <w:tcW w:w="3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4"/>
          </w:tcPr>
          <w:p>
            <w:pPr>
              <w:jc w:val="right"/>
              <w:ind w:right="310"/>
              <w:spacing w:after="0"/>
              <w:rPr>
                <w:sz w:val="20"/>
                <w:szCs w:val="20"/>
                <w:color w:val="auto"/>
              </w:rPr>
            </w:pPr>
            <w:r>
              <w:rPr>
                <w:rFonts w:ascii="Arial" w:cs="Arial" w:eastAsia="Arial" w:hAnsi="Arial"/>
                <w:sz w:val="14"/>
                <w:szCs w:val="14"/>
                <w:b w:val="1"/>
                <w:bCs w:val="1"/>
                <w:color w:val="auto"/>
              </w:rPr>
              <w:t>Advance</w:t>
            </w:r>
          </w:p>
        </w:tc>
        <w:tc>
          <w:tcPr>
            <w:tcW w:w="960" w:type="dxa"/>
            <w:vAlign w:val="bottom"/>
            <w:gridSpan w:val="5"/>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9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KeyBank National Association Loan Facility</w:t>
            </w: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6/30/2020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2"/>
              </w:rPr>
              <w:t>5/31/2022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99,000,000</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2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99,000,000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11 – Financial Highlights</w:t>
            </w: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9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50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24"/>
                <w:szCs w:val="24"/>
                <w:color w:val="auto"/>
              </w:rPr>
            </w:pPr>
          </w:p>
        </w:tc>
        <w:tc>
          <w:tcPr>
            <w:tcW w:w="1360" w:type="dxa"/>
            <w:vAlign w:val="bottom"/>
            <w:gridSpan w:val="6"/>
          </w:tcPr>
          <w:p>
            <w:pPr>
              <w:ind w:left="2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24"/>
                <w:szCs w:val="24"/>
                <w:color w:val="auto"/>
              </w:rPr>
            </w:pPr>
          </w:p>
        </w:tc>
        <w:tc>
          <w:tcPr>
            <w:tcW w:w="1400" w:type="dxa"/>
            <w:vAlign w:val="bottom"/>
            <w:gridSpan w:val="7"/>
          </w:tcPr>
          <w:p>
            <w:pPr>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June 30,</w:t>
            </w:r>
          </w:p>
        </w:tc>
        <w:tc>
          <w:tcPr>
            <w:tcW w:w="280" w:type="dxa"/>
            <w:vAlign w:val="bottom"/>
          </w:tcPr>
          <w:p>
            <w:pPr>
              <w:spacing w:after="0"/>
              <w:rPr>
                <w:sz w:val="12"/>
                <w:szCs w:val="12"/>
                <w:color w:val="auto"/>
              </w:rPr>
            </w:pPr>
          </w:p>
        </w:tc>
        <w:tc>
          <w:tcPr>
            <w:tcW w:w="1220" w:type="dxa"/>
            <w:vAlign w:val="bottom"/>
            <w:gridSpan w:val="5"/>
          </w:tcPr>
          <w:p>
            <w:pPr>
              <w:jc w:val="center"/>
              <w:ind w:right="390"/>
              <w:spacing w:after="0" w:line="149" w:lineRule="exact"/>
              <w:rPr>
                <w:sz w:val="20"/>
                <w:szCs w:val="20"/>
                <w:color w:val="auto"/>
              </w:rPr>
            </w:pPr>
            <w:r>
              <w:rPr>
                <w:rFonts w:ascii="Arial" w:cs="Arial" w:eastAsia="Arial" w:hAnsi="Arial"/>
                <w:sz w:val="14"/>
                <w:szCs w:val="14"/>
                <w:b w:val="1"/>
                <w:bCs w:val="1"/>
                <w:color w:val="auto"/>
                <w:w w:val="89"/>
              </w:rPr>
              <w:t>June 30,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June 30,</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6"/>
          </w:tcPr>
          <w:p>
            <w:pPr>
              <w:jc w:val="center"/>
              <w:ind w:right="430"/>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6"/>
              </w:rPr>
              <w:t>2021</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center"/>
              <w:ind w:right="102"/>
              <w:spacing w:after="0" w:line="149"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center"/>
              <w:ind w:left="137"/>
              <w:spacing w:after="0" w:line="149" w:lineRule="exact"/>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gridSpan w:val="3"/>
          </w:tcPr>
          <w:p>
            <w:pPr>
              <w:jc w:val="center"/>
              <w:ind w:left="120"/>
              <w:spacing w:after="0" w:line="149" w:lineRule="exact"/>
              <w:rPr>
                <w:sz w:val="20"/>
                <w:szCs w:val="20"/>
                <w:color w:val="auto"/>
              </w:rPr>
            </w:pPr>
            <w:r>
              <w:rPr>
                <w:rFonts w:ascii="Arial" w:cs="Arial" w:eastAsia="Arial" w:hAnsi="Arial"/>
                <w:sz w:val="14"/>
                <w:szCs w:val="14"/>
                <w:b w:val="1"/>
                <w:bCs w:val="1"/>
                <w:color w:val="auto"/>
                <w:w w:val="89"/>
              </w:rPr>
              <w:t>2020</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(Unaudited)</w:t>
            </w:r>
          </w:p>
        </w:tc>
        <w:tc>
          <w:tcPr>
            <w:tcW w:w="280" w:type="dxa"/>
            <w:vAlign w:val="bottom"/>
          </w:tcPr>
          <w:p>
            <w:pPr>
              <w:spacing w:after="0"/>
              <w:rPr>
                <w:sz w:val="14"/>
                <w:szCs w:val="14"/>
                <w:color w:val="auto"/>
              </w:rPr>
            </w:pPr>
          </w:p>
        </w:tc>
        <w:tc>
          <w:tcPr>
            <w:tcW w:w="1220" w:type="dxa"/>
            <w:vAlign w:val="bottom"/>
            <w:gridSpan w:val="5"/>
          </w:tcPr>
          <w:p>
            <w:pPr>
              <w:jc w:val="center"/>
              <w:ind w:right="350"/>
              <w:spacing w:after="0"/>
              <w:rPr>
                <w:sz w:val="20"/>
                <w:szCs w:val="20"/>
                <w:color w:val="auto"/>
              </w:rPr>
            </w:pPr>
            <w:r>
              <w:rPr>
                <w:rFonts w:ascii="Arial" w:cs="Arial" w:eastAsia="Arial" w:hAnsi="Arial"/>
                <w:sz w:val="14"/>
                <w:szCs w:val="14"/>
                <w:b w:val="1"/>
                <w:bCs w:val="1"/>
                <w:color w:val="auto"/>
                <w:w w:val="95"/>
              </w:rPr>
              <w:t>(Unaudited)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(Unaudited)</w:t>
            </w:r>
          </w:p>
        </w:tc>
        <w:tc>
          <w:tcPr>
            <w:tcW w:w="40" w:type="dxa"/>
            <w:vAlign w:val="bottom"/>
          </w:tcPr>
          <w:p>
            <w:pPr>
              <w:spacing w:after="0"/>
              <w:rPr>
                <w:sz w:val="14"/>
                <w:szCs w:val="14"/>
                <w:color w:val="auto"/>
              </w:rPr>
            </w:pPr>
          </w:p>
        </w:tc>
        <w:tc>
          <w:tcPr>
            <w:tcW w:w="1400" w:type="dxa"/>
            <w:vAlign w:val="bottom"/>
            <w:gridSpan w:val="7"/>
          </w:tcPr>
          <w:p>
            <w:pPr>
              <w:jc w:val="center"/>
              <w:ind w:right="17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196"/>
        </w:trPr>
        <w:tc>
          <w:tcPr>
            <w:tcW w:w="3900" w:type="dxa"/>
            <w:vAlign w:val="bottom"/>
            <w:tcBorders>
              <w:top w:val="single" w:sz="8" w:color="CCEEFF"/>
            </w:tcBorders>
            <w:gridSpan w:val="2"/>
            <w:shd w:val="clear" w:color="auto" w:fill="CCEEFF"/>
          </w:tcPr>
          <w:p>
            <w:pPr>
              <w:spacing w:after="0" w:line="195" w:lineRule="exact"/>
              <w:rPr>
                <w:sz w:val="20"/>
                <w:szCs w:val="20"/>
                <w:color w:val="auto"/>
              </w:rPr>
            </w:pPr>
            <w:r>
              <w:rPr>
                <w:rFonts w:ascii="Arial" w:cs="Arial" w:eastAsia="Arial" w:hAnsi="Arial"/>
                <w:sz w:val="15"/>
                <w:szCs w:val="15"/>
                <w:b w:val="1"/>
                <w:bCs w:val="1"/>
                <w:color w:val="auto"/>
              </w:rPr>
              <w:t>Per Share Data</w:t>
            </w:r>
            <w:r>
              <w:rPr>
                <w:rFonts w:ascii="Arial" w:cs="Arial" w:eastAsia="Arial" w:hAnsi="Arial"/>
                <w:sz w:val="22"/>
                <w:szCs w:val="22"/>
                <w:b w:val="1"/>
                <w:bCs w:val="1"/>
                <w:color w:val="auto"/>
                <w:vertAlign w:val="superscript"/>
              </w:rPr>
              <w:t>(1)</w:t>
            </w:r>
            <w:r>
              <w:rPr>
                <w:rFonts w:ascii="Arial" w:cs="Arial" w:eastAsia="Arial" w:hAnsi="Arial"/>
                <w:sz w:val="15"/>
                <w:szCs w:val="15"/>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gridSpan w:val="2"/>
          </w:tcPr>
          <w:p>
            <w:pPr>
              <w:spacing w:after="0"/>
              <w:rPr>
                <w:sz w:val="20"/>
                <w:szCs w:val="20"/>
                <w:color w:val="auto"/>
              </w:rPr>
            </w:pPr>
            <w:r>
              <w:rPr>
                <w:rFonts w:ascii="Arial" w:cs="Arial" w:eastAsia="Arial" w:hAnsi="Arial"/>
                <w:sz w:val="17"/>
                <w:szCs w:val="17"/>
                <w:color w:val="auto"/>
              </w:rPr>
              <w:t>Net asset value at beginning of period</w:t>
            </w:r>
          </w:p>
        </w:tc>
        <w:tc>
          <w:tcPr>
            <w:tcW w:w="30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14.77</w:t>
            </w:r>
          </w:p>
        </w:tc>
        <w:tc>
          <w:tcPr>
            <w:tcW w:w="24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7"/>
                <w:szCs w:val="17"/>
                <w:color w:val="auto"/>
              </w:rPr>
              <w:t>14.25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1000" w:type="dxa"/>
            <w:vAlign w:val="bottom"/>
            <w:gridSpan w:val="4"/>
          </w:tcPr>
          <w:p>
            <w:pPr>
              <w:jc w:val="right"/>
              <w:spacing w:after="0"/>
              <w:rPr>
                <w:sz w:val="20"/>
                <w:szCs w:val="20"/>
                <w:color w:val="auto"/>
              </w:rPr>
            </w:pPr>
            <w:r>
              <w:rPr>
                <w:rFonts w:ascii="Arial" w:cs="Arial" w:eastAsia="Arial" w:hAnsi="Arial"/>
                <w:sz w:val="17"/>
                <w:szCs w:val="17"/>
                <w:color w:val="auto"/>
              </w:rPr>
              <w:t>14.84</w:t>
            </w:r>
          </w:p>
        </w:tc>
        <w:tc>
          <w:tcPr>
            <w:tcW w:w="200" w:type="dxa"/>
            <w:vAlign w:val="bottom"/>
          </w:tcPr>
          <w:p>
            <w:pPr>
              <w:spacing w:after="0"/>
              <w:rPr>
                <w:sz w:val="17"/>
                <w:szCs w:val="17"/>
                <w:color w:val="auto"/>
              </w:rPr>
            </w:pPr>
          </w:p>
        </w:tc>
        <w:tc>
          <w:tcPr>
            <w:tcW w:w="28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14.58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Net investment income</w:t>
            </w:r>
            <w:r>
              <w:rPr>
                <w:rFonts w:ascii="Arial" w:cs="Arial" w:eastAsia="Arial" w:hAnsi="Arial"/>
                <w:sz w:val="23"/>
                <w:szCs w:val="23"/>
                <w:color w:val="auto"/>
                <w:vertAlign w:val="superscript"/>
              </w:rPr>
              <w:t>(3)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0.35</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0.30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0.71</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gridSpan w:val="2"/>
          </w:tcPr>
          <w:p>
            <w:pPr>
              <w:spacing w:after="0"/>
              <w:rPr>
                <w:sz w:val="20"/>
                <w:szCs w:val="20"/>
                <w:color w:val="auto"/>
              </w:rPr>
            </w:pPr>
            <w:r>
              <w:rPr>
                <w:rFonts w:ascii="Arial" w:cs="Arial" w:eastAsia="Arial" w:hAnsi="Arial"/>
                <w:sz w:val="17"/>
                <w:szCs w:val="17"/>
                <w:color w:val="auto"/>
              </w:rPr>
              <w:t>Realized gain (loss)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(0.14)</w:t>
            </w:r>
          </w:p>
        </w:tc>
        <w:tc>
          <w:tcPr>
            <w:tcW w:w="280" w:type="dxa"/>
            <w:vAlign w:val="bottom"/>
          </w:tcPr>
          <w:p>
            <w:pPr>
              <w:spacing w:after="0"/>
              <w:rPr>
                <w:sz w:val="17"/>
                <w:szCs w:val="17"/>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7"/>
                <w:szCs w:val="17"/>
                <w:color w:val="auto"/>
              </w:rPr>
              <w:t>0.01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5"/>
          </w:tcPr>
          <w:p>
            <w:pPr>
              <w:jc w:val="right"/>
              <w:ind w:right="200"/>
              <w:spacing w:after="0"/>
              <w:rPr>
                <w:sz w:val="20"/>
                <w:szCs w:val="20"/>
                <w:color w:val="auto"/>
              </w:rPr>
            </w:pPr>
            <w:r>
              <w:rPr>
                <w:rFonts w:ascii="Arial" w:cs="Arial" w:eastAsia="Arial" w:hAnsi="Arial"/>
                <w:sz w:val="17"/>
                <w:szCs w:val="17"/>
                <w:color w:val="auto"/>
              </w:rPr>
              <w:t>(0.15)</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w w:val="94"/>
              </w:rPr>
              <w:t>(0.25)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Change in unrealized appreciation (depreciation)</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0.21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5"/>
            <w:shd w:val="clear" w:color="auto" w:fill="CCEEFF"/>
          </w:tcPr>
          <w:p>
            <w:pPr>
              <w:jc w:val="right"/>
              <w:ind w:right="200"/>
              <w:spacing w:after="0"/>
              <w:rPr>
                <w:sz w:val="20"/>
                <w:szCs w:val="20"/>
                <w:color w:val="auto"/>
              </w:rPr>
            </w:pPr>
            <w:r>
              <w:rPr>
                <w:rFonts w:ascii="Arial" w:cs="Arial" w:eastAsia="Arial" w:hAnsi="Arial"/>
                <w:sz w:val="17"/>
                <w:szCs w:val="17"/>
                <w:color w:val="auto"/>
              </w:rPr>
              <w:t>(0.06)</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00" w:type="dxa"/>
            <w:vAlign w:val="bottom"/>
            <w:gridSpan w:val="2"/>
          </w:tcPr>
          <w:p>
            <w:pPr>
              <w:spacing w:after="0"/>
              <w:rPr>
                <w:sz w:val="20"/>
                <w:szCs w:val="20"/>
                <w:color w:val="auto"/>
              </w:rPr>
            </w:pPr>
            <w:r>
              <w:rPr>
                <w:rFonts w:ascii="Arial" w:cs="Arial" w:eastAsia="Arial" w:hAnsi="Arial"/>
                <w:sz w:val="17"/>
                <w:szCs w:val="17"/>
                <w:color w:val="auto"/>
              </w:rPr>
              <w:t>Dividends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(0.37)</w:t>
            </w:r>
          </w:p>
        </w:tc>
        <w:tc>
          <w:tcPr>
            <w:tcW w:w="280" w:type="dxa"/>
            <w:vAlign w:val="bottom"/>
          </w:tcPr>
          <w:p>
            <w:pPr>
              <w:spacing w:after="0"/>
              <w:rPr>
                <w:sz w:val="17"/>
                <w:szCs w:val="17"/>
                <w:color w:val="auto"/>
              </w:rPr>
            </w:pPr>
          </w:p>
        </w:tc>
        <w:tc>
          <w:tcPr>
            <w:tcW w:w="1100" w:type="dxa"/>
            <w:vAlign w:val="bottom"/>
            <w:gridSpan w:val="4"/>
          </w:tcPr>
          <w:p>
            <w:pPr>
              <w:jc w:val="right"/>
              <w:spacing w:after="0"/>
              <w:rPr>
                <w:sz w:val="20"/>
                <w:szCs w:val="20"/>
                <w:color w:val="auto"/>
              </w:rPr>
            </w:pPr>
            <w:r>
              <w:rPr>
                <w:rFonts w:ascii="Arial" w:cs="Arial" w:eastAsia="Arial" w:hAnsi="Arial"/>
                <w:sz w:val="17"/>
                <w:szCs w:val="17"/>
                <w:color w:val="auto"/>
              </w:rPr>
              <w:t>(0.35)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5"/>
          </w:tcPr>
          <w:p>
            <w:pPr>
              <w:jc w:val="right"/>
              <w:ind w:right="200"/>
              <w:spacing w:after="0"/>
              <w:rPr>
                <w:sz w:val="20"/>
                <w:szCs w:val="20"/>
                <w:color w:val="auto"/>
              </w:rPr>
            </w:pPr>
            <w:r>
              <w:rPr>
                <w:rFonts w:ascii="Arial" w:cs="Arial" w:eastAsia="Arial" w:hAnsi="Arial"/>
                <w:sz w:val="17"/>
                <w:szCs w:val="17"/>
                <w:color w:val="auto"/>
              </w:rPr>
              <w:t>(0.73)</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w w:val="94"/>
              </w:rPr>
              <w:t>(0.74)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Accretion (Dilution)</w:t>
            </w:r>
            <w:r>
              <w:rPr>
                <w:rFonts w:ascii="Arial" w:cs="Arial" w:eastAsia="Arial" w:hAnsi="Arial"/>
                <w:sz w:val="23"/>
                <w:szCs w:val="23"/>
                <w:color w:val="auto"/>
                <w:vertAlign w:val="superscript"/>
              </w:rPr>
              <w:t>(4)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4"/>
              </w:rPr>
              <w:t>(0.01)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9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Net asset value at end of period</w:t>
            </w:r>
          </w:p>
        </w:tc>
        <w:tc>
          <w:tcPr>
            <w:tcW w:w="10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14.61</w:t>
            </w:r>
          </w:p>
        </w:tc>
        <w:tc>
          <w:tcPr>
            <w:tcW w:w="24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7"/>
                <w:szCs w:val="17"/>
                <w:color w:val="auto"/>
              </w:rPr>
              <w:t>14.41</w:t>
            </w: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7"/>
                <w:szCs w:val="17"/>
                <w:color w:val="auto"/>
              </w:rPr>
              <w:t>14.61</w:t>
            </w:r>
          </w:p>
        </w:tc>
        <w:tc>
          <w:tcPr>
            <w:tcW w:w="2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30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14.41</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900" w:type="dxa"/>
            <w:vAlign w:val="bottom"/>
            <w:gridSpan w:val="2"/>
            <w:shd w:val="clear" w:color="auto" w:fill="CCEEFF"/>
          </w:tcPr>
          <w:p>
            <w:pPr>
              <w:spacing w:after="0" w:line="183" w:lineRule="exact"/>
              <w:rPr>
                <w:sz w:val="20"/>
                <w:szCs w:val="20"/>
                <w:color w:val="auto"/>
              </w:rPr>
            </w:pPr>
            <w:r>
              <w:rPr>
                <w:rFonts w:ascii="Arial" w:cs="Arial" w:eastAsia="Arial" w:hAnsi="Arial"/>
                <w:sz w:val="15"/>
                <w:szCs w:val="15"/>
                <w:color w:val="auto"/>
              </w:rPr>
              <w:t>Total return based on net asset value</w:t>
            </w:r>
            <w:r>
              <w:rPr>
                <w:rFonts w:ascii="Arial" w:cs="Arial" w:eastAsia="Arial" w:hAnsi="Arial"/>
                <w:sz w:val="21"/>
                <w:szCs w:val="21"/>
                <w:color w:val="auto"/>
                <w:vertAlign w:val="superscript"/>
              </w:rPr>
              <w:t>(2)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80"/>
              <w:spacing w:after="0" w:line="183" w:lineRule="exact"/>
              <w:rPr>
                <w:sz w:val="20"/>
                <w:szCs w:val="20"/>
                <w:color w:val="auto"/>
              </w:rPr>
            </w:pPr>
            <w:r>
              <w:rPr>
                <w:rFonts w:ascii="Arial" w:cs="Arial" w:eastAsia="Arial" w:hAnsi="Arial"/>
                <w:sz w:val="17"/>
                <w:szCs w:val="17"/>
                <w:color w:val="auto"/>
              </w:rPr>
              <w:t>(1.08)%</w:t>
            </w:r>
          </w:p>
        </w:tc>
        <w:tc>
          <w:tcPr>
            <w:tcW w:w="28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1.12</w:t>
            </w:r>
          </w:p>
        </w:tc>
        <w:tc>
          <w:tcPr>
            <w:tcW w:w="160" w:type="dxa"/>
            <w:vAlign w:val="bottom"/>
            <w:gridSpan w:val="2"/>
            <w:shd w:val="clear" w:color="auto" w:fill="CCEEFF"/>
          </w:tcPr>
          <w:p>
            <w:pPr>
              <w:jc w:val="right"/>
              <w:spacing w:after="0" w:line="179" w:lineRule="exact"/>
              <w:rPr>
                <w:sz w:val="20"/>
                <w:szCs w:val="20"/>
                <w:color w:val="auto"/>
              </w:rPr>
            </w:pPr>
            <w:r>
              <w:rPr>
                <w:rFonts w:ascii="Arial" w:cs="Arial" w:eastAsia="Arial" w:hAnsi="Arial"/>
                <w:sz w:val="17"/>
                <w:szCs w:val="17"/>
                <w:color w:val="auto"/>
                <w:w w:val="79"/>
              </w:rPr>
              <w:t>%</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5"/>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(1.55)%</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ind w:right="10"/>
              <w:spacing w:after="0" w:line="183" w:lineRule="exact"/>
              <w:rPr>
                <w:sz w:val="20"/>
                <w:szCs w:val="20"/>
                <w:color w:val="auto"/>
              </w:rPr>
            </w:pPr>
            <w:r>
              <w:rPr>
                <w:rFonts w:ascii="Arial" w:cs="Arial" w:eastAsia="Arial" w:hAnsi="Arial"/>
                <w:sz w:val="17"/>
                <w:szCs w:val="17"/>
                <w:color w:val="auto"/>
                <w:w w:val="94"/>
              </w:rPr>
              <w:t>(1.16)%</w:t>
            </w:r>
          </w:p>
        </w:tc>
        <w:tc>
          <w:tcPr>
            <w:tcW w:w="0" w:type="dxa"/>
            <w:vAlign w:val="bottom"/>
          </w:tcPr>
          <w:p>
            <w:pPr>
              <w:spacing w:after="0"/>
              <w:rPr>
                <w:sz w:val="1"/>
                <w:szCs w:val="1"/>
                <w:color w:val="auto"/>
              </w:rPr>
            </w:pPr>
          </w:p>
        </w:tc>
      </w:tr>
      <w:tr>
        <w:trPr>
          <w:trHeight w:val="203"/>
        </w:trPr>
        <w:tc>
          <w:tcPr>
            <w:tcW w:w="3900" w:type="dxa"/>
            <w:vAlign w:val="bottom"/>
            <w:gridSpan w:val="2"/>
          </w:tcPr>
          <w:p>
            <w:pPr>
              <w:spacing w:after="0"/>
              <w:rPr>
                <w:sz w:val="20"/>
                <w:szCs w:val="20"/>
                <w:color w:val="auto"/>
              </w:rPr>
            </w:pPr>
            <w:r>
              <w:rPr>
                <w:rFonts w:ascii="Arial" w:cs="Arial" w:eastAsia="Arial" w:hAnsi="Arial"/>
                <w:sz w:val="17"/>
                <w:szCs w:val="17"/>
                <w:color w:val="auto"/>
                <w:w w:val="93"/>
              </w:rPr>
              <w:t>Weighted-average shares outstanding for period, basic</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32,396,396</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7"/>
                <w:szCs w:val="17"/>
                <w:color w:val="auto"/>
              </w:rPr>
              <w:t>26,645,717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4"/>
          </w:tcPr>
          <w:p>
            <w:pPr>
              <w:jc w:val="right"/>
              <w:spacing w:after="0"/>
              <w:rPr>
                <w:sz w:val="20"/>
                <w:szCs w:val="20"/>
                <w:color w:val="auto"/>
              </w:rPr>
            </w:pPr>
            <w:r>
              <w:rPr>
                <w:rFonts w:ascii="Arial" w:cs="Arial" w:eastAsia="Arial" w:hAnsi="Arial"/>
                <w:sz w:val="17"/>
                <w:szCs w:val="17"/>
                <w:color w:val="auto"/>
              </w:rPr>
              <w:t>31,953,287</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4"/>
          </w:tcPr>
          <w:p>
            <w:pPr>
              <w:jc w:val="right"/>
              <w:spacing w:after="0"/>
              <w:rPr>
                <w:sz w:val="20"/>
                <w:szCs w:val="20"/>
                <w:color w:val="auto"/>
              </w:rPr>
            </w:pPr>
            <w:r>
              <w:rPr>
                <w:rFonts w:ascii="Arial" w:cs="Arial" w:eastAsia="Arial" w:hAnsi="Arial"/>
                <w:sz w:val="17"/>
                <w:szCs w:val="17"/>
                <w:color w:val="auto"/>
                <w:w w:val="98"/>
              </w:rPr>
              <w:t>26,266,501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Ratio/Supplemental Data:</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gridSpan w:val="2"/>
          </w:tcPr>
          <w:p>
            <w:pPr>
              <w:spacing w:after="0"/>
              <w:rPr>
                <w:sz w:val="20"/>
                <w:szCs w:val="20"/>
                <w:color w:val="auto"/>
              </w:rPr>
            </w:pPr>
            <w:r>
              <w:rPr>
                <w:rFonts w:ascii="Arial" w:cs="Arial" w:eastAsia="Arial" w:hAnsi="Arial"/>
                <w:sz w:val="17"/>
                <w:szCs w:val="17"/>
                <w:color w:val="auto"/>
              </w:rPr>
              <w:t>Net assets at end of period</w:t>
            </w:r>
          </w:p>
        </w:tc>
        <w:tc>
          <w:tcPr>
            <w:tcW w:w="30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477,739,097</w:t>
            </w:r>
          </w:p>
        </w:tc>
        <w:tc>
          <w:tcPr>
            <w:tcW w:w="24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7"/>
                <w:szCs w:val="17"/>
                <w:color w:val="auto"/>
              </w:rPr>
              <w:t>388,254,058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1000" w:type="dxa"/>
            <w:vAlign w:val="bottom"/>
            <w:gridSpan w:val="4"/>
          </w:tcPr>
          <w:p>
            <w:pPr>
              <w:jc w:val="right"/>
              <w:spacing w:after="0"/>
              <w:rPr>
                <w:sz w:val="20"/>
                <w:szCs w:val="20"/>
                <w:color w:val="auto"/>
              </w:rPr>
            </w:pPr>
            <w:r>
              <w:rPr>
                <w:rFonts w:ascii="Arial" w:cs="Arial" w:eastAsia="Arial" w:hAnsi="Arial"/>
                <w:sz w:val="17"/>
                <w:szCs w:val="17"/>
                <w:color w:val="auto"/>
                <w:w w:val="99"/>
              </w:rPr>
              <w:t>477,739,097</w:t>
            </w:r>
          </w:p>
        </w:tc>
        <w:tc>
          <w:tcPr>
            <w:tcW w:w="200" w:type="dxa"/>
            <w:vAlign w:val="bottom"/>
          </w:tcPr>
          <w:p>
            <w:pPr>
              <w:spacing w:after="0"/>
              <w:rPr>
                <w:sz w:val="17"/>
                <w:szCs w:val="17"/>
                <w:color w:val="auto"/>
              </w:rPr>
            </w:pPr>
          </w:p>
        </w:tc>
        <w:tc>
          <w:tcPr>
            <w:tcW w:w="28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920" w:type="dxa"/>
            <w:vAlign w:val="bottom"/>
            <w:gridSpan w:val="4"/>
          </w:tcPr>
          <w:p>
            <w:pPr>
              <w:jc w:val="right"/>
              <w:spacing w:after="0"/>
              <w:rPr>
                <w:sz w:val="20"/>
                <w:szCs w:val="20"/>
                <w:color w:val="auto"/>
              </w:rPr>
            </w:pPr>
            <w:r>
              <w:rPr>
                <w:rFonts w:ascii="Arial" w:cs="Arial" w:eastAsia="Arial" w:hAnsi="Arial"/>
                <w:sz w:val="17"/>
                <w:szCs w:val="17"/>
                <w:color w:val="auto"/>
                <w:w w:val="88"/>
              </w:rPr>
              <w:t>388,254,058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Average net assets</w:t>
            </w:r>
            <w:r>
              <w:rPr>
                <w:rFonts w:ascii="Arial" w:cs="Arial" w:eastAsia="Arial" w:hAnsi="Arial"/>
                <w:sz w:val="23"/>
                <w:szCs w:val="23"/>
                <w:color w:val="auto"/>
                <w:vertAlign w:val="superscript"/>
              </w:rPr>
              <w:t>(5)</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481,543,614</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382,569,050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w w:val="99"/>
              </w:rPr>
              <w:t>477,645,007</w:t>
            </w:r>
          </w:p>
        </w:tc>
        <w:tc>
          <w:tcPr>
            <w:tcW w:w="2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w w:val="88"/>
              </w:rPr>
              <w:t>382,389,927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900" w:type="dxa"/>
            <w:vAlign w:val="bottom"/>
            <w:gridSpan w:val="2"/>
          </w:tcPr>
          <w:p>
            <w:pPr>
              <w:spacing w:after="0" w:line="185" w:lineRule="exact"/>
              <w:rPr>
                <w:sz w:val="20"/>
                <w:szCs w:val="20"/>
                <w:color w:val="auto"/>
              </w:rPr>
            </w:pPr>
            <w:r>
              <w:rPr>
                <w:rFonts w:ascii="Arial" w:cs="Arial" w:eastAsia="Arial" w:hAnsi="Arial"/>
                <w:sz w:val="17"/>
                <w:szCs w:val="17"/>
                <w:color w:val="auto"/>
                <w:w w:val="95"/>
              </w:rPr>
              <w:t>Annualized ratio of net operating expenses to average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900" w:type="dxa"/>
            <w:vAlign w:val="bottom"/>
            <w:gridSpan w:val="2"/>
          </w:tcPr>
          <w:p>
            <w:pPr>
              <w:spacing w:after="0" w:line="220" w:lineRule="exact"/>
              <w:rPr>
                <w:sz w:val="20"/>
                <w:szCs w:val="20"/>
                <w:color w:val="auto"/>
              </w:rPr>
            </w:pPr>
            <w:r>
              <w:rPr>
                <w:rFonts w:ascii="Arial" w:cs="Arial" w:eastAsia="Arial" w:hAnsi="Arial"/>
                <w:sz w:val="17"/>
                <w:szCs w:val="17"/>
                <w:color w:val="auto"/>
              </w:rPr>
              <w:t>net assets</w:t>
            </w:r>
            <w:r>
              <w:rPr>
                <w:rFonts w:ascii="Arial" w:cs="Arial" w:eastAsia="Arial" w:hAnsi="Arial"/>
                <w:sz w:val="25"/>
                <w:szCs w:val="25"/>
                <w:color w:val="auto"/>
                <w:vertAlign w:val="superscript"/>
              </w:rPr>
              <w:t>(6),(7)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7"/>
                <w:szCs w:val="17"/>
                <w:color w:val="auto"/>
              </w:rPr>
              <w:t>4.39 %</w:t>
            </w:r>
          </w:p>
        </w:tc>
        <w:tc>
          <w:tcPr>
            <w:tcW w:w="280" w:type="dxa"/>
            <w:vAlign w:val="bottom"/>
          </w:tcPr>
          <w:p>
            <w:pPr>
              <w:spacing w:after="0"/>
              <w:rPr>
                <w:sz w:val="19"/>
                <w:szCs w:val="19"/>
                <w:color w:val="auto"/>
              </w:rPr>
            </w:pPr>
          </w:p>
        </w:tc>
        <w:tc>
          <w:tcPr>
            <w:tcW w:w="1220" w:type="dxa"/>
            <w:vAlign w:val="bottom"/>
            <w:gridSpan w:val="5"/>
          </w:tcPr>
          <w:p>
            <w:pPr>
              <w:jc w:val="right"/>
              <w:spacing w:after="0"/>
              <w:rPr>
                <w:sz w:val="20"/>
                <w:szCs w:val="20"/>
                <w:color w:val="auto"/>
              </w:rPr>
            </w:pPr>
            <w:r>
              <w:rPr>
                <w:rFonts w:ascii="Arial" w:cs="Arial" w:eastAsia="Arial" w:hAnsi="Arial"/>
                <w:sz w:val="17"/>
                <w:szCs w:val="17"/>
                <w:color w:val="auto"/>
              </w:rPr>
              <w:t>3.40 %</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5"/>
          </w:tcPr>
          <w:p>
            <w:pPr>
              <w:jc w:val="right"/>
              <w:ind w:right="60"/>
              <w:spacing w:after="0"/>
              <w:rPr>
                <w:sz w:val="20"/>
                <w:szCs w:val="20"/>
                <w:color w:val="auto"/>
              </w:rPr>
            </w:pPr>
            <w:r>
              <w:rPr>
                <w:rFonts w:ascii="Arial" w:cs="Arial" w:eastAsia="Arial" w:hAnsi="Arial"/>
                <w:sz w:val="17"/>
                <w:szCs w:val="17"/>
                <w:color w:val="auto"/>
              </w:rPr>
              <w:t>4.40 %</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gridSpan w:val="3"/>
          </w:tcPr>
          <w:p>
            <w:pPr>
              <w:jc w:val="right"/>
              <w:ind w:right="10"/>
              <w:spacing w:after="0"/>
              <w:rPr>
                <w:sz w:val="20"/>
                <w:szCs w:val="20"/>
                <w:color w:val="auto"/>
              </w:rPr>
            </w:pPr>
            <w:r>
              <w:rPr>
                <w:rFonts w:ascii="Arial" w:cs="Arial" w:eastAsia="Arial" w:hAnsi="Arial"/>
                <w:sz w:val="17"/>
                <w:szCs w:val="17"/>
                <w:color w:val="auto"/>
              </w:rPr>
              <w:t>3.93 %</w:t>
            </w:r>
          </w:p>
        </w:tc>
        <w:tc>
          <w:tcPr>
            <w:tcW w:w="0" w:type="dxa"/>
            <w:vAlign w:val="bottom"/>
          </w:tcPr>
          <w:p>
            <w:pPr>
              <w:spacing w:after="0"/>
              <w:rPr>
                <w:sz w:val="1"/>
                <w:szCs w:val="1"/>
                <w:color w:val="auto"/>
              </w:rPr>
            </w:pPr>
          </w:p>
        </w:tc>
      </w:tr>
      <w:tr>
        <w:trPr>
          <w:trHeight w:val="185"/>
        </w:trPr>
        <w:tc>
          <w:tcPr>
            <w:tcW w:w="390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w w:val="91"/>
              </w:rPr>
              <w:t>Annualized ratio of net increase (decrease) in net assets</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900" w:type="dxa"/>
            <w:vAlign w:val="bottom"/>
            <w:gridSpan w:val="2"/>
            <w:shd w:val="clear" w:color="auto" w:fill="CCEEFF"/>
          </w:tcPr>
          <w:p>
            <w:pPr>
              <w:spacing w:after="0" w:line="220" w:lineRule="exact"/>
              <w:rPr>
                <w:sz w:val="20"/>
                <w:szCs w:val="20"/>
                <w:color w:val="auto"/>
              </w:rPr>
            </w:pPr>
            <w:r>
              <w:rPr>
                <w:rFonts w:ascii="Arial" w:cs="Arial" w:eastAsia="Arial" w:hAnsi="Arial"/>
                <w:sz w:val="17"/>
                <w:szCs w:val="17"/>
                <w:color w:val="auto"/>
              </w:rPr>
              <w:t>resulting from operations to average net assets</w:t>
            </w:r>
            <w:r>
              <w:rPr>
                <w:rFonts w:ascii="Arial" w:cs="Arial" w:eastAsia="Arial" w:hAnsi="Arial"/>
                <w:sz w:val="25"/>
                <w:szCs w:val="25"/>
                <w:color w:val="auto"/>
                <w:vertAlign w:val="superscript"/>
              </w:rPr>
              <w:t>(7)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7.36 %</w:t>
            </w:r>
          </w:p>
        </w:tc>
        <w:tc>
          <w:tcPr>
            <w:tcW w:w="280" w:type="dxa"/>
            <w:vAlign w:val="bottom"/>
            <w:shd w:val="clear" w:color="auto" w:fill="CCEEFF"/>
          </w:tcPr>
          <w:p>
            <w:pPr>
              <w:spacing w:after="0"/>
              <w:rPr>
                <w:sz w:val="19"/>
                <w:szCs w:val="19"/>
                <w:color w:val="auto"/>
              </w:rPr>
            </w:pPr>
          </w:p>
        </w:tc>
        <w:tc>
          <w:tcPr>
            <w:tcW w:w="122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14.94 %</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5"/>
            <w:shd w:val="clear" w:color="auto" w:fill="CCEEFF"/>
          </w:tcPr>
          <w:p>
            <w:pPr>
              <w:jc w:val="right"/>
              <w:ind w:right="60"/>
              <w:spacing w:after="0"/>
              <w:rPr>
                <w:sz w:val="20"/>
                <w:szCs w:val="20"/>
                <w:color w:val="auto"/>
              </w:rPr>
            </w:pPr>
            <w:r>
              <w:rPr>
                <w:rFonts w:ascii="Arial" w:cs="Arial" w:eastAsia="Arial" w:hAnsi="Arial"/>
                <w:sz w:val="17"/>
                <w:szCs w:val="17"/>
                <w:color w:val="auto"/>
              </w:rPr>
              <w:t>7.60 %</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10"/>
              <w:spacing w:after="0"/>
              <w:rPr>
                <w:sz w:val="20"/>
                <w:szCs w:val="20"/>
                <w:color w:val="auto"/>
              </w:rPr>
            </w:pPr>
            <w:r>
              <w:rPr>
                <w:rFonts w:ascii="Arial" w:cs="Arial" w:eastAsia="Arial" w:hAnsi="Arial"/>
                <w:sz w:val="17"/>
                <w:szCs w:val="17"/>
                <w:color w:val="auto"/>
              </w:rPr>
              <w:t>8.88 %</w:t>
            </w:r>
          </w:p>
        </w:tc>
        <w:tc>
          <w:tcPr>
            <w:tcW w:w="0" w:type="dxa"/>
            <w:vAlign w:val="bottom"/>
          </w:tcPr>
          <w:p>
            <w:pPr>
              <w:spacing w:after="0"/>
              <w:rPr>
                <w:sz w:val="1"/>
                <w:szCs w:val="1"/>
                <w:color w:val="auto"/>
              </w:rPr>
            </w:pPr>
          </w:p>
        </w:tc>
      </w:tr>
      <w:tr>
        <w:trPr>
          <w:trHeight w:val="108"/>
        </w:trPr>
        <w:tc>
          <w:tcPr>
            <w:tcW w:w="2480" w:type="dxa"/>
            <w:vAlign w:val="bottom"/>
            <w:tcBorders>
              <w:bottom w:val="single" w:sz="8" w:color="auto"/>
            </w:tcBorders>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660" w:hanging="328"/>
        <w:spacing w:after="0" w:line="235" w:lineRule="auto"/>
        <w:tabs>
          <w:tab w:leader="none" w:pos="660" w:val="left"/>
        </w:tabs>
        <w:numPr>
          <w:ilvl w:val="0"/>
          <w:numId w:val="18"/>
        </w:numPr>
        <w:rPr>
          <w:rFonts w:ascii="Arial" w:cs="Arial" w:eastAsia="Arial" w:hAnsi="Arial"/>
          <w:sz w:val="26"/>
          <w:szCs w:val="26"/>
          <w:color w:val="auto"/>
          <w:vertAlign w:val="superscript"/>
        </w:rPr>
      </w:pPr>
      <w:r>
        <w:rPr>
          <w:rFonts w:ascii="Arial" w:cs="Arial" w:eastAsia="Arial" w:hAnsi="Arial"/>
          <w:sz w:val="17"/>
          <w:szCs w:val="17"/>
          <w:color w:val="auto"/>
        </w:rPr>
        <w:t>Financial highlights are based on weighted-average shares outstanding.</w:t>
      </w:r>
    </w:p>
    <w:p>
      <w:pPr>
        <w:spacing w:after="0" w:line="161" w:lineRule="exact"/>
        <w:rPr>
          <w:rFonts w:ascii="Arial" w:cs="Arial" w:eastAsia="Arial" w:hAnsi="Arial"/>
          <w:sz w:val="26"/>
          <w:szCs w:val="26"/>
          <w:color w:val="auto"/>
          <w:vertAlign w:val="superscript"/>
        </w:rPr>
      </w:pPr>
    </w:p>
    <w:p>
      <w:pPr>
        <w:ind w:left="660" w:right="20" w:hanging="328"/>
        <w:spacing w:after="0" w:line="203" w:lineRule="auto"/>
        <w:tabs>
          <w:tab w:leader="none" w:pos="660" w:val="left"/>
        </w:tabs>
        <w:numPr>
          <w:ilvl w:val="0"/>
          <w:numId w:val="18"/>
        </w:numPr>
        <w:rPr>
          <w:rFonts w:ascii="Arial" w:cs="Arial" w:eastAsia="Arial" w:hAnsi="Arial"/>
          <w:sz w:val="26"/>
          <w:szCs w:val="26"/>
          <w:color w:val="auto"/>
          <w:vertAlign w:val="superscript"/>
        </w:rPr>
      </w:pPr>
      <w:r>
        <w:rPr>
          <w:rFonts w:ascii="Arial" w:cs="Arial" w:eastAsia="Arial" w:hAnsi="Arial"/>
          <w:sz w:val="17"/>
          <w:szCs w:val="17"/>
          <w:color w:val="auto"/>
        </w:rPr>
        <w:t>Total return based on net asset value is based upon the change in net asset value per share between the opening and ending net asset values per share in the period. The total returns are not annualized.</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60" w:right="20" w:hanging="328"/>
        <w:spacing w:after="0" w:line="216" w:lineRule="auto"/>
        <w:tabs>
          <w:tab w:leader="none" w:pos="660" w:val="left"/>
        </w:tabs>
        <w:numPr>
          <w:ilvl w:val="0"/>
          <w:numId w:val="19"/>
        </w:numPr>
        <w:rPr>
          <w:rFonts w:ascii="Arial" w:cs="Arial" w:eastAsia="Arial" w:hAnsi="Arial"/>
          <w:sz w:val="26"/>
          <w:szCs w:val="26"/>
          <w:color w:val="auto"/>
          <w:vertAlign w:val="superscript"/>
        </w:rPr>
      </w:pPr>
      <w:r>
        <w:rPr>
          <w:rFonts w:ascii="Arial" w:cs="Arial" w:eastAsia="Arial" w:hAnsi="Arial"/>
          <w:sz w:val="17"/>
          <w:szCs w:val="17"/>
          <w:color w:val="auto"/>
        </w:rPr>
        <w:t>Return from investment operations was 2.37% and 2.11% for the three months ended June 30, 2021 and 2020, respectively. Return from investment operations was 4.78% and 4.60% for the six months ended June 30, 2021 and 2020, respectively. Return from investment operations represents returns on net investment income (loss) from operations.</w:t>
      </w:r>
    </w:p>
    <w:p>
      <w:pPr>
        <w:spacing w:after="0" w:line="175" w:lineRule="exact"/>
        <w:rPr>
          <w:rFonts w:ascii="Arial" w:cs="Arial" w:eastAsia="Arial" w:hAnsi="Arial"/>
          <w:sz w:val="26"/>
          <w:szCs w:val="26"/>
          <w:color w:val="auto"/>
          <w:vertAlign w:val="superscript"/>
        </w:rPr>
      </w:pPr>
    </w:p>
    <w:p>
      <w:pPr>
        <w:ind w:left="660" w:right="20" w:hanging="328"/>
        <w:spacing w:after="0" w:line="203" w:lineRule="auto"/>
        <w:tabs>
          <w:tab w:leader="none" w:pos="660" w:val="left"/>
        </w:tabs>
        <w:numPr>
          <w:ilvl w:val="0"/>
          <w:numId w:val="19"/>
        </w:numPr>
        <w:rPr>
          <w:rFonts w:ascii="Arial" w:cs="Arial" w:eastAsia="Arial" w:hAnsi="Arial"/>
          <w:sz w:val="26"/>
          <w:szCs w:val="26"/>
          <w:color w:val="auto"/>
          <w:vertAlign w:val="superscript"/>
        </w:rPr>
      </w:pPr>
      <w:r>
        <w:rPr>
          <w:rFonts w:ascii="Arial" w:cs="Arial" w:eastAsia="Arial" w:hAnsi="Arial"/>
          <w:sz w:val="17"/>
          <w:szCs w:val="17"/>
          <w:color w:val="auto"/>
        </w:rPr>
        <w:t>Return from accretion was 0.00% and (0.07)% for the three months ended June 30, 2021 and 2020, respectively. Return from accretion was 0.00% and (0.06)% for the six months ended June 30, 2021 and 2020, respectively.</w:t>
      </w:r>
    </w:p>
    <w:p>
      <w:pPr>
        <w:spacing w:after="0" w:line="162" w:lineRule="exact"/>
        <w:rPr>
          <w:rFonts w:ascii="Arial" w:cs="Arial" w:eastAsia="Arial" w:hAnsi="Arial"/>
          <w:sz w:val="26"/>
          <w:szCs w:val="26"/>
          <w:color w:val="auto"/>
          <w:vertAlign w:val="superscript"/>
        </w:rPr>
      </w:pPr>
    </w:p>
    <w:p>
      <w:pPr>
        <w:jc w:val="both"/>
        <w:ind w:left="660" w:hanging="328"/>
        <w:spacing w:after="0" w:line="216" w:lineRule="auto"/>
        <w:tabs>
          <w:tab w:leader="none" w:pos="660" w:val="left"/>
        </w:tabs>
        <w:numPr>
          <w:ilvl w:val="0"/>
          <w:numId w:val="19"/>
        </w:numPr>
        <w:rPr>
          <w:rFonts w:ascii="Arial" w:cs="Arial" w:eastAsia="Arial" w:hAnsi="Arial"/>
          <w:sz w:val="26"/>
          <w:szCs w:val="26"/>
          <w:color w:val="auto"/>
          <w:vertAlign w:val="superscript"/>
        </w:rPr>
      </w:pPr>
      <w:r>
        <w:rPr>
          <w:rFonts w:ascii="Arial" w:cs="Arial" w:eastAsia="Arial" w:hAnsi="Arial"/>
          <w:sz w:val="17"/>
          <w:szCs w:val="17"/>
          <w:color w:val="auto"/>
        </w:rPr>
        <w:t>The annualized ratio of net investment income to average net assets was 11.22% and 8.97% for the three months ended June 30, 2021 and 2020, respectively. The annualized ratio of net investment income to average net assets was 10.45% and 10.03% for the six months ended June 30, 2021 and 2020, respectively.</w:t>
      </w:r>
    </w:p>
    <w:p>
      <w:pPr>
        <w:spacing w:after="0" w:line="162" w:lineRule="exact"/>
        <w:rPr>
          <w:rFonts w:ascii="Arial" w:cs="Arial" w:eastAsia="Arial" w:hAnsi="Arial"/>
          <w:sz w:val="26"/>
          <w:szCs w:val="26"/>
          <w:color w:val="auto"/>
          <w:vertAlign w:val="superscript"/>
        </w:rPr>
      </w:pPr>
    </w:p>
    <w:p>
      <w:pPr>
        <w:jc w:val="both"/>
        <w:ind w:left="660" w:hanging="328"/>
        <w:spacing w:after="0" w:line="227" w:lineRule="auto"/>
        <w:tabs>
          <w:tab w:leader="none" w:pos="660" w:val="left"/>
        </w:tabs>
        <w:numPr>
          <w:ilvl w:val="0"/>
          <w:numId w:val="19"/>
        </w:numPr>
        <w:rPr>
          <w:rFonts w:ascii="Arial" w:cs="Arial" w:eastAsia="Arial" w:hAnsi="Arial"/>
          <w:sz w:val="25"/>
          <w:szCs w:val="25"/>
          <w:color w:val="auto"/>
          <w:vertAlign w:val="superscript"/>
        </w:rPr>
      </w:pPr>
      <w:r>
        <w:rPr>
          <w:rFonts w:ascii="Arial" w:cs="Arial" w:eastAsia="Arial" w:hAnsi="Arial"/>
          <w:sz w:val="16"/>
          <w:szCs w:val="16"/>
          <w:color w:val="auto"/>
        </w:rPr>
        <w:t>The annualized ratio of net operating expenses excluding incentive fees, to average net assets was 3.81% and 3.17% for the three months ended June 30, 2021 and 2020, respectively. The annualized ratio of net operating expenses excluding incentive fees, to average net assets was 3.60% and 3.09% for the six months ended June 30, 2021 and 2020, respectively</w:t>
      </w:r>
    </w:p>
    <w:p>
      <w:pPr>
        <w:spacing w:after="0" w:line="99" w:lineRule="exact"/>
        <w:rPr>
          <w:rFonts w:ascii="Arial" w:cs="Arial" w:eastAsia="Arial" w:hAnsi="Arial"/>
          <w:sz w:val="25"/>
          <w:szCs w:val="25"/>
          <w:color w:val="auto"/>
          <w:vertAlign w:val="superscript"/>
        </w:rPr>
      </w:pPr>
    </w:p>
    <w:p>
      <w:pPr>
        <w:ind w:left="660" w:hanging="328"/>
        <w:spacing w:after="0"/>
        <w:tabs>
          <w:tab w:leader="none" w:pos="660" w:val="left"/>
        </w:tabs>
        <w:numPr>
          <w:ilvl w:val="0"/>
          <w:numId w:val="19"/>
        </w:numPr>
        <w:rPr>
          <w:rFonts w:ascii="Arial" w:cs="Arial" w:eastAsia="Arial" w:hAnsi="Arial"/>
          <w:sz w:val="27"/>
          <w:szCs w:val="27"/>
          <w:color w:val="auto"/>
          <w:vertAlign w:val="superscript"/>
        </w:rPr>
      </w:pPr>
      <w:r>
        <w:rPr>
          <w:rFonts w:ascii="Arial" w:cs="Arial" w:eastAsia="Arial" w:hAnsi="Arial"/>
          <w:sz w:val="17"/>
          <w:szCs w:val="17"/>
          <w:color w:val="auto"/>
        </w:rPr>
        <w:t>Incentive fees are not annualized.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Subsequent Events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evaluated events subsequent to June 30, 2021 through August 5, 2021.</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Effective July 1, 2021, the Company placed three loans to Pivot3 Holdings, Inc. on non-accrual status, representing an aggregate principal funded of $26,201,092 at a fair market value of $13,797,915 and comprises 2.89% of the investment portfolio as of June 30, 2021. On July 20, 2021, the Company also received cash proceeds of $5,000,000 from the sale of a portion of assets held by Pivot3 Holdings, Inc.</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July 1, 2021, Aria Systems, Inc. prepaid its outstanding principal balance of $28,500,000. In addition, the Company received cash proceeds of $1,658,136 in conjunction with ETP, prepayment fees, and interest for total proceeds of $30,158,136.</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July 19, 2021, the Company declared a dividend of $0.34 per share payable on August 12, 2021 to shareholders of record as of July 20, 2021. The Company set June 30, 2021 as the valuation date for shares issued in connection with the dividend pursuant to the Company’s dividend reinvestment plan.</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August 4, 2021, the Company entered into an amendment (the “August Amendment”) to the Credit Agreement to clarify the fee payment schedule and to amend certain other terms of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20" w:firstLine="634"/>
        <w:spacing w:after="0" w:line="270" w:lineRule="auto"/>
        <w:rPr>
          <w:sz w:val="20"/>
          <w:szCs w:val="20"/>
          <w:color w:val="auto"/>
        </w:rPr>
      </w:pPr>
      <w:r>
        <w:rPr>
          <w:rFonts w:ascii="Arial" w:cs="Arial" w:eastAsia="Arial" w:hAnsi="Arial"/>
          <w:sz w:val="17"/>
          <w:szCs w:val="17"/>
          <w:color w:val="auto"/>
        </w:rPr>
        <w:t>This quarterly report on Form 10-Q contains forward-looking statements that involve substantial risks and uncertainties. Such statements involve known and unknown risks, uncertainties and other factors, and undue reliance should not be placed thereon. These forward-looking statements are not historical facts, but rather are based on current expectations, estimates and projections about us, our current and prospective portfolio investments, our industry, our beliefs and opinions, and our assumptions. Words such as “anticipates,” “expects,” “intends,” “plans,” “will,” “may,” “continue,” “believes,” “seeks,” “estimates,” “would,” “could,” “should,” “targets,” “projects,” “outlook,” “potential,” “predicts”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81" w:lineRule="exact"/>
        <w:rPr>
          <w:sz w:val="20"/>
          <w:szCs w:val="20"/>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political, economic or industry conditions, the interest rate environment or conditions affecting the financial and capital markets, including changes from the impact of the current COVID-19 pandemic;</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ability to continue to effectively manage our business due to the disruptions caused by the current COVID-19 pandemic;</w:t>
      </w:r>
    </w:p>
    <w:p>
      <w:pPr>
        <w:spacing w:after="0" w:line="207"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investments in such portfolio companies;</w:t>
      </w:r>
    </w:p>
    <w:p>
      <w:pPr>
        <w:spacing w:after="0" w:line="129"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that we intend to target for investment, potentially causing us to experience a decrease in investment opportunities and diminished demand for capital from these companies;</w:t>
      </w:r>
    </w:p>
    <w:p>
      <w:pPr>
        <w:spacing w:after="0" w:line="96"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contraction of available credit and/or an inability to access the equity markets that could impair our lending and investment activities, including as a result of the COVID-19 pandemic;</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 rate volatility that could adversely affect our results, particularly to the extent that we use leverage as part of our investment strategy;</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currency fluctuations could adversely affect the results of our investments in foreign companies, particularly to the extent that we receive payments denominated in foreign currency rather than U.S. dollars;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future operating results, including our ability to achieve objectives as a result of the COVID-19 pandemic;</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business prospects and the prospects of our portfolio companies, including the impact of the COVID-19 pandemic thereon;</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 including as a result of the COVID-19 pandemic;</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competition with other entities and our affiliates for investment opportunities;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speculative and illiquid nature of our investments;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use of borrowed money to finance a portion of our investments;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adequacy of our financing sources and working capital;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loss of key personnel;</w:t>
      </w:r>
    </w:p>
    <w:p>
      <w:pPr>
        <w:spacing w:after="0" w:line="19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 and the impact of the COVID-19 pandemic thereon;</w:t>
      </w:r>
    </w:p>
    <w:p>
      <w:pPr>
        <w:sectPr>
          <w:pgSz w:w="11900" w:h="16838" w:orient="portrait"/>
          <w:cols w:equalWidth="0" w:num="1">
            <w:col w:w="9920"/>
          </w:cols>
          <w:pgMar w:left="980" w:top="517"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right="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of our external investment adviser, Runway Growth Capital LLC (“RGC”), to locate suitable investments for us and to monitor and administer our investments and the impacts of the COVID-19 pandemic thereon;</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of RGC to attract and retain highly talented professionals;</w:t>
      </w:r>
    </w:p>
    <w:p>
      <w:pPr>
        <w:spacing w:after="0" w:line="18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maintain our qualification as a regulated investment company (“RIC”) under Subchapter M of the Internal Revenue Code of 1986, as amended (the “Code”), and as a business development company (“BDC”);</w:t>
      </w:r>
    </w:p>
    <w:p>
      <w:pPr>
        <w:spacing w:after="0" w:line="129"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occurrence of a disaster, such as a cyber-attack against us or against a third party that has access to our data or networks, a natural catastrophe, an industrial accident, failure of our disaster-recovery systems, or consequential employee error;</w:t>
      </w:r>
    </w:p>
    <w:p>
      <w:pPr>
        <w:spacing w:after="0" w:line="96"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 of legal, tax, and regulatory changes; and</w:t>
      </w:r>
    </w:p>
    <w:p>
      <w:pPr>
        <w:spacing w:after="0" w:line="184"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other risks, uncertainties and other factors we identify under “Risk Factors” in Part I, Item 1A of our annual report on Form 10-K for the fiscal year ended December 31, 2020 and in our other filings with the Securities and Exchange Commission (the “SEC”).</w:t>
      </w:r>
    </w:p>
    <w:p>
      <w:pPr>
        <w:spacing w:after="0" w:line="14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Although we believe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in in Part I, Item 1A of our annual report on Form 10-K for the fiscal year ended December 31, 2020, filed with the SEC on March 11, 2021.</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have based the forward-looking statements included in this Form 10-Q on information available to us on the date of this Form 10-Q, and we assume no obligation to update any such forward-looking statements. Although we undertake no obligation to revise or update any forward-looking statements, whether as a result of new information, future events or otherwise, you are advised to consult any additional disclosures that we may make directly to you or through reports that we have filed or in the future may file with the SEC, including our annual reports on Form 10-K, quarterly reports on Form 10-Q and current reports on Form 8-K.</w:t>
      </w:r>
    </w:p>
    <w:p>
      <w:pPr>
        <w:spacing w:after="0" w:line="17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financial statements and the related notes thereto contained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an externally managed, non-diversified closed-end investment management company that was formed on August 31, 2015 as a corporation under the laws of the State of Maryland. We have elected to be regulated as a BDC under the 1940 Act. In addition, we have elected to be treated, have qualified, and intend to continue to qualify annually as a RIC under Subchapter M of the Code. If we fail to qualify as a RIC for any taxable year, we will be subject to corporate-level U.S. federal income tax on any net taxable income for such year. As a BDC and a RIC, we are required to comply with various regulatory requirements, such as the requirement to invest at least 70% of our assets in “qualifying assets,” source-of-income limitations, asset diversification requirements, and the requirement to distribute annually at least 90% of our investment company taxable income and net tax-exempt interest.</w:t>
      </w:r>
    </w:p>
    <w:p>
      <w:pPr>
        <w:spacing w:after="0" w:line="16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We are an “emerging growth company,” as defined in the Jumpstart Our Business Startups Act of 2012 (the “JOBS Act”). We will remain an emerging growth company until the last day of our fiscal year following the fifth anniversary of an initial public offering (“IPO”), if any, or until the earliest of (i) the last day of the first fiscal year in which we have total annual gross revenue of $1,070,000,000 or more, (ii) December 31 of the fiscal year in which we become a “large accelerated filer” as defined in Rule 12b-2 under the Securities Exchange Act of 1934, as amended (together with the rules and regulations promulgated thereunder, the “Exchange Act”), (which would occur if the market value of our common stock held by non-affiliates exceeds $700.0 million, measured as of the last business day of our most recently completed second fiscal quarter, and we have been publicly reporting for at least 12 months), or</w:t>
      </w:r>
    </w:p>
    <w:p>
      <w:pPr>
        <w:spacing w:after="0" w:line="2" w:lineRule="exact"/>
        <w:rPr>
          <w:sz w:val="20"/>
          <w:szCs w:val="20"/>
          <w:color w:val="auto"/>
        </w:rPr>
      </w:pPr>
    </w:p>
    <w:p>
      <w:pPr>
        <w:ind w:firstLine="8"/>
        <w:spacing w:after="0" w:line="323" w:lineRule="auto"/>
        <w:tabs>
          <w:tab w:leader="none" w:pos="319"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date on which we have issued more than $1.0 billion in non-convertible debt during the preceding three-year period. For so long as we remain an emerging growth company under the JOBS Act, we will be subject to reduced public company reporting requirements.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externally managed by RGC, an investment adviser that has registered with the SEC under the Investment Advisers Act of 1940, as amended. The Administrator, a wholly-owned subsidiary of RGC, provides all the administrative services necessary for us to operate.</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commenced investment activities in portfolio securities during the quarter ended June 30, 2017, and we commenced investment activities in U.S. Treasury Bills during the quarter ended December 31, 2016. In October 2015, in connection with our formation, we issued and sold 1,667 shares of our common stock to R. David Spreng, our President, Chief Executive Officer and Chairman of our Board of Directors, for an aggregate purchase price of $25,000. Between December 2016 and December 2017, we completed the Initial Private Offering, in connection with which we called capital and issued 333,333 shares of our common stock to investors for an aggregate purchase price of $5,000,000. As of June 30, 2021, in connection with the Initial Private Offering, we had issued 18,241,157 shares of our common stock to stockholders for a total purchase price of $275,000,000.</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2021, we have completed multiple closings under the Company’s second private offering (the “Second Private Offering”) and had accepted capital commitments of $181,473,500. As of June 30, 2021, in connection with the Second Private Offering, we have issued an aggregate of 8,352,251 shares for a total purchase price of $125,283,766 and $56,189,734 of capital commitments remain undrawn.</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June 30, 2021, we issued 22,564 shares as an additional direct investment by Runway Growth Holdings LLC, an affiliate of RGC, for a total purchase price of $338,453. As of June 30, 2021, we issued an additional 6,072,815 shares as part of the dividend reinvestment program.</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August 10, 2020, we, RGC, and certain other funds and accounts sponsored or managed by RGC and/or its affiliates were granted an order (the “Order”) that permits us greater flexibility than the 1940 Act permits to negotiate the terms of co-investments if the Board determines that it would be advantageous for us to co-invest with other accounts sponsored or managed by RGC or its affiliates in a manner consistent with our investment objective or criteria, positions, policies, strategies and restrictions as well as regulatory requirements and other pertinent factors. We believe that the ability to co-invest with similar investment structures and accounts sponsored or managed by RGC or its affiliates will provide additional investment opportunities and the ability to achieve greater diversification. Under the terms of the Order, a majority of our independent directors are required to make certain determinations in connection with a co-investment transaction, including that (1) the terms of the proposed transaction are reasonable and fair to us and our stockholders and do not involve overreaching of us or our stockholders on the part of any person concerned and (2) the transaction is consistent with the interests of our stockholders and is consistent with our investment objective, criteria, positions, policies, strategies and restrictions as well as regulatory requirements and other pertinent factors.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Composition and Investment Activity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Composition</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At June 30, 2021, we had investments in 35 portfolio companies, representing 21 companies in which we held loan and warrant investments, four companies in which we held loan investments and common or preferred stocks, 9 companies in which we held warrant investments only, three companies in which we held shares of common or preferred stocks only, and we held two U.S. Treasury Bills. At December 31, 2020, we had investments in 31 portfolio companies, representing 22 companies in which we held loan and warrant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investments, eight companies in which we held warrant interests only, one company in which we held bonds, and we held one U.S.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Treasury Bill. The following table shows the fair value of our investments, by asset class, as of June 30, 2021 and December 31,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w w:val="98"/>
              </w:rPr>
              <w:t>June 30, 2021 (Unaudited)</w:t>
            </w:r>
          </w:p>
        </w:tc>
        <w:tc>
          <w:tcPr>
            <w:tcW w:w="7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ind w:left="920"/>
              <w:spacing w:after="0"/>
              <w:rPr>
                <w:sz w:val="20"/>
                <w:szCs w:val="20"/>
                <w:color w:val="auto"/>
              </w:rPr>
            </w:pPr>
            <w:r>
              <w:rPr>
                <w:rFonts w:ascii="Arial" w:cs="Arial" w:eastAsia="Arial" w:hAnsi="Arial"/>
                <w:sz w:val="14"/>
                <w:szCs w:val="14"/>
                <w:b w:val="1"/>
                <w:bCs w:val="1"/>
                <w:color w:val="auto"/>
              </w:rPr>
              <w:t>December 31, 2020</w:t>
            </w: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100" w:type="dxa"/>
            <w:vAlign w:val="bottom"/>
            <w:gridSpan w:val="3"/>
          </w:tcPr>
          <w:p>
            <w:pPr>
              <w:jc w:val="center"/>
              <w:ind w:right="310"/>
              <w:spacing w:after="0" w:line="149" w:lineRule="exact"/>
              <w:rPr>
                <w:sz w:val="20"/>
                <w:szCs w:val="20"/>
                <w:color w:val="auto"/>
              </w:rPr>
            </w:pPr>
            <w:r>
              <w:rPr>
                <w:rFonts w:ascii="Arial" w:cs="Arial" w:eastAsia="Arial" w:hAnsi="Arial"/>
                <w:sz w:val="14"/>
                <w:szCs w:val="14"/>
                <w:b w:val="1"/>
                <w:bCs w:val="1"/>
                <w:color w:val="auto"/>
                <w:w w:val="90"/>
              </w:rPr>
              <w:t>of Total</w:t>
            </w:r>
          </w:p>
        </w:tc>
        <w:tc>
          <w:tcPr>
            <w:tcW w:w="98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171"/>
        </w:trPr>
        <w:tc>
          <w:tcPr>
            <w:tcW w:w="2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00" w:type="dxa"/>
            <w:vAlign w:val="bottom"/>
            <w:gridSpan w:val="3"/>
          </w:tcPr>
          <w:p>
            <w:pPr>
              <w:jc w:val="center"/>
              <w:ind w:right="270"/>
              <w:spacing w:after="0"/>
              <w:rPr>
                <w:sz w:val="20"/>
                <w:szCs w:val="20"/>
                <w:color w:val="auto"/>
              </w:rPr>
            </w:pPr>
            <w:r>
              <w:rPr>
                <w:rFonts w:ascii="Arial" w:cs="Arial" w:eastAsia="Arial" w:hAnsi="Arial"/>
                <w:sz w:val="14"/>
                <w:szCs w:val="14"/>
                <w:b w:val="1"/>
                <w:bCs w:val="1"/>
                <w:color w:val="auto"/>
                <w:w w:val="93"/>
              </w:rPr>
              <w:t>Portfolio</w:t>
            </w:r>
          </w:p>
        </w:tc>
        <w:tc>
          <w:tcPr>
            <w:tcW w:w="9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90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100"/>
              <w:spacing w:after="0"/>
              <w:rPr>
                <w:sz w:val="20"/>
                <w:szCs w:val="20"/>
                <w:color w:val="auto"/>
              </w:rPr>
            </w:pPr>
            <w:r>
              <w:rPr>
                <w:rFonts w:ascii="Arial" w:cs="Arial" w:eastAsia="Arial" w:hAnsi="Arial"/>
                <w:sz w:val="18"/>
                <w:szCs w:val="18"/>
                <w:color w:val="auto"/>
              </w:rPr>
              <w:t>Common Stocks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1,340,206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15,062,081</w:t>
            </w:r>
          </w:p>
        </w:tc>
        <w:tc>
          <w:tcPr>
            <w:tcW w:w="16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2.4 % $</w:t>
            </w:r>
          </w:p>
        </w:tc>
        <w:tc>
          <w:tcPr>
            <w:tcW w:w="980" w:type="dxa"/>
            <w:vAlign w:val="bottom"/>
          </w:tcPr>
          <w:p>
            <w:pPr>
              <w:jc w:val="right"/>
              <w:spacing w:after="0"/>
              <w:rPr>
                <w:sz w:val="20"/>
                <w:szCs w:val="20"/>
                <w:color w:val="auto"/>
              </w:rPr>
            </w:pPr>
            <w:r>
              <w:rPr>
                <w:rFonts w:ascii="Arial" w:cs="Arial" w:eastAsia="Arial" w:hAnsi="Arial"/>
                <w:sz w:val="18"/>
                <w:szCs w:val="18"/>
                <w:color w:val="auto"/>
              </w:rPr>
              <w:t>1,237,196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521,940</w:t>
            </w:r>
          </w:p>
        </w:tc>
        <w:tc>
          <w:tcPr>
            <w:tcW w:w="1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Bonds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333,453</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100"/>
              <w:spacing w:after="0"/>
              <w:rPr>
                <w:sz w:val="20"/>
                <w:szCs w:val="20"/>
                <w:color w:val="auto"/>
              </w:rPr>
            </w:pPr>
            <w:r>
              <w:rPr>
                <w:rFonts w:ascii="Arial" w:cs="Arial" w:eastAsia="Arial" w:hAnsi="Arial"/>
                <w:sz w:val="18"/>
                <w:szCs w:val="18"/>
                <w:color w:val="auto"/>
              </w:rPr>
              <w:t>Senior Secured Term Loans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546,603,090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89"/>
              </w:rPr>
              <w:t>530,911,757</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89"/>
              </w:rPr>
              <w:t>506,555,279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501,964,657</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Preferred Stocks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17,337,836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17,248,844</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19,737,450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15,995,868</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Warrants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19,042,851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24,394,480</w:t>
            </w:r>
          </w:p>
        </w:tc>
        <w:tc>
          <w:tcPr>
            <w:tcW w:w="16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18,804,531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33,008,672</w:t>
            </w:r>
          </w:p>
        </w:tc>
        <w:tc>
          <w:tcPr>
            <w:tcW w:w="1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584,323,983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587,617,162</w:t>
            </w:r>
          </w:p>
        </w:tc>
        <w:tc>
          <w:tcPr>
            <w:tcW w:w="1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546,587,551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551,824,590</w:t>
            </w:r>
          </w:p>
        </w:tc>
        <w:tc>
          <w:tcPr>
            <w:tcW w:w="1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Treasury Bill</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29,999,896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29,999,881</w:t>
            </w:r>
          </w:p>
        </w:tc>
        <w:tc>
          <w:tcPr>
            <w:tcW w:w="1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70,001,472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70,002,060</w:t>
            </w:r>
          </w:p>
        </w:tc>
        <w:tc>
          <w:tcPr>
            <w:tcW w:w="1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614,323,879</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617,617,043</w:t>
            </w:r>
          </w:p>
        </w:tc>
        <w:tc>
          <w:tcPr>
            <w:tcW w:w="1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616,589,023</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621,826,650</w:t>
            </w:r>
          </w:p>
        </w:tc>
        <w:tc>
          <w:tcPr>
            <w:tcW w:w="14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both"/>
        <w:ind w:right="40" w:firstLine="648"/>
        <w:spacing w:after="0" w:line="269" w:lineRule="auto"/>
        <w:rPr>
          <w:sz w:val="20"/>
          <w:szCs w:val="20"/>
          <w:color w:val="auto"/>
        </w:rPr>
      </w:pPr>
      <w:r>
        <w:rPr>
          <w:rFonts w:ascii="Arial" w:cs="Arial" w:eastAsia="Arial" w:hAnsi="Arial"/>
          <w:sz w:val="16"/>
          <w:szCs w:val="16"/>
          <w:color w:val="231F20"/>
        </w:rPr>
        <w:t>For the three and six months ended June 30, 2021, our debt investment portfolio had a dollar-weighted annualized yield of 15.25% and 14.11%, respectively. We calculate the yield on dollar-weighted debt investments for any period measured as (1) total related investment income during the period divided by (2) the daily average of the fair value of debt investments outstanding during the period. For the three and six months ended June 30, 2020, our debt investment portfolio had an effective annualized yield of 14.52% and 16.12%, respectively. The effective annualized yield on our debt investments is derived by dividing total related investment income for the period by the daily average earning investment portfolio assets outstanding at fair value and excludes noninterest earning assets such as warrants and equity investments. The warrants and other equity we receive from time to time when making loans to portfolio companies are excluded from the calculation of our effective annualized yield because such warrants and other equity do not generate any yield because we do not receive dividends or other payments with respect to our outstanding warrants. As of June 30, 2021, our debt investments had a dollar-weighted average outstanding term of 46 months at origination and a dollar-weighted average remaining term of 32 months, or approximately 2.7 years. As of June 30, 2021, substantially all of our debt investments had an original committed principal amount of between $6 million and $65 million, repayment terms of between 34 months and 60 months and pay cash interest at annual interest rates of between 8.55% and 12.00%.</w:t>
      </w:r>
    </w:p>
    <w:p>
      <w:pPr>
        <w:spacing w:after="0" w:line="16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231F20"/>
        </w:rPr>
        <w:t>The following table shows our dollar-weighted annualized yield by investment type for the three and six months ended June 30, 2021 and June 30, 2020: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(1)</w:t>
            </w:r>
          </w:p>
        </w:tc>
        <w:tc>
          <w:tcPr>
            <w:tcW w:w="9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ind w:left="800"/>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0"/>
                <w:szCs w:val="10"/>
                <w:b w:val="1"/>
                <w:bCs w:val="1"/>
                <w:color w:val="auto"/>
              </w:rPr>
              <w:t>(2)</w:t>
            </w:r>
          </w:p>
        </w:tc>
        <w:tc>
          <w:tcPr>
            <w:tcW w:w="940" w:type="dxa"/>
            <w:vAlign w:val="bottom"/>
            <w:tcBorders>
              <w:bottom w:val="single" w:sz="8" w:color="auto"/>
            </w:tcBorders>
          </w:tcPr>
          <w:p>
            <w:pPr>
              <w:spacing w:after="0"/>
              <w:rPr>
                <w:sz w:val="14"/>
                <w:szCs w:val="14"/>
                <w:color w:val="auto"/>
              </w:rPr>
            </w:pPr>
          </w:p>
        </w:tc>
      </w:tr>
      <w:tr>
        <w:trPr>
          <w:trHeight w:val="142"/>
        </w:trPr>
        <w:tc>
          <w:tcPr>
            <w:tcW w:w="1760" w:type="dxa"/>
            <w:vAlign w:val="bottom"/>
          </w:tcPr>
          <w:p>
            <w:pPr>
              <w:spacing w:after="0"/>
              <w:rPr>
                <w:sz w:val="12"/>
                <w:szCs w:val="12"/>
                <w:color w:val="auto"/>
              </w:rPr>
            </w:pPr>
          </w:p>
        </w:tc>
        <w:tc>
          <w:tcPr>
            <w:tcW w:w="2060" w:type="dxa"/>
            <w:vAlign w:val="bottom"/>
            <w:gridSpan w:val="4"/>
          </w:tcPr>
          <w:p>
            <w:pPr>
              <w:ind w:left="300"/>
              <w:spacing w:after="0" w:line="142" w:lineRule="exact"/>
              <w:rPr>
                <w:sz w:val="20"/>
                <w:szCs w:val="20"/>
                <w:color w:val="auto"/>
              </w:rPr>
            </w:pPr>
            <w:r>
              <w:rPr>
                <w:rFonts w:ascii="Arial" w:cs="Arial" w:eastAsia="Arial" w:hAnsi="Arial"/>
                <w:sz w:val="14"/>
                <w:szCs w:val="14"/>
                <w:b w:val="1"/>
                <w:bCs w:val="1"/>
                <w:color w:val="auto"/>
              </w:rPr>
              <w:t>Three Months Ended</w:t>
            </w:r>
          </w:p>
        </w:tc>
        <w:tc>
          <w:tcPr>
            <w:tcW w:w="1920" w:type="dxa"/>
            <w:vAlign w:val="bottom"/>
            <w:gridSpan w:val="3"/>
          </w:tcPr>
          <w:p>
            <w:pPr>
              <w:jc w:val="right"/>
              <w:ind w:right="315"/>
              <w:spacing w:after="0" w:line="142" w:lineRule="exact"/>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2"/>
                <w:szCs w:val="12"/>
                <w:color w:val="auto"/>
              </w:rPr>
            </w:pPr>
          </w:p>
        </w:tc>
        <w:tc>
          <w:tcPr>
            <w:tcW w:w="2060" w:type="dxa"/>
            <w:vAlign w:val="bottom"/>
            <w:gridSpan w:val="4"/>
          </w:tcPr>
          <w:p>
            <w:pPr>
              <w:ind w:left="320"/>
              <w:spacing w:after="0" w:line="142" w:lineRule="exact"/>
              <w:rPr>
                <w:sz w:val="20"/>
                <w:szCs w:val="20"/>
                <w:color w:val="auto"/>
              </w:rPr>
            </w:pPr>
            <w:r>
              <w:rPr>
                <w:rFonts w:ascii="Arial" w:cs="Arial" w:eastAsia="Arial" w:hAnsi="Arial"/>
                <w:sz w:val="14"/>
                <w:szCs w:val="14"/>
                <w:b w:val="1"/>
                <w:bCs w:val="1"/>
                <w:color w:val="auto"/>
              </w:rPr>
              <w:t>Three Months Ended</w:t>
            </w:r>
          </w:p>
        </w:tc>
        <w:tc>
          <w:tcPr>
            <w:tcW w:w="1980" w:type="dxa"/>
            <w:vAlign w:val="bottom"/>
            <w:gridSpan w:val="3"/>
          </w:tcPr>
          <w:p>
            <w:pPr>
              <w:jc w:val="right"/>
              <w:ind w:right="335"/>
              <w:spacing w:after="0" w:line="142" w:lineRule="exact"/>
              <w:rPr>
                <w:sz w:val="20"/>
                <w:szCs w:val="20"/>
                <w:color w:val="auto"/>
              </w:rPr>
            </w:pPr>
            <w:r>
              <w:rPr>
                <w:rFonts w:ascii="Arial" w:cs="Arial" w:eastAsia="Arial" w:hAnsi="Arial"/>
                <w:sz w:val="14"/>
                <w:szCs w:val="14"/>
                <w:b w:val="1"/>
                <w:bCs w:val="1"/>
                <w:color w:val="auto"/>
              </w:rPr>
              <w:t>Six Months Ended</w:t>
            </w:r>
          </w:p>
        </w:tc>
      </w:tr>
      <w:tr>
        <w:trPr>
          <w:trHeight w:val="142"/>
        </w:trPr>
        <w:tc>
          <w:tcPr>
            <w:tcW w:w="1760" w:type="dxa"/>
            <w:vAlign w:val="bottom"/>
          </w:tcPr>
          <w:p>
            <w:pPr>
              <w:spacing w:after="0"/>
              <w:rPr>
                <w:sz w:val="12"/>
                <w:szCs w:val="12"/>
                <w:color w:val="auto"/>
              </w:rPr>
            </w:pPr>
          </w:p>
        </w:tc>
        <w:tc>
          <w:tcPr>
            <w:tcW w:w="10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June 30, 2021</w:t>
            </w: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June 30, 2020</w:t>
            </w:r>
          </w:p>
        </w:tc>
        <w:tc>
          <w:tcPr>
            <w:tcW w:w="160" w:type="dxa"/>
            <w:vAlign w:val="bottom"/>
          </w:tcPr>
          <w:p>
            <w:pPr>
              <w:spacing w:after="0"/>
              <w:rPr>
                <w:sz w:val="12"/>
                <w:szCs w:val="12"/>
                <w:color w:val="auto"/>
              </w:rPr>
            </w:pPr>
          </w:p>
        </w:tc>
        <w:tc>
          <w:tcPr>
            <w:tcW w:w="10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June 30, 2021</w:t>
            </w: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June 30, 2020</w:t>
            </w:r>
          </w:p>
        </w:tc>
        <w:tc>
          <w:tcPr>
            <w:tcW w:w="140" w:type="dxa"/>
            <w:vAlign w:val="bottom"/>
          </w:tcPr>
          <w:p>
            <w:pPr>
              <w:spacing w:after="0"/>
              <w:rPr>
                <w:sz w:val="12"/>
                <w:szCs w:val="12"/>
                <w:color w:val="auto"/>
              </w:rPr>
            </w:pPr>
          </w:p>
        </w:tc>
        <w:tc>
          <w:tcPr>
            <w:tcW w:w="102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June 30, 2021</w:t>
            </w: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June 30, 2020</w:t>
            </w:r>
          </w:p>
        </w:tc>
        <w:tc>
          <w:tcPr>
            <w:tcW w:w="120" w:type="dxa"/>
            <w:vAlign w:val="bottom"/>
          </w:tcPr>
          <w:p>
            <w:pPr>
              <w:spacing w:after="0"/>
              <w:rPr>
                <w:sz w:val="12"/>
                <w:szCs w:val="12"/>
                <w:color w:val="auto"/>
              </w:rPr>
            </w:pPr>
          </w:p>
        </w:tc>
        <w:tc>
          <w:tcPr>
            <w:tcW w:w="104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June 30, 2021</w:t>
            </w:r>
          </w:p>
        </w:tc>
        <w:tc>
          <w:tcPr>
            <w:tcW w:w="9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June 30, 2020</w:t>
            </w:r>
          </w:p>
        </w:tc>
      </w:tr>
      <w:tr>
        <w:trPr>
          <w:trHeight w:val="210"/>
        </w:trPr>
        <w:tc>
          <w:tcPr>
            <w:tcW w:w="1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Investment type:</w:t>
            </w: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Debt investments</w:t>
            </w:r>
          </w:p>
        </w:tc>
        <w:tc>
          <w:tcPr>
            <w:tcW w:w="900" w:type="dxa"/>
            <w:vAlign w:val="bottom"/>
          </w:tcPr>
          <w:p>
            <w:pPr>
              <w:jc w:val="right"/>
              <w:spacing w:after="0"/>
              <w:rPr>
                <w:sz w:val="20"/>
                <w:szCs w:val="20"/>
                <w:color w:val="auto"/>
              </w:rPr>
            </w:pPr>
            <w:r>
              <w:rPr>
                <w:rFonts w:ascii="Arial" w:cs="Arial" w:eastAsia="Arial" w:hAnsi="Arial"/>
                <w:sz w:val="18"/>
                <w:szCs w:val="18"/>
                <w:color w:val="auto"/>
              </w:rPr>
              <w:t>15.25 %</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14.52 %</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14.11 %</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16.12 %</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15.09 %</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14.17 %</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13.97 %</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15.73 %</w:t>
            </w: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2.76 %</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4.87 %</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2.73 %</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3.76 %</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3.31 %</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4.66 %</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3.34 %</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3.61 %</w:t>
            </w: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All investments</w:t>
            </w:r>
          </w:p>
        </w:tc>
        <w:tc>
          <w:tcPr>
            <w:tcW w:w="900" w:type="dxa"/>
            <w:vAlign w:val="bottom"/>
          </w:tcPr>
          <w:p>
            <w:pPr>
              <w:jc w:val="right"/>
              <w:spacing w:after="0"/>
              <w:rPr>
                <w:sz w:val="20"/>
                <w:szCs w:val="20"/>
                <w:color w:val="auto"/>
              </w:rPr>
            </w:pPr>
            <w:r>
              <w:rPr>
                <w:rFonts w:ascii="Arial" w:cs="Arial" w:eastAsia="Arial" w:hAnsi="Arial"/>
                <w:sz w:val="18"/>
                <w:szCs w:val="18"/>
                <w:color w:val="auto"/>
              </w:rPr>
              <w:t>14.08 %</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13.53 %</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13.05 %</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14.89 %</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14.17 %</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13.17 %</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13.15 %</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50" w:lineRule="exact"/>
        <w:rPr>
          <w:sz w:val="20"/>
          <w:szCs w:val="20"/>
          <w:color w:val="auto"/>
        </w:rPr>
      </w:pPr>
    </w:p>
    <w:p>
      <w:pPr>
        <w:jc w:val="both"/>
        <w:ind w:left="660" w:hanging="328"/>
        <w:spacing w:after="0" w:line="223" w:lineRule="auto"/>
        <w:tabs>
          <w:tab w:leader="none" w:pos="660" w:val="left"/>
        </w:tabs>
        <w:numPr>
          <w:ilvl w:val="0"/>
          <w:numId w:val="23"/>
        </w:numPr>
        <w:rPr>
          <w:rFonts w:ascii="Arial" w:cs="Arial" w:eastAsia="Arial" w:hAnsi="Arial"/>
          <w:sz w:val="26"/>
          <w:szCs w:val="26"/>
          <w:color w:val="auto"/>
          <w:vertAlign w:val="superscript"/>
        </w:rPr>
      </w:pPr>
      <w:r>
        <w:rPr>
          <w:rFonts w:ascii="Arial" w:cs="Arial" w:eastAsia="Arial" w:hAnsi="Arial"/>
          <w:sz w:val="17"/>
          <w:szCs w:val="17"/>
          <w:color w:val="auto"/>
        </w:rPr>
        <w:t>We calculate the dollar-weighted annualized yield on average investment type for any period as (a) total related investment income during the period divided by (b) the daily average of the fair value of the investment type outstanding during the period. The dollar-weighted annualized yield represents the portfolio yield and will be higher than what investors will realize because it does not reflect our expenses or any sales load paid by investors.</w:t>
      </w:r>
    </w:p>
    <w:p>
      <w:pPr>
        <w:spacing w:after="0" w:line="1" w:lineRule="exact"/>
        <w:rPr>
          <w:rFonts w:ascii="Arial" w:cs="Arial" w:eastAsia="Arial" w:hAnsi="Arial"/>
          <w:sz w:val="26"/>
          <w:szCs w:val="26"/>
          <w:color w:val="auto"/>
          <w:vertAlign w:val="superscript"/>
        </w:rPr>
      </w:pPr>
    </w:p>
    <w:p>
      <w:pPr>
        <w:jc w:val="both"/>
        <w:ind w:left="660" w:hanging="328"/>
        <w:spacing w:after="0" w:line="219" w:lineRule="auto"/>
        <w:tabs>
          <w:tab w:leader="none" w:pos="660" w:val="left"/>
        </w:tabs>
        <w:numPr>
          <w:ilvl w:val="0"/>
          <w:numId w:val="23"/>
        </w:numPr>
        <w:rPr>
          <w:rFonts w:ascii="Arial" w:cs="Arial" w:eastAsia="Arial" w:hAnsi="Arial"/>
          <w:sz w:val="26"/>
          <w:szCs w:val="26"/>
          <w:color w:val="auto"/>
          <w:vertAlign w:val="superscript"/>
        </w:rPr>
      </w:pPr>
      <w:r>
        <w:rPr>
          <w:rFonts w:ascii="Arial" w:cs="Arial" w:eastAsia="Arial" w:hAnsi="Arial"/>
          <w:sz w:val="17"/>
          <w:szCs w:val="17"/>
          <w:color w:val="auto"/>
        </w:rPr>
        <w:t>We calculate the dollar-weighted annualized yield on average investment type for any period as (a) total related investment income during the period divided by (b) the daily average of the investment type outstanding during the period, at amortized cost. The dollar-weighted annualized yield represents the portfolio yield and will be higher than what investors will realize because it does not reflect our expenses or any saled load paid by investors.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Activity</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value of our investment portfolio will change over time due to changes in the fair value of our underlying investments, as well as changes in the composition of our portfolio resulting from purchases of new and follow-on investments as well as repayments and sales of existing investments. During the six months ended June 30, 2021, the Company funded $81.5 million in six new portfolio companies and $52.2 million in eight existing portfolio companies. The Company also received $94.7 million in loan repayments from nine portfolio companies. During the six months ended June 30, 2020, the Company funded $110.6 million in seven new portfolio companies and $13.9 million in five existing portfolio companies. The Company also received $56.6 million in loan repayments from four portfolio companies and $2.7 million in proceeds from the termination of warrants.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Reconciliation</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is a reconciliation of our investment portfolio, including U.S. Treasury Bills, for the six months ended June 30, 2021 and 2020: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Six Months Ended</w:t>
            </w:r>
          </w:p>
        </w:tc>
        <w:tc>
          <w:tcPr>
            <w:tcW w:w="14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24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June 30, 2020</w:t>
            </w:r>
          </w:p>
        </w:tc>
      </w:tr>
      <w:tr>
        <w:trPr>
          <w:trHeight w:val="142"/>
        </w:trPr>
        <w:tc>
          <w:tcPr>
            <w:tcW w:w="24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ind w:right="73"/>
              <w:spacing w:after="0" w:line="142" w:lineRule="exact"/>
              <w:rPr>
                <w:sz w:val="20"/>
                <w:szCs w:val="20"/>
                <w:color w:val="auto"/>
              </w:rPr>
            </w:pPr>
            <w:r>
              <w:rPr>
                <w:rFonts w:ascii="Arial" w:cs="Arial" w:eastAsia="Arial" w:hAnsi="Arial"/>
                <w:sz w:val="14"/>
                <w:szCs w:val="14"/>
                <w:b w:val="1"/>
                <w:bCs w:val="1"/>
                <w:color w:val="auto"/>
                <w:w w:val="94"/>
              </w:rPr>
              <w:t>(unaudited)</w:t>
            </w:r>
          </w:p>
        </w:tc>
        <w:tc>
          <w:tcPr>
            <w:tcW w:w="200" w:type="dxa"/>
            <w:vAlign w:val="bottom"/>
          </w:tcPr>
          <w:p>
            <w:pPr>
              <w:spacing w:after="0"/>
              <w:rPr>
                <w:sz w:val="12"/>
                <w:szCs w:val="12"/>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Investment Portfolio</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621,826,650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467,981,699</w:t>
            </w:r>
          </w:p>
        </w:tc>
        <w:tc>
          <w:tcPr>
            <w:tcW w:w="200" w:type="dxa"/>
            <w:vAlign w:val="bottom"/>
            <w:shd w:val="clear" w:color="auto" w:fill="CCEEFF"/>
          </w:tcPr>
          <w:p>
            <w:pPr>
              <w:spacing w:after="0"/>
              <w:rPr>
                <w:sz w:val="18"/>
                <w:szCs w:val="18"/>
                <w:color w:val="auto"/>
              </w:rPr>
            </w:pPr>
          </w:p>
        </w:tc>
      </w:tr>
      <w:tr>
        <w:trPr>
          <w:trHeight w:val="216"/>
        </w:trPr>
        <w:tc>
          <w:tcPr>
            <w:tcW w:w="6140" w:type="dxa"/>
            <w:vAlign w:val="bottom"/>
            <w:gridSpan w:val="2"/>
          </w:tcPr>
          <w:p>
            <w:pPr>
              <w:spacing w:after="0" w:line="216" w:lineRule="exact"/>
              <w:rPr>
                <w:sz w:val="20"/>
                <w:szCs w:val="20"/>
                <w:color w:val="auto"/>
              </w:rPr>
            </w:pPr>
            <w:r>
              <w:rPr>
                <w:rFonts w:ascii="Arial" w:cs="Arial" w:eastAsia="Arial" w:hAnsi="Arial"/>
                <w:sz w:val="17"/>
                <w:szCs w:val="17"/>
                <w:color w:val="auto"/>
              </w:rPr>
              <w:t>Purchases of Investments</w:t>
            </w:r>
            <w:r>
              <w:rPr>
                <w:rFonts w:ascii="Arial" w:cs="Arial" w:eastAsia="Arial" w:hAnsi="Arial"/>
                <w:sz w:val="25"/>
                <w:szCs w:val="25"/>
                <w:color w:val="auto"/>
                <w:vertAlign w:val="superscript"/>
              </w:rPr>
              <w:t>(1)</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3"/>
              </w:rPr>
              <w:t>135,670,562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101,305,339</w:t>
            </w:r>
          </w:p>
        </w:tc>
        <w:tc>
          <w:tcPr>
            <w:tcW w:w="200" w:type="dxa"/>
            <w:vAlign w:val="bottom"/>
          </w:tcPr>
          <w:p>
            <w:pPr>
              <w:spacing w:after="0"/>
              <w:rPr>
                <w:sz w:val="18"/>
                <w:szCs w:val="18"/>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U.S. Treasury Bills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54,999,849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94,999,834</w:t>
            </w:r>
          </w:p>
        </w:tc>
        <w:tc>
          <w:tcPr>
            <w:tcW w:w="200" w:type="dxa"/>
            <w:vAlign w:val="bottom"/>
            <w:shd w:val="clear" w:color="auto" w:fill="CCEEFF"/>
          </w:tcPr>
          <w:p>
            <w:pPr>
              <w:spacing w:after="0"/>
              <w:rPr>
                <w:sz w:val="18"/>
                <w:szCs w:val="18"/>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Amortization of Fixed Income Premiums or Accretion of Discounts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3,660,438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4,349,093</w:t>
            </w:r>
          </w:p>
        </w:tc>
        <w:tc>
          <w:tcPr>
            <w:tcW w:w="200" w:type="dxa"/>
            <w:vAlign w:val="bottom"/>
          </w:tcPr>
          <w:p>
            <w:pPr>
              <w:spacing w:after="0"/>
              <w:rPr>
                <w:sz w:val="18"/>
                <w:szCs w:val="18"/>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or Repayments of Investments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(94,717,114)</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(58,635,634)</w:t>
            </w: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Scheduled Principal Payments of Investments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(2,066,437)</w:t>
            </w:r>
          </w:p>
        </w:tc>
        <w:tc>
          <w:tcPr>
            <w:tcW w:w="1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(2,330,711)</w:t>
            </w: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Maturities of U.S. Treasury Bills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(94,999,162)</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(149,986,014)</w:t>
            </w: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Realized (Loss) on Investments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(4,813,280)</w:t>
            </w:r>
          </w:p>
        </w:tc>
        <w:tc>
          <w:tcPr>
            <w:tcW w:w="1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(6,513,405)</w:t>
            </w: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Unrealized Appreciation (Depreciation) on Investments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(1,944,463)</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4,317,510</w:t>
            </w:r>
          </w:p>
        </w:tc>
        <w:tc>
          <w:tcPr>
            <w:tcW w:w="200" w:type="dxa"/>
            <w:vAlign w:val="bottom"/>
            <w:shd w:val="clear" w:color="auto" w:fill="CCEEFF"/>
          </w:tcPr>
          <w:p>
            <w:pPr>
              <w:spacing w:after="0"/>
              <w:rPr>
                <w:sz w:val="18"/>
                <w:szCs w:val="18"/>
                <w:color w:val="auto"/>
              </w:rPr>
            </w:pPr>
          </w:p>
        </w:tc>
      </w:tr>
      <w:tr>
        <w:trPr>
          <w:trHeight w:val="210"/>
        </w:trPr>
        <w:tc>
          <w:tcPr>
            <w:tcW w:w="6140" w:type="dxa"/>
            <w:vAlign w:val="bottom"/>
            <w:gridSpan w:val="2"/>
          </w:tcPr>
          <w:p>
            <w:pPr>
              <w:spacing w:after="0"/>
              <w:rPr>
                <w:sz w:val="20"/>
                <w:szCs w:val="20"/>
                <w:color w:val="auto"/>
              </w:rPr>
            </w:pPr>
            <w:r>
              <w:rPr>
                <w:rFonts w:ascii="Arial" w:cs="Arial" w:eastAsia="Arial" w:hAnsi="Arial"/>
                <w:sz w:val="18"/>
                <w:szCs w:val="18"/>
                <w:color w:val="auto"/>
              </w:rPr>
              <w:t>Ending Investment Portfolio</w:t>
            </w:r>
          </w:p>
        </w:tc>
        <w:tc>
          <w:tcPr>
            <w:tcW w:w="10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617,617,043</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455,487,711</w:t>
            </w:r>
          </w:p>
        </w:tc>
        <w:tc>
          <w:tcPr>
            <w:tcW w:w="200" w:type="dxa"/>
            <w:vAlign w:val="bottom"/>
          </w:tcPr>
          <w:p>
            <w:pPr>
              <w:spacing w:after="0"/>
              <w:rPr>
                <w:sz w:val="18"/>
                <w:szCs w:val="18"/>
                <w:color w:val="auto"/>
              </w:rPr>
            </w:pPr>
          </w:p>
        </w:tc>
      </w:tr>
      <w:tr>
        <w:trPr>
          <w:trHeight w:val="20"/>
        </w:trPr>
        <w:tc>
          <w:tcPr>
            <w:tcW w:w="24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95"/>
        </w:trPr>
        <w:tc>
          <w:tcPr>
            <w:tcW w:w="2480" w:type="dxa"/>
            <w:vAlign w:val="bottom"/>
            <w:tcBorders>
              <w:bottom w:val="single" w:sz="8" w:color="auto"/>
            </w:tcBorders>
          </w:tcPr>
          <w:p>
            <w:pPr>
              <w:spacing w:after="0"/>
              <w:rPr>
                <w:sz w:val="8"/>
                <w:szCs w:val="8"/>
                <w:color w:val="auto"/>
              </w:rPr>
            </w:pPr>
          </w:p>
        </w:tc>
        <w:tc>
          <w:tcPr>
            <w:tcW w:w="36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r>
    </w:tbl>
    <w:p>
      <w:pPr>
        <w:ind w:left="340"/>
        <w:spacing w:after="0" w:line="229" w:lineRule="auto"/>
        <w:tabs>
          <w:tab w:leader="none" w:pos="640" w:val="left"/>
        </w:tabs>
        <w:rPr>
          <w:sz w:val="20"/>
          <w:szCs w:val="20"/>
          <w:color w:val="auto"/>
        </w:rPr>
      </w:pPr>
      <w:r>
        <w:rPr>
          <w:rFonts w:ascii="Arial" w:cs="Arial" w:eastAsia="Arial" w:hAnsi="Arial"/>
          <w:sz w:val="27"/>
          <w:szCs w:val="27"/>
          <w:color w:val="auto"/>
          <w:vertAlign w:val="superscript"/>
        </w:rPr>
        <w:t>(3)</w:t>
      </w:r>
      <w:r>
        <w:rPr>
          <w:sz w:val="20"/>
          <w:szCs w:val="20"/>
          <w:color w:val="auto"/>
        </w:rPr>
        <w:tab/>
      </w:r>
      <w:r>
        <w:rPr>
          <w:rFonts w:ascii="Arial" w:cs="Arial" w:eastAsia="Arial" w:hAnsi="Arial"/>
          <w:sz w:val="18"/>
          <w:szCs w:val="18"/>
          <w:color w:val="auto"/>
        </w:rPr>
        <w:t>Includes PIK interest.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Quality</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to various risk management and monitoring tools, RGC uses an investment rating system to characterize and monitor the quality of our debt investment portfolio. Equity securities and Treasury Bills are not graded. This debt investment rating system uses a five-level numeric scale. The following is a description of the conditions associated with each investment rating:</w:t>
      </w:r>
    </w:p>
    <w:p>
      <w:pPr>
        <w:spacing w:after="0" w:line="144"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760" w:type="dxa"/>
            <w:vAlign w:val="bottom"/>
          </w:tcPr>
          <w:p>
            <w:pPr>
              <w:jc w:val="center"/>
              <w:ind w:right="1988"/>
              <w:spacing w:after="0"/>
              <w:rPr>
                <w:sz w:val="20"/>
                <w:szCs w:val="20"/>
                <w:color w:val="auto"/>
              </w:rPr>
            </w:pPr>
            <w:r>
              <w:rPr>
                <w:rFonts w:ascii="Arial" w:cs="Arial" w:eastAsia="Arial" w:hAnsi="Arial"/>
                <w:sz w:val="14"/>
                <w:szCs w:val="14"/>
                <w:b w:val="1"/>
                <w:bCs w:val="1"/>
                <w:color w:val="auto"/>
                <w:w w:val="94"/>
              </w:rPr>
              <w:t>Investment</w:t>
            </w:r>
          </w:p>
        </w:tc>
        <w:tc>
          <w:tcPr>
            <w:tcW w:w="3120" w:type="dxa"/>
            <w:vAlign w:val="bottom"/>
            <w:vMerge w:val="restart"/>
          </w:tcPr>
          <w:p>
            <w:pPr>
              <w:ind w:left="2060"/>
              <w:spacing w:after="0"/>
              <w:rPr>
                <w:sz w:val="20"/>
                <w:szCs w:val="20"/>
                <w:color w:val="auto"/>
              </w:rPr>
            </w:pPr>
            <w:r>
              <w:rPr>
                <w:rFonts w:ascii="Arial" w:cs="Arial" w:eastAsia="Arial" w:hAnsi="Arial"/>
                <w:sz w:val="14"/>
                <w:szCs w:val="14"/>
                <w:b w:val="1"/>
                <w:bCs w:val="1"/>
                <w:color w:val="auto"/>
                <w:w w:val="92"/>
              </w:rPr>
              <w:t>Rating Definition</w:t>
            </w:r>
          </w:p>
        </w:tc>
        <w:tc>
          <w:tcPr>
            <w:tcW w:w="0" w:type="dxa"/>
            <w:vAlign w:val="bottom"/>
          </w:tcPr>
          <w:p>
            <w:pPr>
              <w:spacing w:after="0"/>
              <w:rPr>
                <w:sz w:val="1"/>
                <w:szCs w:val="1"/>
                <w:color w:val="auto"/>
              </w:rPr>
            </w:pPr>
          </w:p>
        </w:tc>
      </w:tr>
      <w:tr>
        <w:trPr>
          <w:trHeight w:val="186"/>
        </w:trPr>
        <w:tc>
          <w:tcPr>
            <w:tcW w:w="2760" w:type="dxa"/>
            <w:vAlign w:val="bottom"/>
          </w:tcPr>
          <w:p>
            <w:pPr>
              <w:jc w:val="center"/>
              <w:ind w:right="1988"/>
              <w:spacing w:after="0"/>
              <w:rPr>
                <w:sz w:val="20"/>
                <w:szCs w:val="20"/>
                <w:color w:val="auto"/>
              </w:rPr>
            </w:pPr>
            <w:r>
              <w:rPr>
                <w:rFonts w:ascii="Arial" w:cs="Arial" w:eastAsia="Arial" w:hAnsi="Arial"/>
                <w:sz w:val="14"/>
                <w:szCs w:val="14"/>
                <w:b w:val="1"/>
                <w:bCs w:val="1"/>
                <w:color w:val="auto"/>
                <w:w w:val="96"/>
              </w:rPr>
              <w:t>Rating</w:t>
            </w:r>
          </w:p>
        </w:tc>
        <w:tc>
          <w:tcPr>
            <w:tcW w:w="3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wp:posOffset>
            </wp:positionV>
            <wp:extent cx="629221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194" w:lineRule="exact"/>
        <w:rPr>
          <w:sz w:val="20"/>
          <w:szCs w:val="20"/>
          <w:color w:val="auto"/>
        </w:rPr>
      </w:pPr>
    </w:p>
    <w:p>
      <w:pPr>
        <w:ind w:left="1100" w:right="20" w:hanging="636"/>
        <w:spacing w:after="0" w:line="258" w:lineRule="auto"/>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Performing above plan and/or strong enterprise profile, value, financial performance/coverage. Maintaining full covenant and payment compliance as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-273050</wp:posOffset>
            </wp:positionV>
            <wp:extent cx="6292215" cy="274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74320"/>
                    </a:xfrm>
                    <a:prstGeom prst="rect">
                      <a:avLst/>
                    </a:prstGeom>
                    <a:noFill/>
                  </pic:spPr>
                </pic:pic>
              </a:graphicData>
            </a:graphic>
          </wp:anchor>
        </w:drawing>
      </w:r>
    </w:p>
    <w:p>
      <w:pPr>
        <w:ind w:left="1100" w:right="20" w:hanging="636"/>
        <w:spacing w:after="0" w:line="265" w:lineRule="auto"/>
        <w:tabs>
          <w:tab w:leader="none" w:pos="11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Performing at or reasonably close to plan. Acceptable business prospects, enterprise value, financial coverage. Maintaining key covenant and payment compliance as agreed. All new loans are initially graded Category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6292215" cy="274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74320"/>
                    </a:xfrm>
                    <a:prstGeom prst="rect">
                      <a:avLst/>
                    </a:prstGeom>
                    <a:noFill/>
                  </pic:spPr>
                </pic:pic>
              </a:graphicData>
            </a:graphic>
          </wp:anchor>
        </w:drawing>
      </w:r>
    </w:p>
    <w:p>
      <w:pPr>
        <w:ind w:left="1100" w:hanging="636"/>
        <w:spacing w:after="0"/>
        <w:tabs>
          <w:tab w:leader="none" w:pos="11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Performing below plan of record. Potential elements of concern over performance, trends and business outlook. Loan-to-</w:t>
      </w:r>
    </w:p>
    <w:p>
      <w:pPr>
        <w:spacing w:after="0" w:line="3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value remains adequate. Potential key covenant non-compliance. Full payment compliance.</w:t>
      </w:r>
    </w:p>
    <w:p>
      <w:pPr>
        <w:spacing w:after="0" w:line="9" w:lineRule="exact"/>
        <w:rPr>
          <w:sz w:val="20"/>
          <w:szCs w:val="20"/>
          <w:color w:val="auto"/>
        </w:rPr>
      </w:pPr>
    </w:p>
    <w:p>
      <w:pPr>
        <w:jc w:val="both"/>
        <w:ind w:left="1100" w:hanging="636"/>
        <w:spacing w:after="0" w:line="281" w:lineRule="auto"/>
        <w:tabs>
          <w:tab w:leader="none" w:pos="11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Performing materially below plan. Non-compliant with material financial covenants. Payment default/deferral could result without corrective action. Requires close monitoring. Business prospects, enterprise value and collateral coverage</w:t>
      </w:r>
    </w:p>
    <w:p>
      <w:pPr>
        <w:spacing w:after="0" w:line="1" w:lineRule="exact"/>
        <w:rPr>
          <w:sz w:val="20"/>
          <w:szCs w:val="20"/>
          <w:color w:val="auto"/>
        </w:rPr>
      </w:pPr>
    </w:p>
    <w:p>
      <w:pPr>
        <w:ind w:left="1100"/>
        <w:spacing w:after="0" w:line="250" w:lineRule="auto"/>
        <w:rPr>
          <w:sz w:val="20"/>
          <w:szCs w:val="20"/>
          <w:color w:val="auto"/>
        </w:rPr>
      </w:pPr>
      <w:r>
        <w:rPr>
          <w:rFonts w:ascii="Arial" w:cs="Arial" w:eastAsia="Arial" w:hAnsi="Arial"/>
          <w:sz w:val="18"/>
          <w:szCs w:val="18"/>
          <w:color w:val="auto"/>
        </w:rPr>
        <w:t>declining. These investments may be in workout, and there is a possibility of loss of return but no loss of principal is expected.</w:t>
      </w:r>
    </w:p>
    <w:p>
      <w:pPr>
        <w:spacing w:after="0" w:line="1" w:lineRule="exact"/>
        <w:rPr>
          <w:sz w:val="20"/>
          <w:szCs w:val="20"/>
          <w:color w:val="auto"/>
        </w:rPr>
      </w:pPr>
    </w:p>
    <w:p>
      <w:pPr>
        <w:ind w:left="1100" w:hanging="636"/>
        <w:spacing w:after="0" w:line="323" w:lineRule="auto"/>
        <w:tabs>
          <w:tab w:leader="none" w:pos="11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Going concern nature in question. Substantial decline in enterprise value and all coverages. Covenant and payment default imminent if not currently present. Investments are nearly always in workout. May experience partial and/or full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-313690</wp:posOffset>
            </wp:positionV>
            <wp:extent cx="6292215" cy="274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7432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the investment ratings of our debt investments at fair value as of June 30, 2021 and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14"/>
                <w:szCs w:val="14"/>
                <w:b w:val="1"/>
                <w:bCs w:val="1"/>
                <w:color w:val="auto"/>
              </w:rPr>
              <w:t>As of June 30, 2021</w:t>
            </w: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4"/>
                <w:szCs w:val="14"/>
                <w:b w:val="1"/>
                <w:bCs w:val="1"/>
                <w:color w:val="auto"/>
              </w:rPr>
              <w:t>As of December 31, 2020</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9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0" w:type="dxa"/>
            <w:vAlign w:val="bottom"/>
          </w:tcPr>
          <w:p>
            <w:pPr>
              <w:spacing w:after="0"/>
              <w:rPr>
                <w:sz w:val="1"/>
                <w:szCs w:val="1"/>
                <w:color w:val="auto"/>
              </w:rPr>
            </w:pPr>
          </w:p>
        </w:tc>
      </w:tr>
      <w:tr>
        <w:trPr>
          <w:trHeight w:val="148"/>
        </w:trPr>
        <w:tc>
          <w:tcPr>
            <w:tcW w:w="1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Fair Value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24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Portfolio</w:t>
            </w:r>
          </w:p>
        </w:tc>
        <w:tc>
          <w:tcPr>
            <w:tcW w:w="260" w:type="dxa"/>
            <w:vAlign w:val="bottom"/>
          </w:tcPr>
          <w:p>
            <w:pPr>
              <w:spacing w:after="0"/>
              <w:rPr>
                <w:sz w:val="12"/>
                <w:szCs w:val="12"/>
                <w:color w:val="auto"/>
              </w:rPr>
            </w:pPr>
          </w:p>
        </w:tc>
        <w:tc>
          <w:tcPr>
            <w:tcW w:w="14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71"/>
        </w:trPr>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6"/>
              </w:rPr>
              <w:t>Rating</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24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Companies</w:t>
            </w:r>
          </w:p>
        </w:tc>
        <w:tc>
          <w:tcPr>
            <w:tcW w:w="2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Companies</w:t>
            </w:r>
          </w:p>
        </w:tc>
        <w:tc>
          <w:tcPr>
            <w:tcW w:w="0" w:type="dxa"/>
            <w:vAlign w:val="bottom"/>
          </w:tcPr>
          <w:p>
            <w:pPr>
              <w:spacing w:after="0"/>
              <w:rPr>
                <w:sz w:val="1"/>
                <w:szCs w:val="1"/>
                <w:color w:val="auto"/>
              </w:rPr>
            </w:pPr>
          </w:p>
        </w:tc>
      </w:tr>
      <w:tr>
        <w:trPr>
          <w:trHeight w:val="209"/>
        </w:trPr>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411,945,661</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66.7</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380,796,998</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61.2</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90,337,985</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90,459,846</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8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14,830,196</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30,707,813</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13,797,915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530,911,757</w:t>
            </w:r>
          </w:p>
        </w:tc>
        <w:tc>
          <w:tcPr>
            <w:tcW w:w="2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501,964,657</w:t>
            </w:r>
          </w:p>
        </w:tc>
        <w:tc>
          <w:tcPr>
            <w:tcW w:w="24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40" w:type="dxa"/>
            <w:vAlign w:val="bottom"/>
            <w:tcBorders>
              <w:top w:val="single" w:sz="8" w:color="auto"/>
              <w:bottom w:val="single" w:sz="8" w:color="auto"/>
            </w:tcBorders>
          </w:tcPr>
          <w:p>
            <w:pPr>
              <w:spacing w:after="0"/>
              <w:rPr>
                <w:sz w:val="18"/>
                <w:szCs w:val="18"/>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The global COVID-19 pandemic, to date, has had limited impact on the investment ratings of our debt investments, taken as a whole. However, the ongoing impact of the global COVID-19 pandemic is uncertain and we can make no assurances that the pandemic will not have a negative impact on our investment portfolio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and Debt Securities on Non-Accrual Status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Generally, when interest and/or principal payments on a loan become past due, or if we otherwise do not expect the borrower to be able to service its debt and other obligations, we will place the loan on non-accrual status and will generally cease recognizing interest income on that loan for financial reporting purposes until all principal and interest have been brought current through payment or due to a restructuring such that the interest income is deemed to be collectible. As of June 30, 2021, we had six loans to Mojix, Inc. representing an aggregate principal funded of $11,000,000 at a fair market value of $10,913,998, on non-accrual status, which represents 2.28% of our net assets. </w:t>
      </w:r>
      <w:r>
        <w:rPr>
          <w:rFonts w:ascii="Arial" w:cs="Arial" w:eastAsia="Arial" w:hAnsi="Arial"/>
          <w:sz w:val="16"/>
          <w:szCs w:val="16"/>
          <w:color w:val="231F20"/>
        </w:rPr>
        <w:t>As of December 31, 2020, we had</w:t>
      </w:r>
      <w:r>
        <w:rPr>
          <w:rFonts w:ascii="Arial" w:cs="Arial" w:eastAsia="Arial" w:hAnsi="Arial"/>
          <w:sz w:val="16"/>
          <w:szCs w:val="16"/>
          <w:color w:val="auto"/>
        </w:rPr>
        <w:t xml:space="preserve"> six loans to Mojix, Inc. representing an aggregate principal funded of $11,000,000 at a fair market value of $8,961,080, on non-accrual status, which represents 1.92% of our net assets</w:t>
      </w:r>
      <w:r>
        <w:rPr>
          <w:rFonts w:ascii="Arial" w:cs="Arial" w:eastAsia="Arial" w:hAnsi="Arial"/>
          <w:sz w:val="16"/>
          <w:szCs w:val="16"/>
          <w:color w:val="231F20"/>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An important measure of our financial performance is net increase/(decrease) in net assets resulting from operations, which includes net investment income/(loss), net realized gain/(loss) and net unrealized appreciation/(depreciation). Net investment income/(loss) is the difference between our income from interest, dividends, fees and other investment income and our operating expenses, including interest on borrowed funds. Net realized gain/(loss) on investments is the difference between the proceeds received from dispositions of portfolio investments and their amortized cost. Net unrealized appreciation/(depreciation) on investments is the net change in the fair value of our investment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2021 and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4"/>
          </w:tcPr>
          <w:p>
            <w:pPr>
              <w:jc w:val="center"/>
              <w:ind w:right="72"/>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4"/>
          </w:tcPr>
          <w:p>
            <w:pPr>
              <w:jc w:val="center"/>
              <w:ind w:right="72"/>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86"/>
        </w:trPr>
        <w:tc>
          <w:tcPr>
            <w:tcW w:w="24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3"/>
          </w:tcPr>
          <w:p>
            <w:pPr>
              <w:jc w:val="center"/>
              <w:ind w:left="512"/>
              <w:spacing w:after="0"/>
              <w:rPr>
                <w:sz w:val="20"/>
                <w:szCs w:val="20"/>
                <w:color w:val="auto"/>
              </w:rPr>
            </w:pPr>
            <w:r>
              <w:rPr>
                <w:rFonts w:ascii="Arial" w:cs="Arial" w:eastAsia="Arial" w:hAnsi="Arial"/>
                <w:sz w:val="14"/>
                <w:szCs w:val="14"/>
                <w:b w:val="1"/>
                <w:bCs w:val="1"/>
                <w:color w:val="auto"/>
                <w:w w:val="92"/>
              </w:rPr>
              <w:t>June 30, 2021</w:t>
            </w:r>
          </w:p>
        </w:tc>
        <w:tc>
          <w:tcPr>
            <w:tcW w:w="7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Per</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3"/>
          </w:tcPr>
          <w:p>
            <w:pPr>
              <w:jc w:val="center"/>
              <w:ind w:left="532"/>
              <w:spacing w:after="0"/>
              <w:rPr>
                <w:sz w:val="20"/>
                <w:szCs w:val="20"/>
                <w:color w:val="auto"/>
              </w:rPr>
            </w:pPr>
            <w:r>
              <w:rPr>
                <w:rFonts w:ascii="Arial" w:cs="Arial" w:eastAsia="Arial" w:hAnsi="Arial"/>
                <w:sz w:val="14"/>
                <w:szCs w:val="14"/>
                <w:b w:val="1"/>
                <w:bCs w:val="1"/>
                <w:color w:val="auto"/>
                <w:w w:val="90"/>
              </w:rPr>
              <w:t>June 30, 2020</w:t>
            </w:r>
          </w:p>
        </w:tc>
        <w:tc>
          <w:tcPr>
            <w:tcW w:w="7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Per</w:t>
            </w:r>
          </w:p>
        </w:tc>
        <w:tc>
          <w:tcPr>
            <w:tcW w:w="0" w:type="dxa"/>
            <w:vAlign w:val="bottom"/>
          </w:tcPr>
          <w:p>
            <w:pPr>
              <w:spacing w:after="0"/>
              <w:rPr>
                <w:sz w:val="1"/>
                <w:szCs w:val="1"/>
                <w:color w:val="auto"/>
              </w:rPr>
            </w:pPr>
          </w:p>
        </w:tc>
      </w:tr>
      <w:tr>
        <w:trPr>
          <w:trHeight w:val="111"/>
        </w:trPr>
        <w:tc>
          <w:tcPr>
            <w:tcW w:w="24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480" w:type="dxa"/>
            <w:vAlign w:val="bottom"/>
            <w:tcBorders>
              <w:bottom w:val="single" w:sz="8" w:color="CCEEFF"/>
            </w:tcBorders>
          </w:tcPr>
          <w:p>
            <w:pPr>
              <w:spacing w:after="0"/>
              <w:rPr>
                <w:sz w:val="14"/>
                <w:szCs w:val="14"/>
                <w:color w:val="auto"/>
              </w:rPr>
            </w:pPr>
          </w:p>
        </w:tc>
        <w:tc>
          <w:tcPr>
            <w:tcW w:w="214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89"/>
              </w:rPr>
              <w:t>Share</w:t>
            </w:r>
            <w:r>
              <w:rPr>
                <w:rFonts w:ascii="Arial" w:cs="Arial" w:eastAsia="Arial" w:hAnsi="Arial"/>
                <w:sz w:val="10"/>
                <w:szCs w:val="10"/>
                <w:b w:val="1"/>
                <w:bCs w:val="1"/>
                <w:color w:val="auto"/>
                <w:w w:val="89"/>
              </w:rPr>
              <w:t>(1)</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3"/>
              </w:rPr>
              <w:t>Share</w:t>
            </w:r>
            <w:r>
              <w:rPr>
                <w:rFonts w:ascii="Arial" w:cs="Arial" w:eastAsia="Arial" w:hAnsi="Arial"/>
                <w:sz w:val="10"/>
                <w:szCs w:val="10"/>
                <w:b w:val="1"/>
                <w:bCs w:val="1"/>
                <w:color w:val="auto"/>
                <w:w w:val="93"/>
              </w:rPr>
              <w:t>(1)</w:t>
            </w:r>
          </w:p>
        </w:tc>
        <w:tc>
          <w:tcPr>
            <w:tcW w:w="0" w:type="dxa"/>
            <w:vAlign w:val="bottom"/>
          </w:tcPr>
          <w:p>
            <w:pPr>
              <w:spacing w:after="0"/>
              <w:rPr>
                <w:sz w:val="1"/>
                <w:szCs w:val="1"/>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20"/>
              <w:spacing w:after="0"/>
              <w:rPr>
                <w:sz w:val="20"/>
                <w:szCs w:val="20"/>
                <w:color w:val="auto"/>
              </w:rPr>
            </w:pPr>
            <w:r>
              <w:rPr>
                <w:rFonts w:ascii="Arial" w:cs="Arial" w:eastAsia="Arial" w:hAnsi="Arial"/>
                <w:sz w:val="18"/>
                <w:szCs w:val="18"/>
                <w:color w:val="auto"/>
              </w:rPr>
              <w:t>Interest and dividend income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5"/>
              </w:rPr>
              <w:t>18,618,785</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0.57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11,633,251</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income</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126,817</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167,803</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Total investment income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18,745,602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0.58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11,801,054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20"/>
              <w:spacing w:after="0"/>
              <w:rPr>
                <w:sz w:val="20"/>
                <w:szCs w:val="20"/>
                <w:color w:val="auto"/>
              </w:rPr>
            </w:pPr>
            <w:r>
              <w:rPr>
                <w:rFonts w:ascii="Arial" w:cs="Arial" w:eastAsia="Arial" w:hAnsi="Arial"/>
                <w:sz w:val="18"/>
                <w:szCs w:val="18"/>
                <w:color w:val="auto"/>
              </w:rPr>
              <w:t>Management fees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2,276,341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1,758,729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Incentive fees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2,836,303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905,858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761,815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23,082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Professional fees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429,902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383,360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20"/>
              <w:spacing w:after="0"/>
              <w:rPr>
                <w:sz w:val="20"/>
                <w:szCs w:val="20"/>
                <w:color w:val="auto"/>
              </w:rPr>
            </w:pPr>
            <w:r>
              <w:rPr>
                <w:rFonts w:ascii="Arial" w:cs="Arial" w:eastAsia="Arial" w:hAnsi="Arial"/>
                <w:sz w:val="18"/>
                <w:szCs w:val="18"/>
                <w:color w:val="auto"/>
              </w:rPr>
              <w:t>Overhead allocation expense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208,736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161,665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Administration fees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92,760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121,369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20"/>
              <w:spacing w:after="0"/>
              <w:rPr>
                <w:sz w:val="20"/>
                <w:szCs w:val="20"/>
                <w:color w:val="auto"/>
              </w:rPr>
            </w:pPr>
            <w:r>
              <w:rPr>
                <w:rFonts w:ascii="Arial" w:cs="Arial" w:eastAsia="Arial" w:hAnsi="Arial"/>
                <w:sz w:val="18"/>
                <w:szCs w:val="18"/>
                <w:color w:val="auto"/>
              </w:rPr>
              <w:t>Credit facility fees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419,216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199,993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Directors’ fees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69,250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60,250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20"/>
              <w:spacing w:after="0"/>
              <w:rPr>
                <w:sz w:val="20"/>
                <w:szCs w:val="20"/>
                <w:color w:val="auto"/>
              </w:rPr>
            </w:pPr>
            <w:r>
              <w:rPr>
                <w:rFonts w:ascii="Arial" w:cs="Arial" w:eastAsia="Arial" w:hAnsi="Arial"/>
                <w:sz w:val="18"/>
                <w:szCs w:val="18"/>
                <w:color w:val="auto"/>
              </w:rPr>
              <w:t>Consulting fees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27,500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13,301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Tax expense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20"/>
              <w:spacing w:after="0"/>
              <w:rPr>
                <w:sz w:val="20"/>
                <w:szCs w:val="20"/>
                <w:color w:val="auto"/>
              </w:rPr>
            </w:pPr>
            <w:r>
              <w:rPr>
                <w:rFonts w:ascii="Arial" w:cs="Arial" w:eastAsia="Arial" w:hAnsi="Arial"/>
                <w:sz w:val="18"/>
                <w:szCs w:val="18"/>
                <w:color w:val="auto"/>
              </w:rPr>
              <w:t>Insurance expense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23,275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26,438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expenses</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259,986</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268,638</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7,405,125</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3,927,213</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0"/>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Net investment income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11,340,477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0.35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7,873,841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Realized gain (loss) on investments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(4,595,853)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203,854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98"/>
        </w:trPr>
        <w:tc>
          <w:tcPr>
            <w:tcW w:w="462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96"/>
              </w:rPr>
              <w:t>Net change in unrealized appreciation (depreciation) on</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investments</w:t>
            </w:r>
          </w:p>
        </w:tc>
        <w:tc>
          <w:tcPr>
            <w:tcW w:w="3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(33,281)</w:t>
            </w:r>
          </w:p>
        </w:tc>
        <w:tc>
          <w:tcPr>
            <w:tcW w:w="2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5,496,594</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0"/>
        </w:trPr>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3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6,711,343</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13,574,289</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480" w:type="dxa"/>
            <w:vAlign w:val="bottom"/>
            <w:tcBorders>
              <w:bottom w:val="single" w:sz="8" w:color="auto"/>
            </w:tcBorders>
          </w:tcPr>
          <w:p>
            <w:pPr>
              <w:spacing w:after="0"/>
              <w:rPr>
                <w:sz w:val="8"/>
                <w:szCs w:val="8"/>
                <w:color w:val="auto"/>
              </w:rPr>
            </w:pPr>
          </w:p>
        </w:tc>
        <w:tc>
          <w:tcPr>
            <w:tcW w:w="2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60" w:right="20" w:hanging="328"/>
        <w:spacing w:after="0" w:line="207" w:lineRule="auto"/>
        <w:tabs>
          <w:tab w:leader="none" w:pos="660" w:val="left"/>
        </w:tabs>
        <w:numPr>
          <w:ilvl w:val="0"/>
          <w:numId w:val="29"/>
        </w:numPr>
        <w:rPr>
          <w:rFonts w:ascii="Arial" w:cs="Arial" w:eastAsia="Arial" w:hAnsi="Arial"/>
          <w:sz w:val="27"/>
          <w:szCs w:val="27"/>
          <w:color w:val="auto"/>
          <w:vertAlign w:val="superscript"/>
        </w:rPr>
      </w:pPr>
      <w:r>
        <w:rPr>
          <w:rFonts w:ascii="Arial" w:cs="Arial" w:eastAsia="Arial" w:hAnsi="Arial"/>
          <w:sz w:val="18"/>
          <w:szCs w:val="18"/>
          <w:color w:val="auto"/>
        </w:rPr>
        <w:t>The basic per share figures noted above are based on weighted averages of 32,396,396 and 26,645,717 shares outstanding for the three months ended June 30, 2021 and 2020,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investment objective is to maximize total return to our stockholders primarily through current income on our loan portfolio, and secondarily through capital appreciation on our warrants and other equity positions. We intend to achieve our investment objective by investing in high growth-potential, private companies. We typically invest in senior secured and second lien secured loans that generally fall into two strategies: Sponsored Growth Lending and Non-Sponsored Growth Lending. Our Sponsored Growth Lending strategy also typically includes the receipt of warrants and/or other equity from venture-backed companies. We expect our investments in loans will generally range from between $5.0 million to $50.0 million, and the upper end of this range may increase as we raise additional capital.</w:t>
      </w:r>
    </w:p>
    <w:p>
      <w:pPr>
        <w:spacing w:after="0" w:line="19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generate revenue in the form of interest on the debt securities that we hold and distributions and capital gains on other interests that we acquire in our portfolio companies. We expect that the debt we invest in will generally have stated terms of 36 to 60 months. Interest on debt securities is generally payable quarterly or semiannually, primarily based on a floating rate index, and subject to certain floors determined by market rates at the time the investment is made. In some cases, some of our investments may provide for deferred interest payments or PIK interest. The principal amount of the debt securities and any accrued but unpaid interest generally will become due at the maturity date. In addition, we may generate revenue in the form of commitment and other fees in connection with transactions. Original issue discounts and market discounts or premiums will be capitalized, and we will accrete or amortize such amounts as interest income. We record prepayment premiums on loans and debt securities as interest income. Dividend income, if any, will be recognized on an accrual basis to the extent that we expect to collect such amounts.</w:t>
      </w:r>
    </w:p>
    <w:p>
      <w:pPr>
        <w:sectPr>
          <w:pgSz w:w="11900" w:h="16838" w:orient="portrait"/>
          <w:cols w:equalWidth="0" w:num="1">
            <w:col w:w="9920"/>
          </w:cols>
          <w:pgMar w:left="980" w:top="517" w:right="99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Included in investment income are non-recurring fees primarily comprised of early prepayment fees and unamortized original issue discounts recorded as interest income. Other non-recurring income consisting of amendment fees, legal fees, reimburseable income, and any other fee income for services rendered, if any, are recorded as other income when earned.</w:t>
      </w:r>
    </w:p>
    <w:p>
      <w:pPr>
        <w:spacing w:after="0" w:line="165"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Investment income for the three months ended June 30, 2021 and 2020 was $18,745,602 and $11,801,054, respectively, and includes non-recurring income of $2,966,937 and $160,293, respectively. The increase in investment income for the three months ended June 30, 2021 compared to the three months ended June 30, 2020 was primarily due to interest income and driven by our deployment of capital, increased invested balance, prepayments, and end-of-term payments, partially offset by falling market interest rates.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primary operating expenses include the payment of fees to RGC under the Advisory Agreement, our allocable portion of overhead expenses under the Administration Agreement, professional fees, and other operating costs described below. We bear all other out-of-pocket costs and expenses of our operations and transactions, including those relating to:</w:t>
      </w:r>
    </w:p>
    <w:p>
      <w:pPr>
        <w:spacing w:after="0" w:line="184"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fees and expenses related to public and private offerings;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and repurchases of our securities;</w:t>
      </w:r>
    </w:p>
    <w:p>
      <w:pPr>
        <w:spacing w:after="0" w:line="18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pro-rata portion of fees and expenses related an initial public offering of the Public Fund in connection with a Spin-Off transaction;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calculating our net asset value (including the cost and expenses of any independent valuation firm);</w:t>
      </w:r>
    </w:p>
    <w:p>
      <w:pPr>
        <w:spacing w:after="0" w:line="19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fees and expenses payable to third parties, including agents, consultants or other advisers, in connection with monitoring financial and legal affairs for us and in providing administrative services, monitoring our investments and performing due diligence on our prospective portfolio companies or otherwise relating to, or associated with, evaluating and making investments;</w:t>
      </w:r>
    </w:p>
    <w:p>
      <w:pPr>
        <w:spacing w:after="0" w:line="146"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interest payable on debt incurred to finance our investments;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and purchases of our common stock and other securities;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investment advisory and management fees;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administration fees payable under the Administration Agreement;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costs of registration and listing our securities on any securities exchange;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U.S. federal, state and local taxes;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8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of preparing and filing reports or other documents required by the SEC, the Financial Industry Regulatory Authority or other regulators;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of any reports, proxy statements or other notices to stockholders, including printing costs;</w:t>
      </w:r>
    </w:p>
    <w:p>
      <w:pPr>
        <w:spacing w:after="0" w:line="198"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allocable portion of any fidelity bond, directors’ and officers’ errors and omissions liability insurance, and any other insurance premiums;</w:t>
      </w:r>
    </w:p>
    <w:p>
      <w:pPr>
        <w:sectPr>
          <w:pgSz w:w="11900" w:h="16838" w:orient="portrait"/>
          <w:cols w:equalWidth="0" w:num="1">
            <w:col w:w="9920"/>
          </w:cols>
          <w:pgMar w:left="980" w:top="517"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copying, secretarial and other staff, independent auditors and outside legal costs; and</w:t>
      </w:r>
    </w:p>
    <w:p>
      <w:pPr>
        <w:spacing w:after="0" w:line="14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other expenses incurred by us, our Administrator or RGC in connection with administering our business, including payments under the Administration Agreement based on our allocable portion of our Administrator’s overhead in performing its obligations under the Administration Agreement, including rent and the allocable portion of the cost of our Chief Compliance Officer and Chief Financial Officer and their respective staffs.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Operating expenses for the three months ended June 30, 2021 and 2020 were $7,405,125 and $3,927,213, respectively. Operating expenses increased for the three months ended June 30, 2021 from the three months ended June 30, 2020 primarily due to an increase in incentive fees, management fees, and interest expense due to an increase in leverage utilization. Operating expenses per share for the three months ended June 30, 2021 and 2020 were $0.23 per share and $0.15 per share,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Fees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Incentive fees for the three months ended June 30, 2021 and 2020 were $2,836,303 and $905,858, respectively, incurred primarily due to net investment income. Incentive fees increased for the three months ended June 30, 2021 from the three months ended June 30, 2020 primarily due to an increase in net investment income arising from prepayments. $2,229,639 of the incentive fees for the three months ended June 30, 2021 were earned, payable in cash, and included under Accrued incentive fees on the Statement of Assets and Liabilities as of June 30, 2021. $606,664 of the incentive fees for the three months ended June 30, 2021 were deferred and accrued, and included in Accrued incentive fees on the Statement of Assets and Liabilities as of June 30, 2021. $686,221 of the incentive fees for the three months ended June 30, 2020 were earned, payable in cash, and included under Accrued incentive fees on the Statement of Assets and Liabilities as of June 30, 2020. $219,637 of the incentive fees for the three months ended June 30, 2020 were deferred and accrued, and included under Accrued incentive fees on the Statement of Assets and Liabilities as of June 30, 2020. Incentive fees related to PIK or deferred interest are accrued and payment is deferred until such interest is collected in cash. Incentive fees per share for the three months ended June 30, 2021 and June 30, 2020 were $0.09 and $0.03 per share,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Net investment income for the three months ended June 30, 2021 and 2020 was $11,340,477 and $7,873,841, respectively. Net investment income increased for the three months ended June 30, 2021 from the three months ended June 30, 2020, primarily due to an increase in interest income resulting from an increase in the size of the investment portfolio and an increase in prepayments. Net investment income per share for the three months ended June 30, 2021 and 2020 was $0.35 per share and $0.29 per share,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 (Loss) on Investments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net realized loss on investments of $4,595,853 for the three months ended June 30, 2021 was primarily due to the loss on a portion of our investment in the preferred stock of CareCloud, Inc. The net realized gain on investments of $203,854 for the three months ended June 30, 2020 was primarily due to the gain on our common stock of TriplePoint Venture Growth BDC Corp.</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Unrealized Appreciation (Depreciation) on Investments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Net change in unrealized depreciation on investments of $33,281 for the three months ended June 30, 2021 was primarily due to decreases in the fair value of our senior secured loans to Pivot3 Holdings, Inc. and our investment in the preferred stock of Pivot3 Holdings, Inc. This was partially offset by an increase in the fair value of our investment in the common stock of Ouster, Inc. The net change in unrealized appreciation on investments of $5,496,594 for the three months ended June 30, 2020 was primarily due to increases in the fair value of our senior secured loan to Scale Computing, Inc., our preferred stock and warrants in MTBC, Inc., and our common stock in Hercules Capital, Inc.</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in Net Assets Resulting from Operations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had a net increase in net assets resulting from operations of $6,711,343 for the three months ended June 30, 2021, as compared to a net increase in net assets resulting from operations of $13,574,289 for the three months ended June 30, 2020. The net decrease in net assets resulting from operations for the three months ended June 30, 2021 from the three months ended June 30, 2020 was primarily due a decrease in unrealized appreciation in our portfolio for the three months ended June 30,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2021 and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4"/>
          </w:tcPr>
          <w:p>
            <w:pPr>
              <w:jc w:val="center"/>
              <w:ind w:right="72"/>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left="512"/>
              <w:spacing w:after="0"/>
              <w:rPr>
                <w:sz w:val="20"/>
                <w:szCs w:val="20"/>
                <w:color w:val="auto"/>
              </w:rPr>
            </w:pPr>
            <w:r>
              <w:rPr>
                <w:rFonts w:ascii="Arial" w:cs="Arial" w:eastAsia="Arial" w:hAnsi="Arial"/>
                <w:sz w:val="14"/>
                <w:szCs w:val="14"/>
                <w:b w:val="1"/>
                <w:bCs w:val="1"/>
                <w:color w:val="auto"/>
                <w:w w:val="92"/>
              </w:rPr>
              <w:t>June 30, 2020</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ind w:right="352"/>
              <w:spacing w:after="0" w:line="133" w:lineRule="exact"/>
              <w:rPr>
                <w:sz w:val="20"/>
                <w:szCs w:val="20"/>
                <w:color w:val="auto"/>
              </w:rPr>
            </w:pPr>
            <w:r>
              <w:rPr>
                <w:rFonts w:ascii="Arial" w:cs="Arial" w:eastAsia="Arial" w:hAnsi="Arial"/>
                <w:sz w:val="14"/>
                <w:szCs w:val="14"/>
                <w:b w:val="1"/>
                <w:bCs w:val="1"/>
                <w:color w:val="auto"/>
              </w:rPr>
              <w:t>Per</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jc w:val="right"/>
              <w:ind w:right="352"/>
              <w:spacing w:after="0" w:line="133" w:lineRule="exact"/>
              <w:rPr>
                <w:sz w:val="20"/>
                <w:szCs w:val="20"/>
                <w:color w:val="auto"/>
              </w:rPr>
            </w:pPr>
            <w:r>
              <w:rPr>
                <w:rFonts w:ascii="Arial" w:cs="Arial" w:eastAsia="Arial" w:hAnsi="Arial"/>
                <w:sz w:val="14"/>
                <w:szCs w:val="14"/>
                <w:b w:val="1"/>
                <w:bCs w:val="1"/>
                <w:color w:val="auto"/>
              </w:rPr>
              <w:t>Per</w:t>
            </w:r>
          </w:p>
        </w:tc>
        <w:tc>
          <w:tcPr>
            <w:tcW w:w="0" w:type="dxa"/>
            <w:vAlign w:val="bottom"/>
          </w:tcPr>
          <w:p>
            <w:pPr>
              <w:spacing w:after="0"/>
              <w:rPr>
                <w:sz w:val="1"/>
                <w:szCs w:val="1"/>
                <w:color w:val="auto"/>
              </w:rPr>
            </w:pPr>
          </w:p>
        </w:tc>
      </w:tr>
      <w:tr>
        <w:trPr>
          <w:trHeight w:val="171"/>
        </w:trPr>
        <w:tc>
          <w:tcPr>
            <w:tcW w:w="2480" w:type="dxa"/>
            <w:vAlign w:val="bottom"/>
            <w:tcBorders>
              <w:bottom w:val="single" w:sz="8" w:color="CCEEFF"/>
            </w:tcBorders>
          </w:tcPr>
          <w:p>
            <w:pPr>
              <w:spacing w:after="0"/>
              <w:rPr>
                <w:sz w:val="14"/>
                <w:szCs w:val="14"/>
                <w:color w:val="auto"/>
              </w:rPr>
            </w:pPr>
          </w:p>
        </w:tc>
        <w:tc>
          <w:tcPr>
            <w:tcW w:w="214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Share</w:t>
            </w:r>
            <w:r>
              <w:rPr>
                <w:rFonts w:ascii="Arial" w:cs="Arial" w:eastAsia="Arial" w:hAnsi="Arial"/>
                <w:sz w:val="10"/>
                <w:szCs w:val="10"/>
                <w:b w:val="1"/>
                <w:bCs w:val="1"/>
                <w:color w:val="auto"/>
              </w:rPr>
              <w:t>(1)</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3"/>
              </w:rPr>
              <w:t>Share</w:t>
            </w:r>
            <w:r>
              <w:rPr>
                <w:rFonts w:ascii="Arial" w:cs="Arial" w:eastAsia="Arial" w:hAnsi="Arial"/>
                <w:sz w:val="10"/>
                <w:szCs w:val="10"/>
                <w:b w:val="1"/>
                <w:bCs w:val="1"/>
                <w:color w:val="auto"/>
                <w:w w:val="93"/>
              </w:rPr>
              <w:t>(1)</w:t>
            </w:r>
          </w:p>
        </w:tc>
        <w:tc>
          <w:tcPr>
            <w:tcW w:w="0" w:type="dxa"/>
            <w:vAlign w:val="bottom"/>
          </w:tcPr>
          <w:p>
            <w:pPr>
              <w:spacing w:after="0"/>
              <w:rPr>
                <w:sz w:val="1"/>
                <w:szCs w:val="1"/>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20"/>
              <w:spacing w:after="0"/>
              <w:rPr>
                <w:sz w:val="20"/>
                <w:szCs w:val="20"/>
                <w:color w:val="auto"/>
              </w:rPr>
            </w:pPr>
            <w:r>
              <w:rPr>
                <w:rFonts w:ascii="Arial" w:cs="Arial" w:eastAsia="Arial" w:hAnsi="Arial"/>
                <w:sz w:val="18"/>
                <w:szCs w:val="18"/>
                <w:color w:val="auto"/>
              </w:rPr>
              <w:t>Interest and dividend income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34,927,146</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26,024,295</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income</w:t>
            </w: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241,230</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597,616</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9"/>
        </w:trPr>
        <w:tc>
          <w:tcPr>
            <w:tcW w:w="462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 investment income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35,168,376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26,621,911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20"/>
              <w:spacing w:after="0"/>
              <w:rPr>
                <w:sz w:val="20"/>
                <w:szCs w:val="20"/>
                <w:color w:val="auto"/>
              </w:rPr>
            </w:pPr>
            <w:r>
              <w:rPr>
                <w:rFonts w:ascii="Arial" w:cs="Arial" w:eastAsia="Arial" w:hAnsi="Arial"/>
                <w:sz w:val="18"/>
                <w:szCs w:val="18"/>
                <w:color w:val="auto"/>
              </w:rPr>
              <w:t>Management fees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4,345,550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3,295,677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Incentive fees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3,812,007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3,220,976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1,489,730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187,494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Professional fees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646,065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721,173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20"/>
              <w:spacing w:after="0"/>
              <w:rPr>
                <w:sz w:val="20"/>
                <w:szCs w:val="20"/>
                <w:color w:val="auto"/>
              </w:rPr>
            </w:pPr>
            <w:r>
              <w:rPr>
                <w:rFonts w:ascii="Arial" w:cs="Arial" w:eastAsia="Arial" w:hAnsi="Arial"/>
                <w:sz w:val="18"/>
                <w:szCs w:val="18"/>
                <w:color w:val="auto"/>
              </w:rPr>
              <w:t>Overhead allocation expense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406,119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345,983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Administration fees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240,860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245,680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20"/>
              <w:spacing w:after="0"/>
              <w:rPr>
                <w:sz w:val="20"/>
                <w:szCs w:val="20"/>
                <w:color w:val="auto"/>
              </w:rPr>
            </w:pPr>
            <w:r>
              <w:rPr>
                <w:rFonts w:ascii="Arial" w:cs="Arial" w:eastAsia="Arial" w:hAnsi="Arial"/>
                <w:sz w:val="18"/>
                <w:szCs w:val="18"/>
                <w:color w:val="auto"/>
              </w:rPr>
              <w:t>Credit facility fees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709,201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378,722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Directors’ fees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128,000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20"/>
              <w:spacing w:after="0"/>
              <w:rPr>
                <w:sz w:val="20"/>
                <w:szCs w:val="20"/>
                <w:color w:val="auto"/>
              </w:rPr>
            </w:pPr>
            <w:r>
              <w:rPr>
                <w:rFonts w:ascii="Arial" w:cs="Arial" w:eastAsia="Arial" w:hAnsi="Arial"/>
                <w:sz w:val="18"/>
                <w:szCs w:val="18"/>
                <w:color w:val="auto"/>
              </w:rPr>
              <w:t>Consulting fees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42,500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30,301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Tax expense</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20"/>
              <w:spacing w:after="0"/>
              <w:rPr>
                <w:sz w:val="20"/>
                <w:szCs w:val="20"/>
                <w:color w:val="auto"/>
              </w:rPr>
            </w:pPr>
            <w:r>
              <w:rPr>
                <w:rFonts w:ascii="Arial" w:cs="Arial" w:eastAsia="Arial" w:hAnsi="Arial"/>
                <w:sz w:val="18"/>
                <w:szCs w:val="18"/>
                <w:color w:val="auto"/>
              </w:rPr>
              <w:t>Insurance expense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46,551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52,876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expenses</w:t>
            </w:r>
          </w:p>
        </w:tc>
        <w:tc>
          <w:tcPr>
            <w:tcW w:w="3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472,612</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468,032</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9"/>
        </w:trPr>
        <w:tc>
          <w:tcPr>
            <w:tcW w:w="46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Total operating expenses</w:t>
            </w: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12,346,165</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9,104,483</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0"/>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Net investment income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22,822,211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0.71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17,517,428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Realized (loss) on investments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(4,795,077)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(6,513,408)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198"/>
        </w:trPr>
        <w:tc>
          <w:tcPr>
            <w:tcW w:w="462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96"/>
              </w:rPr>
              <w:t>Net change in unrealized appreciation (depreciation) on</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investments</w:t>
            </w:r>
          </w:p>
        </w:tc>
        <w:tc>
          <w:tcPr>
            <w:tcW w:w="3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(1,944,463)</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4,317,513</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0"/>
        </w:trPr>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3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16,082,671</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15,321,533</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480" w:type="dxa"/>
            <w:vAlign w:val="bottom"/>
            <w:tcBorders>
              <w:bottom w:val="single" w:sz="8" w:color="auto"/>
            </w:tcBorders>
          </w:tcPr>
          <w:p>
            <w:pPr>
              <w:spacing w:after="0"/>
              <w:rPr>
                <w:sz w:val="8"/>
                <w:szCs w:val="8"/>
                <w:color w:val="auto"/>
              </w:rPr>
            </w:pPr>
          </w:p>
        </w:tc>
        <w:tc>
          <w:tcPr>
            <w:tcW w:w="2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60" w:right="20" w:hanging="328"/>
        <w:spacing w:after="0" w:line="207" w:lineRule="auto"/>
        <w:tabs>
          <w:tab w:leader="none" w:pos="660" w:val="left"/>
        </w:tabs>
        <w:numPr>
          <w:ilvl w:val="0"/>
          <w:numId w:val="32"/>
        </w:numPr>
        <w:rPr>
          <w:rFonts w:ascii="Arial" w:cs="Arial" w:eastAsia="Arial" w:hAnsi="Arial"/>
          <w:sz w:val="27"/>
          <w:szCs w:val="27"/>
          <w:color w:val="auto"/>
          <w:vertAlign w:val="superscript"/>
        </w:rPr>
      </w:pPr>
      <w:r>
        <w:rPr>
          <w:rFonts w:ascii="Arial" w:cs="Arial" w:eastAsia="Arial" w:hAnsi="Arial"/>
          <w:sz w:val="18"/>
          <w:szCs w:val="18"/>
          <w:color w:val="auto"/>
        </w:rPr>
        <w:t>The basic per share figures noted above are based on weighted averages of 31,953,287 and 26,266,501 shares outstanding for the six months ended June 30, 2021 and 2020,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Investment income for the six months ended June 30, 2021 and 2020 was $35,168,376 and $26,621,911, respectively, and includes non-recurring income of $3,569,046 and $2,848,465, respectively. The increase in investment income for the six months ended June 30, 2021 compared to the six months ended June 30, 2020 was primarily due to interest income and driven by our deployment of capital, increased invested balance, prepayments, and end-of-term payments, partially offset by falling market interest rates.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Operating expenses for the six months ended June 30, 2021 and 2020 were $12,346,165 and $9,104,483, respectively. Operating expenses increased for the three months ended June 30, 2021 from the six months ended June 30, 2020 primarily due to an</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increase in incentive fees, management fees, and interest expense due to an increase in leverage utilization. Operating expenses per share for the six months ended June 30, 2021 and 2020 were $0.39 per share and $0.34 per share,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Fees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Incentive fees for the six months ended June 30, 2021 and 2020 were $3,812,007 and $3,220,976, respectively, incurred primarily due to net investment income. Incentive fees increased for the three months ended June 30, 2021 from the six months ended June 30, 2020 primarily due to an increase in net investment income arising from prepayments. $2,968,870 of the incentive fees for the six months ended June 30, 2021 were earned, payable in cash, and included under Accrued incentive fees on the Statement of Assets and Liabilities as of June 30, 2021. $843,137 of the incentive fees for the six months ended June 30, 2021 were deferred and accrued, and included in Accrued incentive fees on the Statement of Assets and Liabilities as of June 30, 2021. $2,532,754 of the incentive fees for the six months ended June 30, 2020 were earned, payable in cash, and included under Accrued incentive fees on the Statement of Assets and Liabilities as of June 30, 2020. $688,222 of the incentive fees for the six months ended June 30, 2020 were deferred and accrued, and included under Accrued incentive fees on the Statement of Assets and Liabilities as of June 30, 2020. Incentive fees related to PIK or deferred interest are accrued and payment is deferred until such interest is collected in cash. Incentive fees per share for the six months ended June 30, 2021 and June 30, 2020 were $0.12 and $0.12 per share,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16"/>
          <w:szCs w:val="16"/>
          <w:color w:val="auto"/>
        </w:rPr>
        <w:t>Net investment income for the six months ended June 30, 2021 and 2020 was $22,822,211 and $17,517,428, respectively. Net investment income increased for the six months ended June 30, 2021 from the six months ended June 30, 2020, primarily due to an increase in interest income resulting from an increase in the size of the investment portfolio and an increase in prepayments. Net investment income per share for the six months ended June 30, 2021 and 2020 was $0.71 per share and $0.67 per share,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(Loss) on Investments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net realized loss on investments of $4,795,077 for the six months ended June 30, 2021 was primarily due to the loss on a portion of our investment in the preferred stock of CareCloud, Inc. The net realized loss on investments of $6,513,408 for the six months ended June 30, 2020 was primarily due to the loss on our senior secured loan to Aginity, Inc.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Unrealized Appreciation (Depreciation) on Investments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Net change in unrealized depreciation on investments of $1,944,463 for the six months ended June 30, 2021 was primarily due to decreases in the fair value of our our senior secured loans to Pivot3 Holdings, Inc. and our investment in the preferred stock of Pivot3 Holdings, Inc. This was partially offset by an increase in the fair value of our investment in the common stock of Ouster, Inc. The net change in unrealized appreciation on investments of $4,317,513 for the six months ended June 30, 2020 was primarily due to increases in the fair value of our preferred stock and warrants in MTBC, Inc., and our common stock in Hercules Capital, Inc.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in Net Assets Resulting from Operations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had a net increase in net assets resulting from operations of $16,082,671 for the six months ended June 30, 2021, as compared to a net increase in net assets resulting from operations of $15,321,533 for the six months ended June 30, 2020. The net increase in net assets resulting from operations for the six months ended June 30, 2021 from the six months ended June 30, 2020 was primarily due to an increase in interest income resulting from an increase in the size of the investment portfolio and an increase in prepayments.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generate cash primarily from the net proceeds of the offering of our securities and cash flows from our operations, including investment sales and repayments as well as income earned on investments and cash equivalents. We may also fund a portion of our investments through borrowings under the Credit Facilities (discussed below). We expect that we may also generate cash from any financing arrangements we may enter into in the future and any future offerings of our equity or debt securities. We may fund a portion of our investments through borrowings from banks and issuances of senior securities, which may be secured or unsecured, through</w:t>
      </w:r>
    </w:p>
    <w:p>
      <w:pPr>
        <w:sectPr>
          <w:pgSz w:w="11900" w:h="16838" w:orient="portrait"/>
          <w:cols w:equalWidth="0" w:num="1">
            <w:col w:w="9920"/>
          </w:cols>
          <w:pgMar w:left="980" w:top="517"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registered offerings or private placements. Our primary use of funds is to make investments in eligible portfolio companies, pay our operating expenses and make distributions to holders of our common stock.</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the six months ended June 30, 2021, cash and cash equivalents decreased to $892,584 from $14,886,246 as of December 31, 2020. This decrease was primarily the result of the purchase of investments in portfolio companies for $133,681,004 and U.S. Treasury Bills for $54,999,849 and was partially offset by the sales of investments in portfolio companies, the maturity of U.S. Treasuary Bills, the issuance of common stock, and net borrowings under the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Activity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the authority to issue 100,000,000 shares of common stock, $0.01 par value per share.</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October 8, 2015, we issued 1,667 shares of our common stock to R. David Spreng, our President, Chief Executive Officer and Chairman of our Board of Directors, for an aggregate purchase price of $25,000. Additionally, as of June 31, 2021, we have issued 22,564 shares of our common stock to Runway Growth Holdings LLC, an affiliate of RGC. The remaining shares were issued in connection with the Initial Private Offering, the Second Private Offering, or pursuant to our dividend reinvestment plan,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Issuance Date</w:t>
            </w:r>
          </w:p>
        </w:tc>
        <w:tc>
          <w:tcPr>
            <w:tcW w:w="940" w:type="dxa"/>
            <w:vAlign w:val="bottom"/>
          </w:tcPr>
          <w:p>
            <w:pPr>
              <w:jc w:val="right"/>
              <w:ind w:right="191"/>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80" w:type="dxa"/>
            <w:vAlign w:val="bottom"/>
          </w:tcPr>
          <w:p>
            <w:pPr>
              <w:spacing w:after="0"/>
              <w:rPr>
                <w:sz w:val="14"/>
                <w:szCs w:val="14"/>
                <w:color w:val="auto"/>
              </w:rPr>
            </w:pPr>
          </w:p>
        </w:tc>
        <w:tc>
          <w:tcPr>
            <w:tcW w:w="106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87"/>
              </w:rPr>
              <w:t>Gross Proceeds</w:t>
            </w:r>
          </w:p>
        </w:tc>
        <w:tc>
          <w:tcPr>
            <w:tcW w:w="0" w:type="dxa"/>
            <w:vAlign w:val="bottom"/>
          </w:tcPr>
          <w:p>
            <w:pPr>
              <w:spacing w:after="0"/>
              <w:rPr>
                <w:sz w:val="1"/>
                <w:szCs w:val="1"/>
                <w:color w:val="auto"/>
              </w:rPr>
            </w:pPr>
          </w:p>
        </w:tc>
      </w:tr>
      <w:tr>
        <w:trPr>
          <w:trHeight w:val="171"/>
        </w:trPr>
        <w:tc>
          <w:tcPr>
            <w:tcW w:w="6480" w:type="dxa"/>
            <w:vAlign w:val="bottom"/>
            <w:gridSpan w:val="3"/>
            <w:vMerge w:val="continue"/>
          </w:tcPr>
          <w:p>
            <w:pPr>
              <w:spacing w:after="0"/>
              <w:rPr>
                <w:sz w:val="14"/>
                <w:szCs w:val="14"/>
                <w:color w:val="auto"/>
              </w:rPr>
            </w:pPr>
          </w:p>
        </w:tc>
        <w:tc>
          <w:tcPr>
            <w:tcW w:w="940" w:type="dxa"/>
            <w:vAlign w:val="bottom"/>
          </w:tcPr>
          <w:p>
            <w:pPr>
              <w:jc w:val="right"/>
              <w:ind w:right="171"/>
              <w:spacing w:after="0"/>
              <w:rPr>
                <w:sz w:val="20"/>
                <w:szCs w:val="20"/>
                <w:color w:val="auto"/>
              </w:rPr>
            </w:pPr>
            <w:r>
              <w:rPr>
                <w:rFonts w:ascii="Arial" w:cs="Arial" w:eastAsia="Arial" w:hAnsi="Arial"/>
                <w:sz w:val="14"/>
                <w:szCs w:val="14"/>
                <w:b w:val="1"/>
                <w:bCs w:val="1"/>
                <w:color w:val="auto"/>
              </w:rPr>
              <w:t>Issued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Per Share</w:t>
            </w:r>
          </w:p>
        </w:tc>
        <w:tc>
          <w:tcPr>
            <w:tcW w:w="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December 22, 2016</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April 19, 2017</w:t>
            </w:r>
          </w:p>
        </w:tc>
        <w:tc>
          <w:tcPr>
            <w:tcW w:w="940" w:type="dxa"/>
            <w:vAlign w:val="bottom"/>
          </w:tcPr>
          <w:p>
            <w:pPr>
              <w:jc w:val="right"/>
              <w:spacing w:after="0"/>
              <w:rPr>
                <w:sz w:val="20"/>
                <w:szCs w:val="20"/>
                <w:color w:val="auto"/>
              </w:rPr>
            </w:pPr>
            <w:r>
              <w:rPr>
                <w:rFonts w:ascii="Arial" w:cs="Arial" w:eastAsia="Arial" w:hAnsi="Arial"/>
                <w:sz w:val="18"/>
                <w:szCs w:val="18"/>
                <w:color w:val="auto"/>
              </w:rPr>
              <w:t>1,000,000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26, 2017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September 12, 2017</w:t>
            </w:r>
          </w:p>
        </w:tc>
        <w:tc>
          <w:tcPr>
            <w:tcW w:w="940" w:type="dxa"/>
            <w:vAlign w:val="bottom"/>
          </w:tcPr>
          <w:p>
            <w:pPr>
              <w:jc w:val="right"/>
              <w:spacing w:after="0"/>
              <w:rPr>
                <w:sz w:val="20"/>
                <w:szCs w:val="20"/>
                <w:color w:val="auto"/>
              </w:rPr>
            </w:pPr>
            <w:r>
              <w:rPr>
                <w:rFonts w:ascii="Arial" w:cs="Arial" w:eastAsia="Arial" w:hAnsi="Arial"/>
                <w:sz w:val="18"/>
                <w:szCs w:val="18"/>
                <w:color w:val="auto"/>
              </w:rPr>
              <w:t>2,666,667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40,000,000</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22, 2017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45,000,000</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line="216" w:lineRule="exact"/>
              <w:rPr>
                <w:sz w:val="20"/>
                <w:szCs w:val="20"/>
                <w:color w:val="auto"/>
              </w:rPr>
            </w:pPr>
            <w:r>
              <w:rPr>
                <w:rFonts w:ascii="Arial" w:cs="Arial" w:eastAsia="Arial" w:hAnsi="Arial"/>
                <w:sz w:val="17"/>
                <w:szCs w:val="17"/>
                <w:color w:val="auto"/>
              </w:rPr>
              <w:t>May 31, 2018</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70,563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1,045,570</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August 31, 2018</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1,754,244</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September 27, 2018</w:t>
            </w:r>
          </w:p>
        </w:tc>
        <w:tc>
          <w:tcPr>
            <w:tcW w:w="940" w:type="dxa"/>
            <w:vAlign w:val="bottom"/>
          </w:tcPr>
          <w:p>
            <w:pPr>
              <w:jc w:val="right"/>
              <w:spacing w:after="0"/>
              <w:rPr>
                <w:sz w:val="20"/>
                <w:szCs w:val="20"/>
                <w:color w:val="auto"/>
              </w:rPr>
            </w:pPr>
            <w:r>
              <w:rPr>
                <w:rFonts w:ascii="Arial" w:cs="Arial" w:eastAsia="Arial" w:hAnsi="Arial"/>
                <w:sz w:val="18"/>
                <w:szCs w:val="18"/>
                <w:color w:val="auto"/>
              </w:rPr>
              <w:t>1,997,337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November 15, 2018</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3,055,498</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January 14, 2019</w:t>
            </w:r>
          </w:p>
        </w:tc>
        <w:tc>
          <w:tcPr>
            <w:tcW w:w="940" w:type="dxa"/>
            <w:vAlign w:val="bottom"/>
          </w:tcPr>
          <w:p>
            <w:pPr>
              <w:jc w:val="right"/>
              <w:spacing w:after="0"/>
              <w:rPr>
                <w:sz w:val="20"/>
                <w:szCs w:val="20"/>
                <w:color w:val="auto"/>
              </w:rPr>
            </w:pPr>
            <w:r>
              <w:rPr>
                <w:rFonts w:ascii="Arial" w:cs="Arial" w:eastAsia="Arial" w:hAnsi="Arial"/>
                <w:sz w:val="18"/>
                <w:szCs w:val="18"/>
                <w:color w:val="auto"/>
              </w:rPr>
              <w:t>4,344,964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66,000,000</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March 26, 2019</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4,942,168</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line="216" w:lineRule="exact"/>
              <w:rPr>
                <w:sz w:val="20"/>
                <w:szCs w:val="20"/>
                <w:color w:val="auto"/>
              </w:rPr>
            </w:pPr>
            <w:r>
              <w:rPr>
                <w:rFonts w:ascii="Arial" w:cs="Arial" w:eastAsia="Arial" w:hAnsi="Arial"/>
                <w:sz w:val="17"/>
                <w:szCs w:val="17"/>
                <w:color w:val="auto"/>
              </w:rPr>
              <w:t>May 21, 2019</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374,783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5,670,467</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May 24, 2019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3,232,189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49,000,000</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line="216" w:lineRule="exact"/>
              <w:rPr>
                <w:sz w:val="20"/>
                <w:szCs w:val="20"/>
                <w:color w:val="auto"/>
              </w:rPr>
            </w:pPr>
            <w:r>
              <w:rPr>
                <w:rFonts w:ascii="Arial" w:cs="Arial" w:eastAsia="Arial" w:hAnsi="Arial"/>
                <w:sz w:val="17"/>
                <w:szCs w:val="17"/>
                <w:color w:val="auto"/>
              </w:rPr>
              <w:t>July 16, 2019</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464,986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7,035,236</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August 26, 2019</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480,121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7,088,143</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October 15, 2019</w:t>
            </w:r>
          </w:p>
        </w:tc>
        <w:tc>
          <w:tcPr>
            <w:tcW w:w="940" w:type="dxa"/>
            <w:vAlign w:val="bottom"/>
          </w:tcPr>
          <w:p>
            <w:pPr>
              <w:jc w:val="right"/>
              <w:spacing w:after="0"/>
              <w:rPr>
                <w:sz w:val="20"/>
                <w:szCs w:val="20"/>
                <w:color w:val="auto"/>
              </w:rPr>
            </w:pPr>
            <w:r>
              <w:rPr>
                <w:rFonts w:ascii="Arial" w:cs="Arial" w:eastAsia="Arial" w:hAnsi="Arial"/>
                <w:sz w:val="18"/>
                <w:szCs w:val="18"/>
                <w:color w:val="auto"/>
              </w:rPr>
              <w:t>1,666,667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November 12, 2019</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649,123</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December 20, 2019</w:t>
            </w:r>
          </w:p>
        </w:tc>
        <w:tc>
          <w:tcPr>
            <w:tcW w:w="940" w:type="dxa"/>
            <w:vAlign w:val="bottom"/>
          </w:tcPr>
          <w:p>
            <w:pPr>
              <w:jc w:val="right"/>
              <w:spacing w:after="0"/>
              <w:rPr>
                <w:sz w:val="20"/>
                <w:szCs w:val="20"/>
                <w:color w:val="auto"/>
              </w:rPr>
            </w:pPr>
            <w:r>
              <w:rPr>
                <w:rFonts w:ascii="Arial" w:cs="Arial" w:eastAsia="Arial" w:hAnsi="Arial"/>
                <w:sz w:val="18"/>
                <w:szCs w:val="18"/>
                <w:color w:val="auto"/>
              </w:rPr>
              <w:t>3,333,333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December 23, 2019</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487,166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7,073,650</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line="216" w:lineRule="exact"/>
              <w:rPr>
                <w:sz w:val="20"/>
                <w:szCs w:val="20"/>
                <w:color w:val="auto"/>
              </w:rPr>
            </w:pPr>
            <w:r>
              <w:rPr>
                <w:rFonts w:ascii="Arial" w:cs="Arial" w:eastAsia="Arial" w:hAnsi="Arial"/>
                <w:sz w:val="17"/>
                <w:szCs w:val="17"/>
                <w:color w:val="auto"/>
              </w:rPr>
              <w:t>March 20, 2020</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575,132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14.58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8,385,423</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31, 2020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315,308</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line="216" w:lineRule="exact"/>
              <w:rPr>
                <w:sz w:val="20"/>
                <w:szCs w:val="20"/>
                <w:color w:val="auto"/>
              </w:rPr>
            </w:pPr>
            <w:r>
              <w:rPr>
                <w:rFonts w:ascii="Arial" w:cs="Arial" w:eastAsia="Arial" w:hAnsi="Arial"/>
                <w:sz w:val="17"/>
                <w:szCs w:val="17"/>
                <w:color w:val="auto"/>
              </w:rPr>
              <w:t>May 21, 2020</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529,020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7,538,541</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August 6, 2020</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7,934,712</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October 15, 2020</w:t>
            </w:r>
          </w:p>
        </w:tc>
        <w:tc>
          <w:tcPr>
            <w:tcW w:w="940" w:type="dxa"/>
            <w:vAlign w:val="bottom"/>
          </w:tcPr>
          <w:p>
            <w:pPr>
              <w:jc w:val="right"/>
              <w:spacing w:after="0"/>
              <w:rPr>
                <w:sz w:val="20"/>
                <w:szCs w:val="20"/>
                <w:color w:val="auto"/>
              </w:rPr>
            </w:pPr>
            <w:r>
              <w:rPr>
                <w:rFonts w:ascii="Arial" w:cs="Arial" w:eastAsia="Arial" w:hAnsi="Arial"/>
                <w:sz w:val="18"/>
                <w:szCs w:val="18"/>
                <w:color w:val="auto"/>
              </w:rPr>
              <w:t>3,333,333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November 12, 2020</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593,692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8,584,772</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line="216" w:lineRule="exact"/>
              <w:rPr>
                <w:sz w:val="20"/>
                <w:szCs w:val="20"/>
                <w:color w:val="auto"/>
              </w:rPr>
            </w:pPr>
            <w:r>
              <w:rPr>
                <w:rFonts w:ascii="Arial" w:cs="Arial" w:eastAsia="Arial" w:hAnsi="Arial"/>
                <w:sz w:val="17"/>
                <w:szCs w:val="17"/>
                <w:color w:val="auto"/>
              </w:rPr>
              <w:t>March 19, 2021</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618,815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9,183,220</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24, 2021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306,911</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line="216" w:lineRule="exact"/>
              <w:rPr>
                <w:sz w:val="20"/>
                <w:szCs w:val="20"/>
                <w:color w:val="auto"/>
              </w:rPr>
            </w:pPr>
            <w:r>
              <w:rPr>
                <w:rFonts w:ascii="Arial" w:cs="Arial" w:eastAsia="Arial" w:hAnsi="Arial"/>
                <w:sz w:val="17"/>
                <w:szCs w:val="17"/>
                <w:color w:val="auto"/>
              </w:rPr>
              <w:t>May 13, 2021</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637,127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9,410,371</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32,688,787</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489,973,357</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480" w:type="dxa"/>
            <w:vAlign w:val="bottom"/>
            <w:tcBorders>
              <w:bottom w:val="single" w:sz="8" w:color="auto"/>
            </w:tcBorders>
          </w:tcPr>
          <w:p>
            <w:pPr>
              <w:spacing w:after="0"/>
              <w:rPr>
                <w:sz w:val="8"/>
                <w:szCs w:val="8"/>
                <w:color w:val="auto"/>
              </w:rPr>
            </w:pPr>
          </w:p>
        </w:tc>
        <w:tc>
          <w:tcPr>
            <w:tcW w:w="3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right"/>
        <w:ind w:left="4880" w:right="4860" w:hanging="4548"/>
        <w:spacing w:after="0" w:line="1067" w:lineRule="auto"/>
        <w:tabs>
          <w:tab w:leader="none" w:pos="662" w:val="left"/>
        </w:tabs>
        <w:numPr>
          <w:ilvl w:val="0"/>
          <w:numId w:val="33"/>
        </w:numPr>
        <w:rPr>
          <w:rFonts w:ascii="Arial" w:cs="Arial" w:eastAsia="Arial" w:hAnsi="Arial"/>
          <w:sz w:val="24"/>
          <w:szCs w:val="24"/>
          <w:color w:val="auto"/>
          <w:vertAlign w:val="superscript"/>
        </w:rPr>
      </w:pPr>
      <w:r>
        <w:rPr>
          <w:rFonts w:ascii="Arial" w:cs="Arial" w:eastAsia="Arial" w:hAnsi="Arial"/>
          <w:sz w:val="16"/>
          <w:szCs w:val="16"/>
          <w:color w:val="auto"/>
        </w:rPr>
        <w:t>Shares were issued as part of the dividend reinvestment plan.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-260350</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June 30, 2021, the Company had $122,560,569 in unfunded loan commitments to provide debt financing to eleven portfolio companies. The Company’s management believes that its available cash balances, availability under the Credit Agreement (as defined below) and/or ability to drawdown capital from investors provides sufficient funds to cover its unfunded commitments as of June 30, 2021.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w w:val="98"/>
              </w:rPr>
              <w:t>Payments Due By Period</w:t>
            </w: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Less than</w:t>
            </w: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1–3 years</w:t>
            </w:r>
          </w:p>
        </w:tc>
        <w:tc>
          <w:tcPr>
            <w:tcW w:w="8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3–5 years</w:t>
            </w:r>
          </w:p>
        </w:tc>
        <w:tc>
          <w:tcPr>
            <w:tcW w:w="72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1 year</w:t>
            </w:r>
          </w:p>
        </w:tc>
        <w:tc>
          <w:tcPr>
            <w:tcW w:w="760" w:type="dxa"/>
            <w:vAlign w:val="bottom"/>
            <w:gridSpan w:val="3"/>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9"/>
        </w:trPr>
        <w:tc>
          <w:tcPr>
            <w:tcW w:w="5100" w:type="dxa"/>
            <w:vAlign w:val="bottom"/>
            <w:tcBorders>
              <w:top w:val="single" w:sz="8" w:color="CCEEFF"/>
            </w:tcBorders>
            <w:gridSpan w:val="2"/>
            <w:shd w:val="clear" w:color="auto" w:fill="CCEEFF"/>
          </w:tcPr>
          <w:p>
            <w:pPr>
              <w:spacing w:after="0" w:line="210" w:lineRule="exact"/>
              <w:rPr>
                <w:sz w:val="20"/>
                <w:szCs w:val="20"/>
                <w:color w:val="auto"/>
              </w:rPr>
            </w:pPr>
            <w:r>
              <w:rPr>
                <w:rFonts w:ascii="Arial" w:cs="Arial" w:eastAsia="Arial" w:hAnsi="Arial"/>
                <w:sz w:val="17"/>
                <w:szCs w:val="17"/>
                <w:color w:val="auto"/>
              </w:rPr>
              <w:t>Reverse repurchase agreement</w:t>
            </w:r>
            <w:r>
              <w:rPr>
                <w:rFonts w:ascii="Arial" w:cs="Arial" w:eastAsia="Arial" w:hAnsi="Arial"/>
                <w:sz w:val="24"/>
                <w:szCs w:val="24"/>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19,900,000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19,900,000</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line="216" w:lineRule="exact"/>
              <w:rPr>
                <w:sz w:val="20"/>
                <w:szCs w:val="20"/>
                <w:color w:val="auto"/>
              </w:rPr>
            </w:pPr>
            <w:r>
              <w:rPr>
                <w:rFonts w:ascii="Arial" w:cs="Arial" w:eastAsia="Arial" w:hAnsi="Arial"/>
                <w:sz w:val="17"/>
                <w:szCs w:val="17"/>
                <w:color w:val="auto"/>
              </w:rPr>
              <w:t>Credit facilities</w:t>
            </w:r>
            <w:r>
              <w:rPr>
                <w:rFonts w:ascii="Arial" w:cs="Arial" w:eastAsia="Arial" w:hAnsi="Arial"/>
                <w:sz w:val="25"/>
                <w:szCs w:val="25"/>
                <w:color w:val="auto"/>
                <w:vertAlign w:val="superscript"/>
              </w:rPr>
              <w:t>(2)</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117,000,000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89"/>
              </w:rPr>
              <w:t>117,000,000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136,900,000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136,900,000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480" w:type="dxa"/>
            <w:vAlign w:val="bottom"/>
            <w:tcBorders>
              <w:bottom w:val="single" w:sz="8" w:color="auto"/>
            </w:tcBorders>
          </w:tcPr>
          <w:p>
            <w:pPr>
              <w:spacing w:after="0"/>
              <w:rPr>
                <w:sz w:val="8"/>
                <w:szCs w:val="8"/>
                <w:color w:val="auto"/>
              </w:rPr>
            </w:pPr>
          </w:p>
        </w:tc>
        <w:tc>
          <w:tcPr>
            <w:tcW w:w="2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60" w:right="20" w:hanging="328"/>
        <w:spacing w:after="0" w:line="207" w:lineRule="auto"/>
        <w:tabs>
          <w:tab w:leader="none" w:pos="660" w:val="left"/>
        </w:tabs>
        <w:numPr>
          <w:ilvl w:val="0"/>
          <w:numId w:val="34"/>
        </w:numPr>
        <w:rPr>
          <w:rFonts w:ascii="Arial" w:cs="Arial" w:eastAsia="Arial" w:hAnsi="Arial"/>
          <w:sz w:val="27"/>
          <w:szCs w:val="27"/>
          <w:color w:val="auto"/>
          <w:vertAlign w:val="superscript"/>
        </w:rPr>
      </w:pPr>
      <w:r>
        <w:rPr>
          <w:rFonts w:ascii="Arial" w:cs="Arial" w:eastAsia="Arial" w:hAnsi="Arial"/>
          <w:sz w:val="18"/>
          <w:szCs w:val="18"/>
          <w:color w:val="auto"/>
        </w:rPr>
        <w:t>Reverse repurchase agreement relates to the purchase of the U.S. Treasury Bill on margin. The reverse repurchase agreement purchased was subsequently repaid in July 2021.</w:t>
      </w:r>
    </w:p>
    <w:p>
      <w:pPr>
        <w:spacing w:after="0" w:line="121" w:lineRule="exact"/>
        <w:rPr>
          <w:rFonts w:ascii="Arial" w:cs="Arial" w:eastAsia="Arial" w:hAnsi="Arial"/>
          <w:sz w:val="27"/>
          <w:szCs w:val="27"/>
          <w:color w:val="auto"/>
          <w:vertAlign w:val="superscript"/>
        </w:rPr>
      </w:pPr>
    </w:p>
    <w:p>
      <w:pPr>
        <w:ind w:left="660" w:hanging="328"/>
        <w:spacing w:after="0"/>
        <w:tabs>
          <w:tab w:leader="none" w:pos="660" w:val="left"/>
        </w:tabs>
        <w:numPr>
          <w:ilvl w:val="0"/>
          <w:numId w:val="34"/>
        </w:numPr>
        <w:rPr>
          <w:rFonts w:ascii="Arial" w:cs="Arial" w:eastAsia="Arial" w:hAnsi="Arial"/>
          <w:sz w:val="27"/>
          <w:szCs w:val="27"/>
          <w:color w:val="auto"/>
          <w:vertAlign w:val="superscript"/>
        </w:rPr>
      </w:pPr>
      <w:r>
        <w:rPr>
          <w:rFonts w:ascii="Arial" w:cs="Arial" w:eastAsia="Arial" w:hAnsi="Arial"/>
          <w:sz w:val="18"/>
          <w:szCs w:val="18"/>
          <w:color w:val="auto"/>
        </w:rPr>
        <w:t>See “Note 10 – Credit Facilities” to our financial statements in Part I, Item 1 of this Form 10-Q for more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Agreement</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On May 31, 2019, we entered into a Credit Agreement (the “Credit Agreement”) by and among us, as borrower, KeyBank National Association, as administrative agent, syndication agent, and a lender, CIBC Bank USA (“CIBC”), as documentation agent and a lender, and U.S. Bank National Association, as paying agent. The Credit Agreement provides for borrowings up to a maximum aggregate principal amount of $100 million, subject to availability under a borrowing base that is determined by the number and value of eligible loan investments in the collateral, applicable advance rates and concentration limits, and certain of our cash and cash equivalent holdings. The Credit Agreement has an accordion feature that allows us to increase the aggregate commitments up to $200 million, subject to new or existing lenders agreeing to participate in the increase and other customary conditions. Current capital markets dislocation and economic uncertainty associated with the COVID-19 pandemic may impact our ability to access the accordion features of the Credit Agreement. Borrowings under the Credit Agreement bear interest on a per annum basis equal to a three-month adjusted LIBOR rate (with a LIBOR floor of zero), plus an applicable margin rate that varies from 3.00% to 2.50% per annum depending on utilization and other factors. During the availability period, the applicable margin rate (i) is 3.00% per annum for interest periods during which the average utilization is less than 60% and (ii) varies from 3.00% to 2.50% per annum when the average utilization equals or exceeds 60% (with 3.00% applying when the eligible loans in the collateral consist of 9 or fewer unaffiliated obligors, 2.75% applying when the eligible loans consist of between 10 and 29 unaffiliated obligors, and 2.50% applying when the eligible loans consist of 30 or more unaffiliated obligors). During the amortization period, the applicable margin rate will be 3.00%. If certain eurodollar disruption events occur, then borrowings under the Credit Agreement will bear interest on a per annum basis equal to (i) a base rate instead of LIBOR that is set at the higher of (x) the federal funds rate plus 0.50% and (y) the prime rate, plus (ii) the applicable margin rate discussed above. Interest is payable quarterly in arrears. We also pay unused commitment fees of 0.50% per annum on the unused lender commitments under the Credit Agreement, as well as a minimum earnings fee of 3.00% that will be payable annually in arrears, starting on May 31, 2021, on the average unused commitments below 60% of the aggregate commitments during the preceding 12-month period. The availability period under the Credit Agreement expires on May 31, 2022 and is followed by a two-year amortization period. The stated maturity date under the Credit Agreement is May 31, 2024. The Credit Agreement is secured by a perfected first priority security interest in substantially all of our assets and portfolio investments.</w:t>
      </w:r>
    </w:p>
    <w:p>
      <w:pPr>
        <w:spacing w:after="0" w:line="3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fourth quarter of 2020, we amended the Credit Agreement and others to increase its size to $215 million, increase the accordion feature to $300 million, add additional lenders, modify certain pricing elements and other provisions.</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During the second quarter of 2021, we amended the Credit Agreement to: (i) allow the Company to incur permitted indebtedness without the prior written consent of Keybank National Association, as administrative agent, subject to the limitations described in the Credit Agreement; (ii) increase the accordion amount under the Credit Agreement from a $300 million maximum aggregate commitment amount to a $350 million maximum aggregate commitment amount; and (iii) amend certain other terms of the</w:t>
      </w:r>
    </w:p>
    <w:p>
      <w:pPr>
        <w:sectPr>
          <w:pgSz w:w="11900" w:h="16838" w:orient="portrait"/>
          <w:cols w:equalWidth="0" w:num="1">
            <w:col w:w="9920"/>
          </w:cols>
          <w:pgMar w:left="980" w:top="517"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Credit Agreement. See "Note 10 -Credit Facilities" to our financial statements in Part I of this Form 10 Q for more information on the Credit Agreement and Credit Facilities.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six months ended June 30, 2021, we drew down $93,000,000 on the Credit Agreement and repaid $75,000,000, of which $117,000,000 remains outstanding at June 30, 2021. At June 30, 2021, interest was accruing at a rate of 3.50%. During the year ended December 31, 2020, we drew down $200,500,000 on the Credit Agreement and repaid $162,500,000 of which $99,000,000 remained outstanding at December 31, 2020. At December 31, 2020, interest was accruing at a rate of 3.22%. See “Note 10 – Credit Facilities” to our financial statements in Part I, Item 1 of this Form 10-Q for more information on the Credit Agreement and Credit Facilities.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currently have no off-balance sheet arrangements, including any risk management of commodity pricing or other hedging practices.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To the extent that we have funds available, we intend to make quarterly distributions to our stockholders. Our stockholder distributions, if any, will be determined by our Board of Directors. Any distribution to our stockholders will be declared out of assets legally available for distribution. We anticipate that distributions will be paid from income primarily generated by interest and dividend income earned on investments made by us. 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 During the six months ended June 30, 2021, we declared dividends in the amount of $23,482,930, of which $4,889,338 was distributed in cash and the remainder distributed in shares to stockholders pursuant to our dividend reinvestment plan. </w:t>
      </w:r>
      <w:r>
        <w:rPr>
          <w:rFonts w:ascii="Arial" w:cs="Arial" w:eastAsia="Arial" w:hAnsi="Arial"/>
          <w:sz w:val="16"/>
          <w:szCs w:val="16"/>
          <w:color w:val="231F20"/>
        </w:rPr>
        <w:t>During the year ended December 31, 2020,</w:t>
      </w:r>
      <w:r>
        <w:rPr>
          <w:rFonts w:ascii="Arial" w:cs="Arial" w:eastAsia="Arial" w:hAnsi="Arial"/>
          <w:sz w:val="16"/>
          <w:szCs w:val="16"/>
          <w:color w:val="auto"/>
        </w:rPr>
        <w:t xml:space="preserve"> </w:t>
      </w:r>
      <w:r>
        <w:rPr>
          <w:rFonts w:ascii="Arial" w:cs="Arial" w:eastAsia="Arial" w:hAnsi="Arial"/>
          <w:sz w:val="16"/>
          <w:szCs w:val="16"/>
          <w:color w:val="231F20"/>
        </w:rPr>
        <w:t>we declared and paid dividends in the amount of $39,709,233, of which $7,265,784 was distributed in cash and the remainder distributed in shares to stockholders pursuant to our dividend reinvestment program.</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timing and amount of our distributions, if any, will be determined by our Board of Directors and will be declared out of assets legally available for distribution. The following table shows the dividends per share declared since our formation through June 30, 2021.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Record Date</w:t>
            </w:r>
          </w:p>
        </w:tc>
        <w:tc>
          <w:tcPr>
            <w:tcW w:w="192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Payment Date</w:t>
            </w:r>
          </w:p>
        </w:tc>
        <w:tc>
          <w:tcPr>
            <w:tcW w:w="140" w:type="dxa"/>
            <w:vAlign w:val="bottom"/>
          </w:tcPr>
          <w:p>
            <w:pPr>
              <w:spacing w:after="0"/>
              <w:rPr>
                <w:sz w:val="14"/>
                <w:szCs w:val="14"/>
                <w:color w:val="auto"/>
              </w:rPr>
            </w:pPr>
          </w:p>
        </w:tc>
        <w:tc>
          <w:tcPr>
            <w:tcW w:w="800" w:type="dxa"/>
            <w:vAlign w:val="bottom"/>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3160" w:type="dxa"/>
            <w:vAlign w:val="bottom"/>
            <w:vMerge w:val="continue"/>
          </w:tcPr>
          <w:p>
            <w:pPr>
              <w:spacing w:after="0"/>
              <w:rPr>
                <w:sz w:val="14"/>
                <w:szCs w:val="14"/>
                <w:color w:val="auto"/>
              </w:rPr>
            </w:pPr>
          </w:p>
        </w:tc>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b w:val="1"/>
                <w:bCs w:val="1"/>
                <w:color w:val="auto"/>
                <w:w w:val="95"/>
              </w:rPr>
              <w:t>per Share</w:t>
            </w:r>
          </w:p>
        </w:tc>
        <w:tc>
          <w:tcPr>
            <w:tcW w:w="0" w:type="dxa"/>
            <w:vAlign w:val="bottom"/>
          </w:tcPr>
          <w:p>
            <w:pPr>
              <w:spacing w:after="0"/>
              <w:rPr>
                <w:sz w:val="1"/>
                <w:szCs w:val="1"/>
                <w:color w:val="auto"/>
              </w:rPr>
            </w:pPr>
          </w:p>
        </w:tc>
      </w:tr>
      <w:tr>
        <w:trPr>
          <w:trHeight w:val="210"/>
        </w:trPr>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3, 2018</w:t>
            </w:r>
          </w:p>
        </w:tc>
        <w:tc>
          <w:tcPr>
            <w:tcW w:w="1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May 15, 2018</w:t>
            </w: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May 31, 2018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July 26, 2018</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August 15, 2018</w:t>
            </w:r>
          </w:p>
        </w:tc>
        <w:tc>
          <w:tcPr>
            <w:tcW w:w="1920" w:type="dxa"/>
            <w:vAlign w:val="bottom"/>
            <w:gridSpan w:val="2"/>
          </w:tcPr>
          <w:p>
            <w:pPr>
              <w:jc w:val="right"/>
              <w:ind w:right="280"/>
              <w:spacing w:after="0"/>
              <w:rPr>
                <w:sz w:val="20"/>
                <w:szCs w:val="20"/>
                <w:color w:val="auto"/>
              </w:rPr>
            </w:pPr>
            <w:r>
              <w:rPr>
                <w:rFonts w:ascii="Arial" w:cs="Arial" w:eastAsia="Arial" w:hAnsi="Arial"/>
                <w:sz w:val="18"/>
                <w:szCs w:val="18"/>
                <w:color w:val="auto"/>
              </w:rPr>
              <w:t>August 31, 2018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November 1, 2018</w:t>
            </w: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October 31, 2018</w:t>
            </w: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November 15, 2018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March 22, 2019</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March 22, 2019</w:t>
            </w:r>
          </w:p>
        </w:tc>
        <w:tc>
          <w:tcPr>
            <w:tcW w:w="1920" w:type="dxa"/>
            <w:vAlign w:val="bottom"/>
            <w:gridSpan w:val="2"/>
          </w:tcPr>
          <w:p>
            <w:pPr>
              <w:jc w:val="right"/>
              <w:ind w:right="280"/>
              <w:spacing w:after="0"/>
              <w:rPr>
                <w:sz w:val="20"/>
                <w:szCs w:val="20"/>
                <w:color w:val="auto"/>
              </w:rPr>
            </w:pPr>
            <w:r>
              <w:rPr>
                <w:rFonts w:ascii="Arial" w:cs="Arial" w:eastAsia="Arial" w:hAnsi="Arial"/>
                <w:sz w:val="18"/>
                <w:szCs w:val="18"/>
                <w:color w:val="auto"/>
              </w:rPr>
              <w:t>March 26, 2019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May 2, 2019</w:t>
            </w: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May 7, 2019</w:t>
            </w: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May 21, 2019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May 2, 2019</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May 31, 2019</w:t>
            </w:r>
          </w:p>
        </w:tc>
        <w:tc>
          <w:tcPr>
            <w:tcW w:w="1920" w:type="dxa"/>
            <w:vAlign w:val="bottom"/>
            <w:gridSpan w:val="2"/>
          </w:tcPr>
          <w:p>
            <w:pPr>
              <w:jc w:val="right"/>
              <w:ind w:right="280"/>
              <w:spacing w:after="0"/>
              <w:rPr>
                <w:sz w:val="20"/>
                <w:szCs w:val="20"/>
                <w:color w:val="auto"/>
              </w:rPr>
            </w:pPr>
            <w:r>
              <w:rPr>
                <w:rFonts w:ascii="Arial" w:cs="Arial" w:eastAsia="Arial" w:hAnsi="Arial"/>
                <w:sz w:val="18"/>
                <w:szCs w:val="18"/>
                <w:color w:val="auto"/>
              </w:rPr>
              <w:t>July 16, 2019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July 30, 2019</w:t>
            </w: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August 8, 2019</w:t>
            </w: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August 26, 2019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September 27, 2019</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September 30, 2019</w:t>
            </w:r>
          </w:p>
        </w:tc>
        <w:tc>
          <w:tcPr>
            <w:tcW w:w="1920" w:type="dxa"/>
            <w:vAlign w:val="bottom"/>
            <w:gridSpan w:val="2"/>
          </w:tcPr>
          <w:p>
            <w:pPr>
              <w:jc w:val="right"/>
              <w:ind w:right="280"/>
              <w:spacing w:after="0"/>
              <w:rPr>
                <w:sz w:val="20"/>
                <w:szCs w:val="20"/>
                <w:color w:val="auto"/>
              </w:rPr>
            </w:pPr>
            <w:r>
              <w:rPr>
                <w:rFonts w:ascii="Arial" w:cs="Arial" w:eastAsia="Arial" w:hAnsi="Arial"/>
                <w:sz w:val="18"/>
                <w:szCs w:val="18"/>
                <w:color w:val="auto"/>
              </w:rPr>
              <w:t>November 12, 2019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December 9, 2019</w:t>
            </w: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December 10, 2019</w:t>
            </w: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December 23, 2019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March 5, 2020</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March 6, 2020</w:t>
            </w:r>
          </w:p>
        </w:tc>
        <w:tc>
          <w:tcPr>
            <w:tcW w:w="1920" w:type="dxa"/>
            <w:vAlign w:val="bottom"/>
            <w:gridSpan w:val="2"/>
          </w:tcPr>
          <w:p>
            <w:pPr>
              <w:jc w:val="right"/>
              <w:ind w:right="280"/>
              <w:spacing w:after="0"/>
              <w:rPr>
                <w:sz w:val="20"/>
                <w:szCs w:val="20"/>
                <w:color w:val="auto"/>
              </w:rPr>
            </w:pPr>
            <w:r>
              <w:rPr>
                <w:rFonts w:ascii="Arial" w:cs="Arial" w:eastAsia="Arial" w:hAnsi="Arial"/>
                <w:sz w:val="18"/>
                <w:szCs w:val="18"/>
                <w:color w:val="auto"/>
              </w:rPr>
              <w:t>March 20, 2020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May 7, 2020</w:t>
            </w: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May 8, 2020</w:t>
            </w: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May 21, 2020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August 5, 2020</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August 6, 2020</w:t>
            </w:r>
          </w:p>
        </w:tc>
        <w:tc>
          <w:tcPr>
            <w:tcW w:w="1920" w:type="dxa"/>
            <w:vAlign w:val="bottom"/>
            <w:gridSpan w:val="2"/>
          </w:tcPr>
          <w:p>
            <w:pPr>
              <w:jc w:val="right"/>
              <w:ind w:right="280"/>
              <w:spacing w:after="0"/>
              <w:rPr>
                <w:sz w:val="20"/>
                <w:szCs w:val="20"/>
                <w:color w:val="auto"/>
              </w:rPr>
            </w:pPr>
            <w:r>
              <w:rPr>
                <w:rFonts w:ascii="Arial" w:cs="Arial" w:eastAsia="Arial" w:hAnsi="Arial"/>
                <w:sz w:val="18"/>
                <w:szCs w:val="18"/>
                <w:color w:val="auto"/>
              </w:rPr>
              <w:t>August 20, 2020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October 1, 2020</w:t>
            </w: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October 1, 2020</w:t>
            </w: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November 12, 2020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March 4, 2021</w:t>
            </w:r>
          </w:p>
        </w:tc>
        <w:tc>
          <w:tcPr>
            <w:tcW w:w="1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March 5, 2021</w:t>
            </w:r>
          </w:p>
        </w:tc>
        <w:tc>
          <w:tcPr>
            <w:tcW w:w="1920" w:type="dxa"/>
            <w:vAlign w:val="bottom"/>
            <w:gridSpan w:val="2"/>
          </w:tcPr>
          <w:p>
            <w:pPr>
              <w:jc w:val="right"/>
              <w:ind w:right="280"/>
              <w:spacing w:after="0"/>
              <w:rPr>
                <w:sz w:val="20"/>
                <w:szCs w:val="20"/>
                <w:color w:val="auto"/>
              </w:rPr>
            </w:pPr>
            <w:r>
              <w:rPr>
                <w:rFonts w:ascii="Arial" w:cs="Arial" w:eastAsia="Arial" w:hAnsi="Arial"/>
                <w:sz w:val="18"/>
                <w:szCs w:val="18"/>
                <w:color w:val="auto"/>
              </w:rPr>
              <w:t>March 19, 2021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April 29, 2021</w:t>
            </w:r>
          </w:p>
        </w:tc>
        <w:tc>
          <w:tcPr>
            <w:tcW w:w="1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April 30, 2021</w:t>
            </w: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May 13, 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864"/>
        </w:trPr>
        <w:tc>
          <w:tcPr>
            <w:tcW w:w="3160" w:type="dxa"/>
            <w:vAlign w:val="bottom"/>
          </w:tcPr>
          <w:p>
            <w:pPr>
              <w:spacing w:after="0"/>
              <w:rPr>
                <w:sz w:val="24"/>
                <w:szCs w:val="24"/>
                <w:color w:val="auto"/>
              </w:rPr>
            </w:pPr>
          </w:p>
        </w:tc>
        <w:tc>
          <w:tcPr>
            <w:tcW w:w="2100" w:type="dxa"/>
            <w:vAlign w:val="bottom"/>
            <w:gridSpan w:val="2"/>
          </w:tcPr>
          <w:p>
            <w:pPr>
              <w:jc w:val="right"/>
              <w:ind w:right="200"/>
              <w:spacing w:after="0"/>
              <w:rPr>
                <w:sz w:val="20"/>
                <w:szCs w:val="20"/>
                <w:color w:val="auto"/>
              </w:rPr>
            </w:pPr>
            <w:r>
              <w:rPr>
                <w:rFonts w:ascii="Arial" w:cs="Arial" w:eastAsia="Arial" w:hAnsi="Arial"/>
                <w:sz w:val="18"/>
                <w:szCs w:val="18"/>
                <w:color w:val="auto"/>
              </w:rPr>
              <w:t>56</w:t>
            </w: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1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preparation of the financial statements and related disclosures in conformity with U.S. GAAP requires our management to make estimates and assumptions that affect the reported amounts of assets and liabilities, disclosure of contingent assets and liabilities at the date of the financial statements, and revenues and expenses during the period reports. Actual results could materially differ from those estimates. We believe that our most critical accounting policies, which are those that are most important to the portrayal of our financial condition and results of operations and require management’s most difficult, subjective and complex judgments, include the valuation of investments and our election to be treated, and intent to qualify annually, as a RIC. See “Note 2 — Summary of Significant Accounting Policies” to our financial statements in Part I, Item 1 of this Form 10-Q, which describes our critical accounting policies and recently adopted accounting pronouncements not yet required to be adopted by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measure the value of our portfolio investments at fair value in accordance with ASC Topic 820, Fair Value Measurements (“ASC Topic 820”) issued by the FASB. Fair value is the price that would be received to sell an asset or paid to transfer a liability in an orderly transaction between market participants at the measurement date.</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Audit Committee assists our Board of Directors in valuing investments that are not publicly traded or for which current market values are not readily available. Investments for which market quotations are readily available are valued using market quotations, which are generally obtained from independent pricing services, broker-dealers or market makers. With respect to portfolio investments for which market quotations are not readily available, our Board of Directors, with the assistance of the Audit Committee, RGC and its senior investment team and independent valuation agents, is responsible for determining, in good faith, the fair value of such portfolio investments in accordance with the valuation policy approved by our Board of Directors. If more than one valuation method is used to measure fair value, the results are evaluated and weighted, as appropriate, considering the reasonableness of the range indicated by those results. We consider a range of fair values based upon the valuation techniques utilized and select the value within that range that was most representative of fair value based on current market conditions as well as other factors RGC’s senior investment team considers relevant.</w:t>
      </w:r>
    </w:p>
    <w:p>
      <w:pPr>
        <w:spacing w:after="0" w:line="19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Board of Directors makes this fair value determination on a quarterly basis and any other time when a decision regarding the fair value of the portfolio investments is required. A determination of fair value involves subjective judgments and estimates and depends on the facts and circumstances. Due to the inherent uncertainty of determining the fair value of portfolio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ASC Topic 820 specifies a hierarchy of valuation techniques based on whether the inputs to those valuation techniques are observable or unobservable. ASC Topic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Topic 820, these inputs are summarized in the three levels listed below:</w:t>
      </w:r>
    </w:p>
    <w:p>
      <w:pPr>
        <w:spacing w:after="0" w:line="188" w:lineRule="exact"/>
        <w:rPr>
          <w:sz w:val="20"/>
          <w:szCs w:val="20"/>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Level 1—Valuations are based on quoted prices in active markets for identical assets or liabilities that are accessible at the measurement date.</w:t>
      </w:r>
    </w:p>
    <w:p>
      <w:pPr>
        <w:spacing w:after="0" w:line="143"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Level 2—Valuations are based on quoted prices in markets that are not active or for which all significant inputs are observable, either directly or indirectly and model-based valuation techniques for which all significant inputs are observable.</w:t>
      </w:r>
    </w:p>
    <w:p>
      <w:pPr>
        <w:spacing w:after="0" w:line="83" w:lineRule="exact"/>
        <w:rPr>
          <w:rFonts w:ascii="Arial" w:cs="Arial" w:eastAsia="Arial" w:hAnsi="Arial"/>
          <w:sz w:val="16"/>
          <w:szCs w:val="16"/>
          <w:color w:val="auto"/>
        </w:rPr>
      </w:pPr>
    </w:p>
    <w:p>
      <w:pPr>
        <w:jc w:val="both"/>
        <w:ind w:left="660" w:hanging="328"/>
        <w:spacing w:after="0" w:line="301"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Level 3—Valuations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valuations techniques. The valuation of Level 3 assets and liabilities generally requires significant management judgment due to the inability to observe inputs to valuation.</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an investment’s level within the fair value hierarchy is based on the lowest level of observable input that is significant to the fair value measurement. The assessment of the significance of a particular input to the fair value measurement in its entirety requires judgment, and considers factors specific to the investment.</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ASC Topic 820, the fair value measurement also assumes that the transaction to sell an asset occurs in the principal market for the asset or, in the absence of a principal market, the most advantageous market for the asset, which may be a hypothetical market, and excludes transaction costs. The principal market for any asset is the market with the greatest volume and level of activity for such asset in which the reporting entity would or could sell or transfer the asset. In determining the principal market for an asset or liability under ASC Topic 820, it is assumed that the reporting entity has access to such market as of the measurement date. Market participants are defined as buyers and sellers in the principal or most advantageous market that are independent, knowledgeable and willing and able to transact.</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our Board of Directors undertakes a multi-step valuation process each quarter, as described below:</w:t>
      </w:r>
    </w:p>
    <w:p>
      <w:pPr>
        <w:spacing w:after="0" w:line="170" w:lineRule="exact"/>
        <w:rPr>
          <w:sz w:val="20"/>
          <w:szCs w:val="20"/>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investment being initially valued by RGC’s investment professionals that are responsible for the portfolio investment;</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RGC’s senior investment team;</w:t>
      </w:r>
    </w:p>
    <w:p>
      <w:pPr>
        <w:spacing w:after="0" w:line="184"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 least once annually, the valuation for each portfolio investment is reviewed by one or more independent valuation firms. Certain investments, however, may not be evaluated by the applicable independent valuation firm if the net asset value and other aspects of such investments in the aggregate do not exceed certain thresholds;</w:t>
      </w:r>
    </w:p>
    <w:p>
      <w:pPr>
        <w:spacing w:after="0" w:line="14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Audit Committee then reviews these preliminary valuations from RGC and the applicable independent valuation firm, if any, and makes a recommendation to our Board of Directors regarding such valuations; and</w:t>
      </w:r>
    </w:p>
    <w:p>
      <w:pPr>
        <w:spacing w:after="0" w:line="143"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Board of Directors reviews the recommended preliminary valuations and determines the fair value of each investment in our portfolio, in good faith, based on the input of RGC, the applicable independent valuation firm and the Audit Committee.</w:t>
      </w:r>
    </w:p>
    <w:p>
      <w:pPr>
        <w:spacing w:after="0" w:line="124"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investments are primarily loans made to high growth-potential companies focused in technology, life sciences, healthcare information and services, business services, select consumer services and products and other high-growth industries. These investments are considered Level 3 assets under ASC Topic 820 because there is no known or accessible market or market indices for these types of debt instruments and, thus, RGC’s senior investment team must estimate the fair value of these investment securities based on models utilizing unobservable inputs.</w:t>
      </w:r>
    </w:p>
    <w:p>
      <w:pPr>
        <w:spacing w:after="0" w:line="188"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Rule 2a-5 under the 1940 Act was recently adopted by the SEC and establishes requirements for determining fair value in good faith for purposes of the 1940 Act. The Company is evaluating the impact of adopting Rule 2a-5 on the financial statements and intends to comply with the new rule’s requirements on or before the compliance date in September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Valuation Techniques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Debt Investments. </w:t>
      </w:r>
      <w:r>
        <w:rPr>
          <w:rFonts w:ascii="Arial" w:cs="Arial" w:eastAsia="Arial" w:hAnsi="Arial"/>
          <w:sz w:val="18"/>
          <w:szCs w:val="18"/>
          <w:color w:val="auto"/>
        </w:rPr>
        <w:t>To determine the fair value of our debt investments, we compare the cost basis of the debt investment, which</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original issue discount, to the resulting fair value determined using a discounted cash flow model, unless another model is more appropriate based on the circumstances at the measurement date. The discounted cash flow approach entails analyzing the interest rate spreads for recently completed financing transactions that are similar in nature to our investments, in order to determine a comparable range of effective market interest rates for our investments. The range of interest rate spreads utilized is based on borrowers with similar credit profiles. All remaining expected cash flows of the investment are discounted using this range of interest rates to determine a range of fair values for the debt investment.</w:t>
      </w:r>
    </w:p>
    <w:p>
      <w:pPr>
        <w:spacing w:after="0" w:line="1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valuation process includes, among other things, evaluating the underlying investment performance, the portfolio company’s current financial condition and ability to raise additional capital, as well as macro-economic events that may impact valuations. These events include, but are not limited to, current market yields and interest rate spreads of similar securities as of the</w:t>
      </w:r>
    </w:p>
    <w:p>
      <w:pPr>
        <w:sectPr>
          <w:pgSz w:w="11900" w:h="16838" w:orient="portrait"/>
          <w:cols w:equalWidth="0" w:num="1">
            <w:col w:w="9920"/>
          </w:cols>
          <w:pgMar w:left="980" w:top="517"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measurement date. Significant increases or decreases in these unobservable inputs could result in a significantly higher or lower fair value measurement; however, a significantly higher or lower fair value measurement of any of the Company’s portfolio investments may occur regardless of whether there is a significant increase or decrease in these unobservable inputs; however, a significantly higher or lower fair value measurement of any of the Company’s portfolio investments may occur regardless of whether there is a signficiant increase or decrease in these unobservable inputs.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certain circumstances, we may use an alternative technique to value the debt investments to be acquired by us that better reflects the fair value of the investment, such as the price paid or realized in a recently completed transaction or a binding offer received in an arms-length transaction, the use of multiple probability-weighted cash flow models when the expected future cash flows contain elements of variability or estimates of proceeds that would be received in a liquidation scenario.</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Warrants. </w:t>
      </w:r>
      <w:r>
        <w:rPr>
          <w:rFonts w:ascii="Arial" w:cs="Arial" w:eastAsia="Arial" w:hAnsi="Arial"/>
          <w:sz w:val="17"/>
          <w:szCs w:val="17"/>
          <w:color w:val="auto"/>
        </w:rPr>
        <w:t>Fair value of warrants is primarily determined using a Black Scholes option-pricing model. Privately held warrants</w:t>
      </w:r>
      <w:r>
        <w:rPr>
          <w:rFonts w:ascii="Arial" w:cs="Arial" w:eastAsia="Arial" w:hAnsi="Arial"/>
          <w:sz w:val="17"/>
          <w:szCs w:val="17"/>
          <w:i w:val="1"/>
          <w:iCs w:val="1"/>
          <w:color w:val="auto"/>
        </w:rPr>
        <w:t xml:space="preserve"> </w:t>
      </w:r>
      <w:r>
        <w:rPr>
          <w:rFonts w:ascii="Arial" w:cs="Arial" w:eastAsia="Arial" w:hAnsi="Arial"/>
          <w:sz w:val="17"/>
          <w:szCs w:val="17"/>
          <w:color w:val="auto"/>
        </w:rPr>
        <w:t>and equity-related securities are valued based on an analysis of various factors including, but not limited to, the following:</w:t>
      </w:r>
    </w:p>
    <w:p>
      <w:pPr>
        <w:spacing w:after="0" w:line="146" w:lineRule="exact"/>
        <w:rPr>
          <w:sz w:val="20"/>
          <w:szCs w:val="20"/>
          <w:color w:val="auto"/>
        </w:rPr>
      </w:pPr>
    </w:p>
    <w:p>
      <w:pPr>
        <w:jc w:val="both"/>
        <w:ind w:left="660" w:hanging="328"/>
        <w:spacing w:after="0" w:line="270"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Underlying enterprise value of the issuer is estimated based on information available, including any information regarding the most recent rounds of issuer funding. Valuation techniques to determine enterprise value include market multiple approaches, income approaches or approaches that utilize recent rounds of financing and the portfolio company’s capital structure to determine enterprise value. Valuation techniques are also utilized to allocate the enterprise fair value of a portfolio company to the specific class of common or preferred stock exercisable in the warrant. Such techniques take into account the rights and preferences of the portfolio company’s securities, expected exit scenarios, and volatility associated with such outcomes to allocate the fair value to the specific class of stock held in the portfolio. Such techniques include Option Pricing Models, or “OPM,” including back-solve techniques, Probability Weighted Expected Return Models, or “PWERM,” and other techniques as determined to be appropriate.</w:t>
      </w:r>
    </w:p>
    <w:p>
      <w:pPr>
        <w:spacing w:after="0" w:line="153"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Volatility, or the amount of uncertainty or risk about the size of the changes in the warrant price, is based on comparable publicly traded companies within indices similar in nature to the underlying company issuing the warrant.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147"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risk-free interest rates are derived from the U.S. Treasury yield curve. The risk-free interest rates are calculated based on a weighted average of the risk-free interest rates that correspond closest to the expected remaining life of the warrant.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147" w:lineRule="exact"/>
        <w:rPr>
          <w:rFonts w:ascii="Arial" w:cs="Arial" w:eastAsia="Arial" w:hAnsi="Arial"/>
          <w:sz w:val="18"/>
          <w:szCs w:val="18"/>
          <w:color w:val="auto"/>
        </w:rPr>
      </w:pPr>
    </w:p>
    <w:p>
      <w:pPr>
        <w:jc w:val="both"/>
        <w:ind w:left="660" w:hanging="328"/>
        <w:spacing w:after="0" w:line="301"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Other adjustments, including a marketability discount on private company warrants, are estimated based on our judgment about the general industry environment.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130" w:lineRule="exact"/>
        <w:rPr>
          <w:rFonts w:ascii="Arial" w:cs="Arial" w:eastAsia="Arial" w:hAnsi="Arial"/>
          <w:sz w:val="16"/>
          <w:szCs w:val="16"/>
          <w:color w:val="auto"/>
        </w:rPr>
      </w:pPr>
    </w:p>
    <w:p>
      <w:pPr>
        <w:jc w:val="both"/>
        <w:ind w:left="660" w:hanging="328"/>
        <w:spacing w:after="0" w:line="25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Historical portfolio experience on cancellations and exercises of warrants are utilized as the basis for determining the estimated life of the warrants in each financial reporting period. Warrants may be exercised in the event of acquisitions, mergers or IPOs, and cancelled due to events such as bankruptcies, restructuring activities or additional financings. These events cause the expected remaining life assumption to be shorter than the contractual term of the warrants.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certain circumstances we may use an alternative technique to value warrants that better reflects the warrants’ fair values, such as an expected settlement of a warrant in the near term, a model that incorporates a put feature associated with the warrant, or the price paid or realized in a recently completed transaction or binding offer received in an arms-length transaction. The fair value may be determined based on the expected proceeds to be received from such settlement or based on the net present value of the expected proceeds from the put option.</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These 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16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Equity Investments. </w:t>
      </w:r>
      <w:r>
        <w:rPr>
          <w:rFonts w:ascii="Arial" w:cs="Arial" w:eastAsia="Arial" w:hAnsi="Arial"/>
          <w:sz w:val="17"/>
          <w:szCs w:val="17"/>
          <w:color w:val="auto"/>
        </w:rPr>
        <w:t>The fair value of an equity investment in a privately held company is initially the face value of the amount</w:t>
      </w:r>
      <w:r>
        <w:rPr>
          <w:rFonts w:ascii="Arial" w:cs="Arial" w:eastAsia="Arial" w:hAnsi="Arial"/>
          <w:sz w:val="17"/>
          <w:szCs w:val="17"/>
          <w:i w:val="1"/>
          <w:iCs w:val="1"/>
          <w:color w:val="auto"/>
        </w:rPr>
        <w:t xml:space="preserve"> </w:t>
      </w:r>
      <w:r>
        <w:rPr>
          <w:rFonts w:ascii="Arial" w:cs="Arial" w:eastAsia="Arial" w:hAnsi="Arial"/>
          <w:sz w:val="17"/>
          <w:szCs w:val="17"/>
          <w:color w:val="auto"/>
        </w:rPr>
        <w:t>invested. We adjust the fair value of equity investments in private companies upon the completion of a new third-party round of equity financing subsequent to our investment. We may make adjustments to fair value, absent a new equity financing event, based upon positive or negative changes in a portfolio company’s financial or operational performance. We may also reference comparable transactions and/or secondary market transactions in connection with our determination of fair value. The fair value of an equity investment in a publicly traded company is based upon the closing public share price on the date of measurement. These assets are recorded at fair value on a recurring basis. These 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Company’s assets measured at fair value on a recurring basis subject to the requirements of ASC Topic 820 at June 30, 2021 and December 31, 2020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4"/>
                <w:szCs w:val="14"/>
                <w:b w:val="1"/>
                <w:bCs w:val="1"/>
                <w:color w:val="auto"/>
                <w:w w:val="99"/>
              </w:rPr>
              <w:t>As of June 30, 2021 (Unaudited)</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142"/>
        </w:trPr>
        <w:tc>
          <w:tcPr>
            <w:tcW w:w="344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344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737,971</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14,324,110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15,062,081</w:t>
            </w:r>
          </w:p>
        </w:tc>
      </w:tr>
      <w:tr>
        <w:trPr>
          <w:trHeight w:val="216"/>
        </w:trPr>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Bonds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tcPr>
          <w:p>
            <w:pPr>
              <w:ind w:left="120"/>
              <w:spacing w:after="0"/>
              <w:rPr>
                <w:sz w:val="20"/>
                <w:szCs w:val="20"/>
                <w:color w:val="auto"/>
              </w:rPr>
            </w:pPr>
            <w:r>
              <w:rPr>
                <w:rFonts w:ascii="Arial" w:cs="Arial" w:eastAsia="Arial" w:hAnsi="Arial"/>
                <w:sz w:val="18"/>
                <w:szCs w:val="18"/>
                <w:color w:val="auto"/>
              </w:rPr>
              <w:t>Senior Secured Term Loans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530,911,757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5"/>
              </w:rPr>
              <w:t>530,911,757</w:t>
            </w:r>
          </w:p>
        </w:tc>
      </w:tr>
      <w:tr>
        <w:trPr>
          <w:trHeight w:val="216"/>
        </w:trPr>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Stock</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15,770,278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1,478,566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17,248,844</w:t>
            </w:r>
          </w:p>
        </w:tc>
      </w:tr>
      <w:tr>
        <w:trPr>
          <w:trHeight w:val="216"/>
        </w:trPr>
        <w:tc>
          <w:tcPr>
            <w:tcW w:w="3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Warrants</w:t>
            </w:r>
          </w:p>
        </w:tc>
        <w:tc>
          <w:tcPr>
            <w:tcW w:w="1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24,367,115</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24,394,480</w:t>
            </w: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16,508,249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14,351,475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556,757,438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587,617,162</w:t>
            </w:r>
          </w:p>
        </w:tc>
      </w:tr>
      <w:tr>
        <w:trPr>
          <w:trHeight w:val="216"/>
        </w:trPr>
        <w:tc>
          <w:tcPr>
            <w:tcW w:w="34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U.S. Treasury Bill</w:t>
            </w:r>
          </w:p>
        </w:tc>
        <w:tc>
          <w:tcPr>
            <w:tcW w:w="1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29,999,881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29,999,881</w:t>
            </w:r>
          </w:p>
        </w:tc>
      </w:tr>
      <w:tr>
        <w:trPr>
          <w:trHeight w:val="210"/>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46,508,130</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14,351,475</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556,757,438</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617,617,043</w:t>
            </w:r>
          </w:p>
        </w:tc>
      </w:tr>
      <w:tr>
        <w:trPr>
          <w:trHeight w:val="20"/>
        </w:trPr>
        <w:tc>
          <w:tcPr>
            <w:tcW w:w="3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58"/>
        </w:trPr>
        <w:tc>
          <w:tcPr>
            <w:tcW w:w="3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As of December 31, 2020</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42"/>
        </w:trPr>
        <w:tc>
          <w:tcPr>
            <w:tcW w:w="344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344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521,940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521,940</w:t>
            </w:r>
          </w:p>
        </w:tc>
      </w:tr>
      <w:tr>
        <w:trPr>
          <w:trHeight w:val="216"/>
        </w:trPr>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Bonds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333,453</w:t>
            </w:r>
          </w:p>
        </w:tc>
      </w:tr>
      <w:tr>
        <w:trPr>
          <w:trHeight w:val="216"/>
        </w:trPr>
        <w:tc>
          <w:tcPr>
            <w:tcW w:w="3440" w:type="dxa"/>
            <w:vAlign w:val="bottom"/>
          </w:tcPr>
          <w:p>
            <w:pPr>
              <w:ind w:left="120"/>
              <w:spacing w:after="0"/>
              <w:rPr>
                <w:sz w:val="20"/>
                <w:szCs w:val="20"/>
                <w:color w:val="auto"/>
              </w:rPr>
            </w:pPr>
            <w:r>
              <w:rPr>
                <w:rFonts w:ascii="Arial" w:cs="Arial" w:eastAsia="Arial" w:hAnsi="Arial"/>
                <w:sz w:val="18"/>
                <w:szCs w:val="18"/>
                <w:color w:val="auto"/>
              </w:rPr>
              <w:t>Senior Secured Term Loans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501,964,657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5"/>
              </w:rPr>
              <w:t>501,964,657</w:t>
            </w:r>
          </w:p>
        </w:tc>
      </w:tr>
      <w:tr>
        <w:trPr>
          <w:trHeight w:val="216"/>
        </w:trPr>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Stock</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13,230,000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1,429,600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1,336,268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15,995,868</w:t>
            </w:r>
          </w:p>
        </w:tc>
      </w:tr>
      <w:tr>
        <w:trPr>
          <w:trHeight w:val="216"/>
        </w:trPr>
        <w:tc>
          <w:tcPr>
            <w:tcW w:w="3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Warrants</w:t>
            </w:r>
          </w:p>
        </w:tc>
        <w:tc>
          <w:tcPr>
            <w:tcW w:w="1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33,008,672</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33,008,672</w:t>
            </w: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13,230,000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2,284,993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536,309,597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551,824,590</w:t>
            </w:r>
          </w:p>
        </w:tc>
      </w:tr>
      <w:tr>
        <w:trPr>
          <w:trHeight w:val="216"/>
        </w:trPr>
        <w:tc>
          <w:tcPr>
            <w:tcW w:w="34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U.S. Treasury Bill</w:t>
            </w:r>
          </w:p>
        </w:tc>
        <w:tc>
          <w:tcPr>
            <w:tcW w:w="1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70,002,060</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70,002,060</w:t>
            </w:r>
          </w:p>
        </w:tc>
      </w:tr>
      <w:tr>
        <w:trPr>
          <w:trHeight w:val="210"/>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83,232,060</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2,284,993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536,309,597</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621,826,650</w:t>
            </w:r>
          </w:p>
        </w:tc>
      </w:tr>
      <w:tr>
        <w:trPr>
          <w:trHeight w:val="20"/>
        </w:trPr>
        <w:tc>
          <w:tcPr>
            <w:tcW w:w="3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Transactions and Related Investment Income</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Security transactions, if any, are recorded on a trade-date basis. We measure realized gains or losses from the repayment or sale of investments using the specific identification method. The amortized cost basis of investments represents the original cost adjusted for the accretion/amortization of discounts and premiums and upfront loan origination fees. We report changes in fair value of</w:t>
      </w:r>
    </w:p>
    <w:p>
      <w:pPr>
        <w:sectPr>
          <w:pgSz w:w="11900" w:h="16838" w:orient="portrait"/>
          <w:cols w:equalWidth="0" w:num="1">
            <w:col w:w="9920"/>
          </w:cols>
          <w:pgMar w:left="980" w:top="517"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investments that are measured at fair value as a component of net change in unrealized appreciation (depreciation) on investments on the statement of operations.</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Dividends are recorded on the applicable ex-dividend date. Interest income, if any, adjusted for amortization of market premium and accretion of market discount, is recorded on an accrual basis to the extent that we expect to collect such amounts. Original issue discount, principally representing the estimated fair value of detachable equity or warrants obtained in conjunction with our debt investments, loan origination fees, end of term payments, and market discount or premium are capitalized and accreted or amortized into interest income over the life of the respective security using the effective interest method. Loan origination fees received in connection with the closing of investments are reported as unearned income, which is included as amortized cost of the investment; the unearned income from such fees is accreted over the contractual life of the loan based on the effective interest method. Upon prepayment of a loan or debt security, any prepayment penalties, unamortized loan origination fees, end of term payments and unamortized market discounts are recorded as interest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and Incentive Fees</w:t>
      </w:r>
    </w:p>
    <w:p>
      <w:pPr>
        <w:spacing w:after="0" w:line="225"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We accrue for base management fees and incentive fees. The accrual for incentive fees includes the recognition of incentive fees on unrealized capital gains, even though such incentive fees are neither earned nor payable to RGC until the gains are both realized and in excess of unrealized depreciation on investments. See “Note 7 – Related Party Agreements and Transactions” to our financial statements in Part I, Item 1 of this Form 10-Q for more information on the Advisory Agreement and the fee structure thereunder.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elected to be treated, have qualified and intend to qualify annually, as a RIC under Subchapter M of the Code. Generally, a RIC is not subject to U.S. federal income taxes on distributed income and gains if it distributes at least 90% of its net ordinary income and net short-term capital gains in excess of its net long-term capital losses, if any, to its stockholders. So long as we qualify, and maintain our status, as a RIC, we generally will not pay corporate-level U.S. federal income taxes on any ordinary income or capital gains that we distribute at least annually to our stockholders as dividends. Rather, any tax liability related to income earned by us represents obligations of our investors and will not be reflected in the financial statements of the Company. We intend to make sufficient distributions to maintain our RIC tax treatment each year and we do not anticipate paying any material U.S. federal income taxes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evaluated events subsequent to June 30, 2021 through August 5, 2021.</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Effective July 1, 2021, we placed three loans to Pivot3 Holdings, Inc. on non-accrual status, representing an aggregate principal funded of $26,201,092 at a fair market value of $13,797,915 and comprises 2.89% of the investment portfolio as of June 30, 2021. On July 20, 2021, we also received cash proceeds of $5,000,000 from the sale of a portion of assets held by Pivot3 Holdings, Inc.</w:t>
      </w:r>
    </w:p>
    <w:p>
      <w:pPr>
        <w:spacing w:after="0" w:line="14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July 1, 2021, Aria Systems, Inc. prepaid its outstanding principal balance of $28,500,000. In addition, we received cash proceeds of $1,658,136 in conjunction with ETP, prepayment fees, and interest for total proceeds of $30,158,136.</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July 19, 2021, we declared a dividend of $0.34 per share payable on August 12, 2021 to shareholders of record as of July 20, 2021. We set June 30, 2021 as the valuation date for shares issued in connection with the dividend pursuant to our dividend reinvestment plan.</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August 4, 2021, we entered into an amendment (the “August Amendment”) to the Credit Agreement to clarify the fee payment schedule and to amend certain other terms of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commenced investment activities in portfolio securities during the quarter ended June 30, 2017 and commenced investment activities in U.S. Treasury Bills during the quarter ended December 31, 2016.</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subject to financial market risk, including changes in the valuations of our investment portfolio. Market risk includes risks that arise from changes in interest rates, commodity prices, equity prices and other market changes that affect market sensitive instruments. The prices of securities held by us may decline in response to certain events, including those directly involving the companies we invest in; conditions affecting the general economy; overall market changes; legislative reform; local, regional, national or global political, social or economic instability; and interest rate fluctuations.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investments may not have a readily available market price, and we value these investments at fair value as determined in good faith by our Board of Directors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interest-bearing debt and liabilities. Changes in interest rates can also affect, among other things, our ability to acquire and originate loans and securities and the value of our investment portfolio. Our net investment income is affected by fluctuations in various interest rates, including LIBOR and prime rates. In connection with the COVID-19 pandemic, the U.S. Federal Reserve and other central banks have reduced certain interest rates and LIBOR has decreased. In a prolonged low interest rate environment, including a reduction of LIBOR to zero, the difference between the total interest income earned on interest earning assets and the total interest expense incurred on interest bearing liabilities may be compressed, reducing our net interest income and potentially adversely affecting our operating results.</w:t>
      </w:r>
    </w:p>
    <w:p>
      <w:pPr>
        <w:spacing w:after="0" w:line="16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typically expect that interest rates on the investments held in our portfolio will be based on LIBOR, with many of these investments also having a LIBOR floor. As of June 30, 2021, 97.0%, or $530,414,099 (at cost), of our debt portfolio investments bore interest at variable rates, which are U.S. Prime Rate or LIBOR-based and subject to certain floors, and one of our debt portfolio investments bore interest at a fixed rate. Interest rate floors are established based on prevailing rates at the time of the investment. As a policy, any interest above the cash cap, if applicable, as determined on an individual loan basis, will accrue to principal and be treated as PIK interest. A hypothetical 200 basis point increase or decrease in the interest rates on our variable-rate debt investments could increase our investment income by a maximum of $5,302,210 and decrease our investment income by a maximum of $0, due to certain floors, on an annual basis. In a low interest rate environment, debt investments with interest rate floors substantially in excess of current prevailing interest rates may be more likely to experience early termination.</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Borrowings under the Credit Facilities bear interest, at our election at the time of drawdown, at a rate per annum equal to the LIBOR rate for the applicable interest period, subject to a LIBOR rate floor of 0.50%, plus 3.00%.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March 5, 2021, the United Kingdom’s Financial Conduct Authority (the “FCA”), which regulates LIBOR, announced that</w:t>
      </w:r>
    </w:p>
    <w:p>
      <w:pPr>
        <w:spacing w:after="0" w:line="35" w:lineRule="exact"/>
        <w:rPr>
          <w:sz w:val="20"/>
          <w:szCs w:val="20"/>
          <w:color w:val="auto"/>
        </w:rPr>
      </w:pPr>
    </w:p>
    <w:p>
      <w:pPr>
        <w:jc w:val="both"/>
        <w:ind w:firstLine="8"/>
        <w:spacing w:after="0" w:line="292" w:lineRule="auto"/>
        <w:tabs>
          <w:tab w:leader="none" w:pos="223" w:val="left"/>
        </w:tabs>
        <w:numPr>
          <w:ilvl w:val="0"/>
          <w:numId w:val="38"/>
        </w:numPr>
        <w:rPr>
          <w:rFonts w:ascii="Arial" w:cs="Arial" w:eastAsia="Arial" w:hAnsi="Arial"/>
          <w:sz w:val="16"/>
          <w:szCs w:val="16"/>
          <w:color w:val="auto"/>
        </w:rPr>
      </w:pPr>
      <w:r>
        <w:rPr>
          <w:rFonts w:ascii="Arial" w:cs="Arial" w:eastAsia="Arial" w:hAnsi="Arial"/>
          <w:sz w:val="16"/>
          <w:szCs w:val="16"/>
          <w:color w:val="auto"/>
        </w:rPr>
        <w:t>24 LIBOR settings would cease to exist immediately after December 31, 2021 (all seven euro LIBOR settings; all seven Swiss franc LIBOR settings; the Spot Next, 1-week, 2-month, and 12-month Japanese yen LIBOR settings; the overnight, 1-week, 2-month, and 12-month sterling LIBOR settings; and the 1-week and 2-month US dollar LIBOR settings); (ii) the overnight and 12-month US LIBOR settings would cease to exist after June 30, 2023; and (iii) the FCA would consult on whether the remaining nine LIBOR settings should continue to be published on a synthetic basis for a certain period using the FCA’s proposed new powers that the UK government is</w:t>
      </w:r>
    </w:p>
    <w:p>
      <w:pPr>
        <w:sectPr>
          <w:pgSz w:w="11900" w:h="16838" w:orient="portrait"/>
          <w:cols w:equalWidth="0" w:num="1">
            <w:col w:w="9920"/>
          </w:cols>
          <w:pgMar w:left="980" w:top="517"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legislating to grant to them. Central banks and regulators in a number of major jurisdictions (for example, United States, United Kingdom, European Union, Switzerland and Japan) have convened working groups to find, and implement the transition to, suitable replacements for interbank offered rates. To identify a successor rate for U.S. dollar LIBOR, the Alternative Reference Rates Committee (“ARRC”), a U.S.-based group convened by the Federal Reserve Board and the Federal Reserve Bank of New York, was formed. The ARRC has identified the Secured Overnight Financing Rate (“SOFR”) as its preferred alternative rate for LIBOR. SOFR is a measure of the cost of borrowing cash overnight, collateralized by U.S. Treasury securities, and is based on directly observable U.S. Treasury-backed repurchase transactions. Although SOFR appears to be the preferred replacement rate for U.S. dollar LIBOR, at this time, it is not possible to predict the effect of any such changes, any establishment of alternative reference rates or other reforms to LIBOR that may be enacted in the United States, United Kingdom or elsewhere or, whether the COVID-19 pandemic will have further effect on LIBOR transition plans.</w:t>
      </w:r>
    </w:p>
    <w:p>
      <w:pPr>
        <w:spacing w:after="0" w:line="19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elimination of LIBOR or any other changes or reforms to the determination or supervision of LIBOR could have an adverse impact on the market for or value of any LIBOR-linked securities, loans, and other financial obligations or extensions of credit held by or due to us or on our overall financial condition or results of operations. In addition, if LIBOR ceases to exist, we may need to renegotiate agreements extending beyond 2021 with our portfolio companies that utilize LIBOR as a factor in determining the interest rate, in order to replace LIBOR with the new standard that is established, which may have an adverse effect on our overall financial condition or results of operations. Following the replacement of LIBOR, some or all of these agreements may bear interest a lower interest rate, which could have an adverse impact on our results of operations. Moreover, if LIBOR ceases to exist, we may need to renegotiate certain terms of our credit facilities. If we are unable to do so, amounts drawn under our credit facilities may bear interest at a higher rate, which would increase the cost of our borrowings and, in turn, affect our results of operations. The global COVID-19 pandemic may also adversely impact the timing of many firms’ LIBOR transition planning. We continue to assess the potential impact of the COVID-19 pandemic on our LIBOR transition plans.</w:t>
      </w:r>
    </w:p>
    <w:p>
      <w:pPr>
        <w:spacing w:after="0" w:line="18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Because we currently borrow, and plan to borrow in the future, money to make investments, our net investment income would be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p>
    <w:p>
      <w:pPr>
        <w:spacing w:after="0" w:line="17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regularly measure exposure to interest rate risk. We assess interest rate risk and manage interest rate exposure on an ongoing basis by comparing our interest rate sensitive assets to our interest rate sensitive liabilities. We may hedge against interest rate and currency exchange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any investments we make that are denominated in a foreign currency will be subject to risks associated with changes in currency exchange rates.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may be exacerbated by the COVID-19 pandemic and its impact on foreign financial markets.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9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There have been no changes in our internal control over financial reporting that occurred during our most recently completed fiscal quarter that have materially affected, or are reasonably likely to materially affect, our internal control over financial reporting.</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not currently subject to any material legal proceedings, nor, to our knowledge, is any material legal proceeding threatened against us. From time to time, we may be a party to certain legal proceedings in the ordinary course of business, including proceedings relating to the enforcement of our rights under contracts with our portfolio companies. Our business is also subject to extensive regulation, which may result in regulatory proceedings against us. While the outcome of any such legal proceedings cannot be predicted with certainty, we do not expect that any such proceedings will have a material effect upon our financial condition or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You should carefully consider the risks described below and all other information contained in this quarterly report on Form 10-Q, including our interim financial statements and the related notes thereto, before making a decision to purchase our securities. The risks and uncertainties described below are not the only ones facing us. Additional risks and uncertainties not currently known to us or that we currently deem to be immaterial also may materially adversely affect our business, financial condition and/or operating results.</w:t>
      </w:r>
    </w:p>
    <w:p>
      <w:pPr>
        <w:spacing w:after="0" w:line="15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any of the following risks actually occur, our business, financial condition or results of operations could be materially adversely affected. If that happens, you may lose all or part of your investment. Other than as set forth below, there have been no material changes known to us during the period ended June 30, 2021 to the risk factors discussed in “Risk Factors” in Part I, Item 1A of our annual report on Form 10-K for the fiscal year ended December 31, 2020, filed with the SEC on March 11, 2021.</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interest rates of our term loans to our portfolio companies that extend beyond 2021 might be subject to change based on recent regulatory changes.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LIBOR, the London Interbank Offered Rate, is the basic rate of interest used in lending between banks on the London interbank market and is widely used as a reference for setting the interest rate on loans globally. We typically use LIBOR as a reference rate in term loans we extend to portfolio companies such that the interest due to us pursuant to a term loan extended to a partner company is calculated using LIBOR. The terms of our debt investments generally include minimum interest rate floors which are calculated based on LIBOR.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March 5, 2021, the United Kingdom’s Financial Conduct Authority (the “FCA”), which regulates LIBOR, announced that</w:t>
      </w:r>
    </w:p>
    <w:p>
      <w:pPr>
        <w:spacing w:after="0" w:line="35" w:lineRule="exact"/>
        <w:rPr>
          <w:sz w:val="20"/>
          <w:szCs w:val="20"/>
          <w:color w:val="auto"/>
        </w:rPr>
      </w:pPr>
    </w:p>
    <w:p>
      <w:pPr>
        <w:jc w:val="both"/>
        <w:ind w:firstLine="8"/>
        <w:spacing w:after="0" w:line="267" w:lineRule="auto"/>
        <w:tabs>
          <w:tab w:leader="none" w:pos="223" w:val="left"/>
        </w:tabs>
        <w:numPr>
          <w:ilvl w:val="0"/>
          <w:numId w:val="39"/>
        </w:numPr>
        <w:rPr>
          <w:rFonts w:ascii="Arial" w:cs="Arial" w:eastAsia="Arial" w:hAnsi="Arial"/>
          <w:sz w:val="17"/>
          <w:szCs w:val="17"/>
          <w:color w:val="auto"/>
        </w:rPr>
      </w:pPr>
      <w:r>
        <w:rPr>
          <w:rFonts w:ascii="Arial" w:cs="Arial" w:eastAsia="Arial" w:hAnsi="Arial"/>
          <w:sz w:val="17"/>
          <w:szCs w:val="17"/>
          <w:color w:val="auto"/>
        </w:rPr>
        <w:t>24 LIBOR settings would cease to exist immediately after December 31, 2021 (all seven euro LIBOR settings; all seven Swiss franc LIBOR settings; the Spot Next, 1-week, 2-month, and 12-month Japanese yen LIBOR settings; the overnight, 1-week, 2-month, and 12-month sterling LIBOR settings; and the 1-week and 2-month US dollar LIBOR settings); (ii) the overnight and 12-month US LIBOR settings would cease to exist after June 30, 2023; and (iii) the FCA would consult on whether the remaining nine LIBOR settings should continue to be published on a synthetic basis for a certain period using the FCA’s proposed new powers that the UK government is legislating to grant to them. Central banks and regulators in a number of major jurisdictions (for example, United States, United Kingdom, European Union, Switzerland and Japan) have convened working groups to find, and implement the transition to, suitable replacements for interbank offered rates. To identify a successor rate for U.S. dollar LIBOR, the Alternative Reference Rates Committee (“ARRC”), a U.S.-based group convened by the Federal Reserve Board and the Federal Reserve Bank of New York, was formed. The ARRC has identified the Secured Overnight Financing Rate (“SOFR”) as its preferred alternative rate for LIBOR. SOFR is a measure of the cost of borrowing cash overnight, collateralized by U.S. Treasury securities, and is based on directly observable U.S. Treasury-backed repurchase transactions. Although SOFR appears to be the preferred replacement rate for U.S. dollar LIBOR, at this time, it is not possible to predict the effect of any such changes, any establishment of alternative reference rates or other reforms to LIBOR that may be enacted in the United States, United Kingdom or elsewhere or, whether the COVID-19 pandemic will have further effect on LIBOR transition plans.</w:t>
      </w:r>
    </w:p>
    <w:p>
      <w:pPr>
        <w:spacing w:after="0" w:line="18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elimination of LIBOR or any other changes or reforms to the determination or supervision of LIBOR or alternative reference rates could have an adverse impact on the market for or value of any LIBOR-linked securities, loans, and other financial obligations or extensions of credit held by or due to us. In addition, if LIBOR ceases to exist, we may need to renegotiate the credit agreements extending beyond 2021 with our portfolio companies that utilize LIBOR as a factor in determining the interest rate, in order</w:t>
      </w:r>
    </w:p>
    <w:p>
      <w:pPr>
        <w:sectPr>
          <w:pgSz w:w="11900" w:h="16838" w:orient="portrait"/>
          <w:cols w:equalWidth="0" w:num="1">
            <w:col w:w="9920"/>
          </w:cols>
          <w:pgMar w:left="980" w:top="517"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to replace LIBOR with the new standard that is established, which may have an adverse effect on our overall financial condition or results of operations. As such, some or all of these credit agreements may bear a lower interest rate, which would adversely impact our financial condition or results of operations. Moreover, if LIBOR ceases to exist, we may need to renegotiate certain terms of the Financing Facilities. If we are unable to do so, amounts drawn under the Financing Facilities may bear interest at a higher rate, which would increase the cost of our borrowings and, in turn, affect our results of operations.</w:t>
      </w:r>
    </w:p>
    <w:p>
      <w:pPr>
        <w:spacing w:after="0" w:line="17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 reduction in the interest rates on new investments relative to interest rates on current investments could also have an adverse impact on our net interest income. However, an increase in interest rates could decrease the value of any investments we hold which earn fixed interest rates, including subordinated loans, senior and junior secured and unsecured debt securities and loans and high yield bonds, and also could increase our interest expense, thereby decreasing our net income.</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periods of rising interest rates, to the extent we borrow money subject to a floating interest rate, our cost of funds would increase, which could reduce our net investment income. Further, rising interest rates could also adversely affect our performance if such increases cause our borrowing costs to rise at a rate in excess of the rate that our investments yield. Further, rising interest rates could also adversely affect our performance if we hold investments with floating interest rates, subject to specified minimum interest rates (such as a LIBOR floor), while at the same time engaging in borrowings subject to floating interest rates not subject to such minimums. In such a scenario, rising interest rates may increase our interest expense, even though our interest income from investments is not increasing in a corresponding manner as a result of such minimum interest rates.</w:t>
      </w:r>
    </w:p>
    <w:p>
      <w:pPr>
        <w:spacing w:after="0" w:line="17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If general interest rates rise, there is a risk that the portfolio companies in which we hold floating rate securities will be unable to pay escalating interest amounts, which could result in a default under their loan documents with us. Rising interest rates could also cause portfolio companies to shift cash from other productive uses to the payment of interest, which may have a material adverse effect on their business and operations and could, over time, lead to increased defaults. In addition, rising interest rates may increase pressure on us to provide fixed rate loans to our portfolio companies, which could adversely affect our net investment income, as increases in our cost of borrowed funds would not be accompanied by increased interest income from such fixed-rate investments.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corporate social responsibility.</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business faces increasing public scrutiny related to environmental, social and governance (“ESG”) activities. We risk damage to our brand and reputation if we fail to act responsibly in a number of areas, such as environmental stewardship, corporate governance and transparency and considering ESG factors in our investment processes. Adverse incidents with respect to ESG activities could impact the value of our brand, the cost of our operations and relationships with investors, all of which could adversely affect our business and results of operations. Additionally, new regulatory initiatives related to ESG could adversely affect our business.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Other than pursuant to our dividend reinvestment plan, and except as previously reported by us on our current reports on Form 8-K, we did not sell any securities during the period covered by this Form 10-Q that were not registered under the Securities Act.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750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exhibits are filed as part of this report or hereby incorporated by reference to exhibits previously filed with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w:t>
      </w:r>
    </w:p>
    <w:p>
      <w:pPr>
        <w:spacing w:after="0" w:line="211" w:lineRule="exact"/>
        <w:rPr>
          <w:sz w:val="20"/>
          <w:szCs w:val="20"/>
          <w:color w:val="auto"/>
        </w:rPr>
      </w:pPr>
    </w:p>
    <w:p>
      <w:pPr>
        <w:spacing w:after="0"/>
        <w:tabs>
          <w:tab w:leader="none" w:pos="600"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r:id="rId107">
        <w:r>
          <w:rPr>
            <w:rFonts w:ascii="Arial" w:cs="Arial" w:eastAsia="Arial" w:hAnsi="Arial"/>
            <w:sz w:val="16"/>
            <w:szCs w:val="16"/>
            <w:u w:val="single" w:color="auto"/>
            <w:color w:val="0000EE"/>
          </w:rPr>
          <w:t xml:space="preserve">Articles of Amendment and Restatement </w:t>
        </w:r>
      </w:hyperlink>
      <w:r>
        <w:rPr>
          <w:rFonts w:ascii="Arial" w:cs="Arial" w:eastAsia="Arial" w:hAnsi="Arial"/>
          <w:sz w:val="23"/>
          <w:szCs w:val="23"/>
          <w:u w:val="single" w:color="auto"/>
          <w:color w:val="0000EE"/>
          <w:vertAlign w:val="superscript"/>
        </w:rPr>
        <w:t>(1)</w:t>
      </w:r>
    </w:p>
    <w:p>
      <w:pPr>
        <w:spacing w:after="0" w:line="168" w:lineRule="exact"/>
        <w:rPr>
          <w:sz w:val="20"/>
          <w:szCs w:val="20"/>
          <w:color w:val="auto"/>
        </w:rPr>
      </w:pPr>
    </w:p>
    <w:p>
      <w:pPr>
        <w:spacing w:after="0"/>
        <w:tabs>
          <w:tab w:leader="none" w:pos="60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r:id="rId108">
        <w:r>
          <w:rPr>
            <w:rFonts w:ascii="Arial" w:cs="Arial" w:eastAsia="Arial" w:hAnsi="Arial"/>
            <w:sz w:val="16"/>
            <w:szCs w:val="16"/>
            <w:u w:val="single" w:color="auto"/>
            <w:color w:val="0000EE"/>
          </w:rPr>
          <w:t xml:space="preserve">Articles of Amendment </w:t>
        </w:r>
      </w:hyperlink>
      <w:r>
        <w:rPr>
          <w:rFonts w:ascii="Arial" w:cs="Arial" w:eastAsia="Arial" w:hAnsi="Arial"/>
          <w:sz w:val="23"/>
          <w:szCs w:val="23"/>
          <w:u w:val="single" w:color="auto"/>
          <w:color w:val="0000EE"/>
          <w:vertAlign w:val="superscript"/>
        </w:rPr>
        <w:t>(2)</w:t>
      </w:r>
    </w:p>
    <w:p>
      <w:pPr>
        <w:spacing w:after="0" w:line="168" w:lineRule="exact"/>
        <w:rPr>
          <w:sz w:val="20"/>
          <w:szCs w:val="20"/>
          <w:color w:val="auto"/>
        </w:rPr>
      </w:pPr>
    </w:p>
    <w:p>
      <w:pPr>
        <w:spacing w:after="0"/>
        <w:tabs>
          <w:tab w:leader="none" w:pos="600" w:val="left"/>
        </w:tabs>
        <w:rPr>
          <w:rFonts w:ascii="Arial" w:cs="Arial" w:eastAsia="Arial" w:hAnsi="Arial"/>
          <w:sz w:val="16"/>
          <w:szCs w:val="16"/>
          <w:u w:val="single" w:color="auto"/>
          <w:color w:val="0000EE"/>
        </w:rPr>
      </w:pPr>
      <w:r>
        <w:rPr>
          <w:rFonts w:ascii="Arial" w:cs="Arial" w:eastAsia="Arial" w:hAnsi="Arial"/>
          <w:sz w:val="18"/>
          <w:szCs w:val="18"/>
          <w:color w:val="auto"/>
        </w:rPr>
        <w:t>3.3</w:t>
      </w:r>
      <w:r>
        <w:rPr>
          <w:sz w:val="20"/>
          <w:szCs w:val="20"/>
          <w:color w:val="auto"/>
        </w:rPr>
        <w:tab/>
      </w:r>
      <w:hyperlink r:id="rId109">
        <w:r>
          <w:rPr>
            <w:rFonts w:ascii="Arial" w:cs="Arial" w:eastAsia="Arial" w:hAnsi="Arial"/>
            <w:sz w:val="16"/>
            <w:szCs w:val="16"/>
            <w:u w:val="single" w:color="auto"/>
            <w:color w:val="0000EE"/>
          </w:rPr>
          <w:t xml:space="preserve">Amended and Restated Bylaws </w:t>
        </w:r>
      </w:hyperlink>
      <w:r>
        <w:rPr>
          <w:rFonts w:ascii="Arial" w:cs="Arial" w:eastAsia="Arial" w:hAnsi="Arial"/>
          <w:sz w:val="22"/>
          <w:szCs w:val="22"/>
          <w:u w:val="single" w:color="auto"/>
          <w:color w:val="0000EE"/>
          <w:vertAlign w:val="superscript"/>
        </w:rPr>
        <w:t>(2)</w:t>
      </w:r>
    </w:p>
    <w:p>
      <w:pPr>
        <w:spacing w:after="0" w:line="179" w:lineRule="exact"/>
        <w:rPr>
          <w:sz w:val="20"/>
          <w:szCs w:val="20"/>
          <w:color w:val="auto"/>
        </w:rPr>
      </w:pPr>
    </w:p>
    <w:p>
      <w:pPr>
        <w:spacing w:after="0"/>
        <w:tabs>
          <w:tab w:leader="none" w:pos="60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110">
        <w:r>
          <w:rPr>
            <w:rFonts w:ascii="Arial" w:cs="Arial" w:eastAsia="Arial" w:hAnsi="Arial"/>
            <w:sz w:val="16"/>
            <w:szCs w:val="16"/>
            <w:u w:val="single" w:color="auto"/>
            <w:color w:val="0000EE"/>
          </w:rPr>
          <w:t xml:space="preserve">Form of Subscription Agreement </w:t>
        </w:r>
      </w:hyperlink>
      <w:r>
        <w:rPr>
          <w:rFonts w:ascii="Arial" w:cs="Arial" w:eastAsia="Arial" w:hAnsi="Arial"/>
          <w:sz w:val="23"/>
          <w:szCs w:val="23"/>
          <w:u w:val="single" w:color="auto"/>
          <w:color w:val="0000EE"/>
          <w:vertAlign w:val="superscript"/>
        </w:rPr>
        <w:t>(3)</w:t>
      </w:r>
    </w:p>
    <w:p>
      <w:pPr>
        <w:spacing w:after="0" w:line="168" w:lineRule="exact"/>
        <w:rPr>
          <w:sz w:val="20"/>
          <w:szCs w:val="20"/>
          <w:color w:val="auto"/>
        </w:rPr>
      </w:pPr>
    </w:p>
    <w:p>
      <w:pPr>
        <w:ind w:left="620" w:hanging="607"/>
        <w:spacing w:after="0" w:line="293" w:lineRule="auto"/>
        <w:tabs>
          <w:tab w:leader="none" w:pos="60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111">
        <w:r>
          <w:rPr>
            <w:rFonts w:ascii="Arial" w:cs="Arial" w:eastAsia="Arial" w:hAnsi="Arial"/>
            <w:sz w:val="18"/>
            <w:szCs w:val="18"/>
            <w:u w:val="single" w:color="auto"/>
            <w:color w:val="0000EE"/>
          </w:rPr>
          <w:t>Second Amended and Restated Investment Advisory Agreement by and between Runway Growth Credit Fund Inc. and Runway</w:t>
        </w:r>
      </w:hyperlink>
      <w:r>
        <w:rPr>
          <w:rFonts w:ascii="Arial" w:cs="Arial" w:eastAsia="Arial" w:hAnsi="Arial"/>
          <w:sz w:val="18"/>
          <w:szCs w:val="18"/>
          <w:u w:val="single" w:color="auto"/>
          <w:color w:val="0000EE"/>
        </w:rPr>
        <w:t xml:space="preserve"> </w:t>
      </w:r>
      <w:hyperlink r:id="rId111">
        <w:r>
          <w:rPr>
            <w:rFonts w:ascii="Arial" w:cs="Arial" w:eastAsia="Arial" w:hAnsi="Arial"/>
            <w:sz w:val="18"/>
            <w:szCs w:val="18"/>
            <w:u w:val="single" w:color="auto"/>
            <w:color w:val="0000EE"/>
          </w:rPr>
          <w:t>Growth Capital LLC, effective as of May 27, 2021.</w:t>
        </w:r>
        <w:r>
          <w:rPr>
            <w:rFonts w:ascii="Arial" w:cs="Arial" w:eastAsia="Arial" w:hAnsi="Arial"/>
            <w:sz w:val="26"/>
            <w:szCs w:val="26"/>
            <w:u w:val="single" w:color="auto"/>
            <w:color w:val="0000EE"/>
            <w:vertAlign w:val="superscript"/>
          </w:rPr>
          <w:t>(4)</w:t>
        </w:r>
      </w:hyperlink>
    </w:p>
    <w:p>
      <w:pPr>
        <w:spacing w:after="0" w:line="30" w:lineRule="exact"/>
        <w:rPr>
          <w:sz w:val="20"/>
          <w:szCs w:val="20"/>
          <w:color w:val="auto"/>
        </w:rPr>
      </w:pPr>
    </w:p>
    <w:p>
      <w:pPr>
        <w:ind w:left="620" w:right="40" w:hanging="607"/>
        <w:spacing w:after="0" w:line="259" w:lineRule="auto"/>
        <w:tabs>
          <w:tab w:leader="none" w:pos="60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w:anchor="page70">
        <w:r>
          <w:rPr>
            <w:rFonts w:ascii="Arial" w:cs="Arial" w:eastAsia="Arial" w:hAnsi="Arial"/>
            <w:sz w:val="18"/>
            <w:szCs w:val="18"/>
            <w:u w:val="single" w:color="auto"/>
            <w:color w:val="0000EE"/>
          </w:rPr>
          <w:t>Fourth Amendment to Credit Agreement, dated as of August 3, 2021, among Runway Growth Credit Fund Inc., as borrower; the</w:t>
        </w:r>
      </w:hyperlink>
      <w:r>
        <w:rPr>
          <w:rFonts w:ascii="Arial" w:cs="Arial" w:eastAsia="Arial" w:hAnsi="Arial"/>
          <w:sz w:val="18"/>
          <w:szCs w:val="18"/>
          <w:u w:val="single" w:color="auto"/>
          <w:color w:val="0000EE"/>
        </w:rPr>
        <w:t xml:space="preserve"> </w:t>
      </w:r>
      <w:hyperlink w:anchor="page70">
        <w:r>
          <w:rPr>
            <w:rFonts w:ascii="Arial" w:cs="Arial" w:eastAsia="Arial" w:hAnsi="Arial"/>
            <w:sz w:val="18"/>
            <w:szCs w:val="18"/>
            <w:u w:val="single" w:color="auto"/>
            <w:color w:val="0000EE"/>
          </w:rPr>
          <w:t>financial institutions party thereto as lenders; KeyBank National Association, as administrative agent and lender; CIBC Bank</w:t>
        </w:r>
      </w:hyperlink>
      <w:r>
        <w:rPr>
          <w:rFonts w:ascii="Arial" w:cs="Arial" w:eastAsia="Arial" w:hAnsi="Arial"/>
          <w:sz w:val="18"/>
          <w:szCs w:val="18"/>
          <w:u w:val="single" w:color="auto"/>
          <w:color w:val="0000EE"/>
        </w:rPr>
        <w:t xml:space="preserve"> </w:t>
      </w:r>
      <w:hyperlink w:anchor="page70">
        <w:r>
          <w:rPr>
            <w:rFonts w:ascii="Arial" w:cs="Arial" w:eastAsia="Arial" w:hAnsi="Arial"/>
            <w:sz w:val="18"/>
            <w:szCs w:val="18"/>
            <w:u w:val="single" w:color="auto"/>
            <w:color w:val="0000EE"/>
          </w:rPr>
          <w:t>USA, as documentation agent and lender; MUFG Union Bank, N.A. as co-documentation agent and lender; and U.S. Bank</w:t>
        </w:r>
      </w:hyperlink>
      <w:r>
        <w:rPr>
          <w:rFonts w:ascii="Arial" w:cs="Arial" w:eastAsia="Arial" w:hAnsi="Arial"/>
          <w:sz w:val="18"/>
          <w:szCs w:val="18"/>
          <w:u w:val="single" w:color="auto"/>
          <w:color w:val="0000EE"/>
        </w:rPr>
        <w:t xml:space="preserve"> </w:t>
      </w:r>
      <w:hyperlink w:anchor="page70">
        <w:r>
          <w:rPr>
            <w:rFonts w:ascii="Arial" w:cs="Arial" w:eastAsia="Arial" w:hAnsi="Arial"/>
            <w:sz w:val="18"/>
            <w:szCs w:val="18"/>
            <w:u w:val="single" w:color="auto"/>
            <w:color w:val="0000EE"/>
          </w:rPr>
          <w:t>National Association, as paying agent*</w:t>
        </w:r>
      </w:hyperlink>
    </w:p>
    <w:p>
      <w:pPr>
        <w:spacing w:after="0" w:line="187" w:lineRule="exact"/>
        <w:rPr>
          <w:rFonts w:ascii="Arial" w:cs="Arial" w:eastAsia="Arial" w:hAnsi="Arial"/>
          <w:sz w:val="18"/>
          <w:szCs w:val="18"/>
          <w:u w:val="single" w:color="auto"/>
          <w:color w:val="0000EE"/>
        </w:rPr>
      </w:pPr>
    </w:p>
    <w:p>
      <w:pPr>
        <w:ind w:left="620" w:right="40" w:hanging="607"/>
        <w:spacing w:after="0" w:line="277" w:lineRule="auto"/>
        <w:tabs>
          <w:tab w:leader="none" w:pos="60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w:anchor="page82">
        <w:r>
          <w:rPr>
            <w:rFonts w:ascii="Arial" w:cs="Arial" w:eastAsia="Arial" w:hAnsi="Arial"/>
            <w:sz w:val="18"/>
            <w:szCs w:val="18"/>
            <w:u w:val="single" w:color="auto"/>
            <w:color w:val="0000EE"/>
          </w:rPr>
          <w:t>Amended and Restated Administration Agreement, dated as of June 28, 2021, by and between Runway Growth Credit Fund Inc.</w:t>
        </w:r>
      </w:hyperlink>
      <w:r>
        <w:rPr>
          <w:rFonts w:ascii="Arial" w:cs="Arial" w:eastAsia="Arial" w:hAnsi="Arial"/>
          <w:sz w:val="18"/>
          <w:szCs w:val="18"/>
          <w:u w:val="single" w:color="auto"/>
          <w:color w:val="0000EE"/>
        </w:rPr>
        <w:t xml:space="preserve"> </w:t>
      </w:r>
      <w:hyperlink w:anchor="page82">
        <w:r>
          <w:rPr>
            <w:rFonts w:ascii="Arial" w:cs="Arial" w:eastAsia="Arial" w:hAnsi="Arial"/>
            <w:sz w:val="18"/>
            <w:szCs w:val="18"/>
            <w:u w:val="single" w:color="auto"/>
            <w:color w:val="0000EE"/>
          </w:rPr>
          <w:t>and Runway Administrator Services LLC, as administrator*</w:t>
        </w:r>
      </w:hyperlink>
    </w:p>
    <w:p>
      <w:pPr>
        <w:spacing w:after="0" w:line="170" w:lineRule="exact"/>
        <w:rPr>
          <w:sz w:val="20"/>
          <w:szCs w:val="20"/>
          <w:color w:val="auto"/>
        </w:rPr>
      </w:pPr>
    </w:p>
    <w:p>
      <w:pPr>
        <w:spacing w:after="0"/>
        <w:tabs>
          <w:tab w:leader="none" w:pos="600" w:val="left"/>
        </w:tabs>
        <w:rPr>
          <w:rFonts w:ascii="Arial" w:cs="Arial" w:eastAsia="Arial" w:hAnsi="Arial"/>
          <w:sz w:val="16"/>
          <w:szCs w:val="16"/>
          <w:u w:val="single" w:color="auto"/>
          <w:color w:val="0000EE"/>
        </w:rPr>
      </w:pPr>
      <w:r>
        <w:rPr>
          <w:rFonts w:ascii="Arial" w:cs="Arial" w:eastAsia="Arial" w:hAnsi="Arial"/>
          <w:sz w:val="18"/>
          <w:szCs w:val="18"/>
          <w:color w:val="auto"/>
        </w:rPr>
        <w:t>14.1</w:t>
      </w:r>
      <w:r>
        <w:rPr>
          <w:sz w:val="20"/>
          <w:szCs w:val="20"/>
          <w:color w:val="auto"/>
        </w:rPr>
        <w:tab/>
      </w:r>
      <w:hyperlink w:anchor="page88">
        <w:r>
          <w:rPr>
            <w:rFonts w:ascii="Arial" w:cs="Arial" w:eastAsia="Arial" w:hAnsi="Arial"/>
            <w:sz w:val="16"/>
            <w:szCs w:val="16"/>
            <w:u w:val="single" w:color="auto"/>
            <w:color w:val="0000EE"/>
          </w:rPr>
          <w:t>Joint Code of Ethics*</w:t>
        </w:r>
      </w:hyperlink>
    </w:p>
    <w:p>
      <w:pPr>
        <w:spacing w:after="0" w:line="225" w:lineRule="exact"/>
        <w:rPr>
          <w:sz w:val="20"/>
          <w:szCs w:val="20"/>
          <w:color w:val="auto"/>
        </w:rPr>
      </w:pPr>
    </w:p>
    <w:p>
      <w:pPr>
        <w:spacing w:after="0"/>
        <w:tabs>
          <w:tab w:leader="none" w:pos="60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98">
        <w:r>
          <w:rPr>
            <w:rFonts w:ascii="Arial" w:cs="Arial" w:eastAsia="Arial" w:hAnsi="Arial"/>
            <w:sz w:val="16"/>
            <w:szCs w:val="16"/>
            <w:u w:val="single" w:color="auto"/>
            <w:color w:val="0000EE"/>
          </w:rPr>
          <w:t>Certification of Chief Executive Officer pursuant to Rule 13a-14 of the Securities Exchange Act of 1934, as amended*</w:t>
        </w:r>
      </w:hyperlink>
    </w:p>
    <w:p>
      <w:pPr>
        <w:spacing w:after="0" w:line="225" w:lineRule="exact"/>
        <w:rPr>
          <w:sz w:val="20"/>
          <w:szCs w:val="20"/>
          <w:color w:val="auto"/>
        </w:rPr>
      </w:pPr>
    </w:p>
    <w:p>
      <w:pPr>
        <w:spacing w:after="0"/>
        <w:tabs>
          <w:tab w:leader="none" w:pos="60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99">
        <w:r>
          <w:rPr>
            <w:rFonts w:ascii="Arial" w:cs="Arial" w:eastAsia="Arial" w:hAnsi="Arial"/>
            <w:sz w:val="16"/>
            <w:szCs w:val="16"/>
            <w:u w:val="single" w:color="auto"/>
            <w:color w:val="0000EE"/>
          </w:rPr>
          <w:t>Certification of Chief Financial Officer pursuant to Rule 13a-14 of the Securities Exchange Act of 1934, as amended*</w:t>
        </w:r>
      </w:hyperlink>
    </w:p>
    <w:p>
      <w:pPr>
        <w:spacing w:after="0" w:line="225" w:lineRule="exact"/>
        <w:rPr>
          <w:sz w:val="20"/>
          <w:szCs w:val="20"/>
          <w:color w:val="auto"/>
        </w:rPr>
      </w:pPr>
    </w:p>
    <w:p>
      <w:pPr>
        <w:spacing w:after="0"/>
        <w:tabs>
          <w:tab w:leader="none" w:pos="60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100">
        <w:r>
          <w:rPr>
            <w:rFonts w:ascii="Arial" w:cs="Arial" w:eastAsia="Arial" w:hAnsi="Arial"/>
            <w:sz w:val="16"/>
            <w:szCs w:val="16"/>
            <w:u w:val="single" w:color="auto"/>
            <w:color w:val="0000EE"/>
          </w:rPr>
          <w:t>Certification of Chief Executive Officer pursuant to Section 906 of the Sarbanes-Oxley Act of 2002*</w:t>
        </w:r>
      </w:hyperlink>
    </w:p>
    <w:p>
      <w:pPr>
        <w:spacing w:after="0" w:line="225" w:lineRule="exact"/>
        <w:rPr>
          <w:sz w:val="20"/>
          <w:szCs w:val="20"/>
          <w:color w:val="auto"/>
        </w:rPr>
      </w:pPr>
    </w:p>
    <w:p>
      <w:pPr>
        <w:spacing w:after="0"/>
        <w:tabs>
          <w:tab w:leader="none" w:pos="600" w:val="left"/>
        </w:tabs>
        <w:rPr>
          <w:rFonts w:ascii="Arial" w:cs="Arial" w:eastAsia="Arial" w:hAnsi="Arial"/>
          <w:sz w:val="16"/>
          <w:szCs w:val="16"/>
          <w:u w:val="single" w:color="auto"/>
          <w:color w:val="0000EE"/>
        </w:rPr>
      </w:pPr>
      <w:r>
        <w:rPr>
          <w:rFonts w:ascii="Arial" w:cs="Arial" w:eastAsia="Arial" w:hAnsi="Arial"/>
          <w:sz w:val="18"/>
          <w:szCs w:val="18"/>
          <w:color w:val="auto"/>
        </w:rPr>
        <w:t>32.2</w:t>
      </w:r>
      <w:r>
        <w:rPr>
          <w:sz w:val="20"/>
          <w:szCs w:val="20"/>
          <w:color w:val="auto"/>
        </w:rPr>
        <w:tab/>
      </w:r>
      <w:hyperlink w:anchor="page101">
        <w:r>
          <w:rPr>
            <w:rFonts w:ascii="Arial" w:cs="Arial" w:eastAsia="Arial" w:hAnsi="Arial"/>
            <w:sz w:val="16"/>
            <w:szCs w:val="16"/>
            <w:u w:val="single" w:color="auto"/>
            <w:color w:val="0000EE"/>
          </w:rPr>
          <w:t>Certification of Chief Financial Officer pursuant to Section 906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83185</wp:posOffset>
            </wp:positionV>
            <wp:extent cx="156845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05"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Current Report on Form 8-K filed with the SEC on December 19, 2016.</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Current Report on Form 8-K filed with the SEC on June 14, 2017.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Quarterly Report on Form 10-Q filed with the SEC on August 10, 2017.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Current Report on Form 8-K filed with the SEC on May 28,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vMerge w:val="restart"/>
          </w:tcPr>
          <w:p>
            <w:pPr>
              <w:spacing w:after="0"/>
              <w:rPr>
                <w:sz w:val="20"/>
                <w:szCs w:val="20"/>
                <w:color w:val="auto"/>
              </w:rPr>
            </w:pPr>
            <w:r>
              <w:rPr>
                <w:rFonts w:ascii="Arial" w:cs="Arial" w:eastAsia="Arial" w:hAnsi="Arial"/>
                <w:sz w:val="18"/>
                <w:szCs w:val="18"/>
                <w:color w:val="auto"/>
              </w:rPr>
              <w:t>Date: August 5, 2021</w:t>
            </w:r>
          </w:p>
        </w:tc>
        <w:tc>
          <w:tcPr>
            <w:tcW w:w="6700" w:type="dxa"/>
            <w:vAlign w:val="bottom"/>
            <w:gridSpan w:val="2"/>
          </w:tcPr>
          <w:p>
            <w:pPr>
              <w:ind w:left="1860"/>
              <w:spacing w:after="0"/>
              <w:rPr>
                <w:sz w:val="20"/>
                <w:szCs w:val="20"/>
                <w:color w:val="auto"/>
              </w:rPr>
            </w:pPr>
            <w:r>
              <w:rPr>
                <w:rFonts w:ascii="Arial" w:cs="Arial" w:eastAsia="Arial" w:hAnsi="Arial"/>
                <w:sz w:val="18"/>
                <w:szCs w:val="18"/>
                <w:b w:val="1"/>
                <w:bCs w:val="1"/>
                <w:color w:val="auto"/>
              </w:rPr>
              <w:t>RUNWAY GROWTH CREDIT FUND INC.</w:t>
            </w:r>
          </w:p>
        </w:tc>
        <w:tc>
          <w:tcPr>
            <w:tcW w:w="0" w:type="dxa"/>
            <w:vAlign w:val="bottom"/>
          </w:tcPr>
          <w:p>
            <w:pPr>
              <w:spacing w:after="0"/>
              <w:rPr>
                <w:sz w:val="1"/>
                <w:szCs w:val="1"/>
                <w:color w:val="auto"/>
              </w:rPr>
            </w:pPr>
          </w:p>
        </w:tc>
      </w:tr>
      <w:tr>
        <w:trPr>
          <w:trHeight w:val="216"/>
        </w:trPr>
        <w:tc>
          <w:tcPr>
            <w:tcW w:w="3220" w:type="dxa"/>
            <w:vAlign w:val="bottom"/>
            <w:vMerge w:val="continue"/>
          </w:tcPr>
          <w:p>
            <w:pPr>
              <w:spacing w:after="0"/>
              <w:rPr>
                <w:sz w:val="18"/>
                <w:szCs w:val="18"/>
                <w:color w:val="auto"/>
              </w:rPr>
            </w:pPr>
          </w:p>
        </w:tc>
        <w:tc>
          <w:tcPr>
            <w:tcW w:w="6700" w:type="dxa"/>
            <w:vAlign w:val="bottom"/>
            <w:gridSpan w:val="2"/>
            <w:vMerge w:val="restart"/>
          </w:tcPr>
          <w:p>
            <w:pPr>
              <w:ind w:left="1860"/>
              <w:spacing w:after="0"/>
              <w:rPr>
                <w:sz w:val="20"/>
                <w:szCs w:val="20"/>
                <w:color w:val="auto"/>
              </w:rPr>
            </w:pPr>
            <w:r>
              <w:rPr>
                <w:rFonts w:ascii="Arial" w:cs="Arial" w:eastAsia="Arial" w:hAnsi="Arial"/>
                <w:sz w:val="18"/>
                <w:szCs w:val="18"/>
                <w:color w:val="auto"/>
              </w:rPr>
              <w:t>By: /s/ R. David Spreng</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67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 David Spreng</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2"/>
              </w:rPr>
              <w:t>President, Chief Executive Officer and Chairman of the Board</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of Directors</w:t>
            </w:r>
          </w:p>
        </w:tc>
        <w:tc>
          <w:tcPr>
            <w:tcW w:w="0" w:type="dxa"/>
            <w:vAlign w:val="bottom"/>
          </w:tcPr>
          <w:p>
            <w:pPr>
              <w:spacing w:after="0"/>
              <w:rPr>
                <w:sz w:val="1"/>
                <w:szCs w:val="1"/>
                <w:color w:val="auto"/>
              </w:rPr>
            </w:pPr>
          </w:p>
        </w:tc>
      </w:tr>
      <w:tr>
        <w:trPr>
          <w:trHeight w:val="432"/>
        </w:trPr>
        <w:tc>
          <w:tcPr>
            <w:tcW w:w="3220" w:type="dxa"/>
            <w:vAlign w:val="bottom"/>
          </w:tcPr>
          <w:p>
            <w:pPr>
              <w:spacing w:after="0"/>
              <w:rPr>
                <w:sz w:val="20"/>
                <w:szCs w:val="20"/>
                <w:color w:val="auto"/>
              </w:rPr>
            </w:pPr>
            <w:r>
              <w:rPr>
                <w:rFonts w:ascii="Arial" w:cs="Arial" w:eastAsia="Arial" w:hAnsi="Arial"/>
                <w:sz w:val="18"/>
                <w:szCs w:val="18"/>
                <w:color w:val="auto"/>
              </w:rPr>
              <w:t>Date: August 5, 2021</w:t>
            </w:r>
          </w:p>
        </w:tc>
        <w:tc>
          <w:tcPr>
            <w:tcW w:w="6700" w:type="dxa"/>
            <w:vAlign w:val="bottom"/>
            <w:gridSpan w:val="2"/>
          </w:tcPr>
          <w:p>
            <w:pPr>
              <w:ind w:left="1860"/>
              <w:spacing w:after="0"/>
              <w:rPr>
                <w:sz w:val="20"/>
                <w:szCs w:val="20"/>
                <w:color w:val="auto"/>
              </w:rPr>
            </w:pPr>
            <w:r>
              <w:rPr>
                <w:rFonts w:ascii="Arial" w:cs="Arial" w:eastAsia="Arial" w:hAnsi="Arial"/>
                <w:sz w:val="18"/>
                <w:szCs w:val="18"/>
                <w:color w:val="auto"/>
              </w:rPr>
              <w:t>By: /s/ Thomas B. Raterman</w:t>
            </w:r>
          </w:p>
        </w:tc>
        <w:tc>
          <w:tcPr>
            <w:tcW w:w="0" w:type="dxa"/>
            <w:vAlign w:val="bottom"/>
          </w:tcPr>
          <w:p>
            <w:pPr>
              <w:spacing w:after="0"/>
              <w:rPr>
                <w:sz w:val="1"/>
                <w:szCs w:val="1"/>
                <w:color w:val="auto"/>
              </w:rPr>
            </w:pPr>
          </w:p>
        </w:tc>
      </w:tr>
      <w:tr>
        <w:trPr>
          <w:trHeight w:val="195"/>
        </w:trPr>
        <w:tc>
          <w:tcPr>
            <w:tcW w:w="32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B. Raterman</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 Treasurer and Secretary</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864"/>
        </w:trPr>
        <w:tc>
          <w:tcPr>
            <w:tcW w:w="3220" w:type="dxa"/>
            <w:vAlign w:val="bottom"/>
          </w:tcPr>
          <w:p>
            <w:pPr>
              <w:spacing w:after="0"/>
              <w:rPr>
                <w:sz w:val="24"/>
                <w:szCs w:val="24"/>
                <w:color w:val="auto"/>
              </w:rPr>
            </w:pPr>
          </w:p>
        </w:tc>
        <w:tc>
          <w:tcPr>
            <w:tcW w:w="2140" w:type="dxa"/>
            <w:vAlign w:val="bottom"/>
          </w:tcPr>
          <w:p>
            <w:pPr>
              <w:jc w:val="right"/>
              <w:ind w:right="210"/>
              <w:spacing w:after="0"/>
              <w:rPr>
                <w:sz w:val="20"/>
                <w:szCs w:val="20"/>
                <w:color w:val="auto"/>
              </w:rPr>
            </w:pPr>
            <w:r>
              <w:rPr>
                <w:rFonts w:ascii="Arial" w:cs="Arial" w:eastAsia="Arial" w:hAnsi="Arial"/>
                <w:sz w:val="18"/>
                <w:szCs w:val="18"/>
                <w:color w:val="auto"/>
              </w:rPr>
              <w:t>67</w:t>
            </w: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2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4"/>
          <w:szCs w:val="14"/>
          <w:b w:val="1"/>
          <w:bCs w:val="1"/>
          <w:color w:val="auto"/>
        </w:rPr>
        <w:t>OURTH</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MENDMENT TO</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p>
    <w:p>
      <w:pPr>
        <w:spacing w:after="0" w:line="253" w:lineRule="exact"/>
        <w:rPr>
          <w:sz w:val="20"/>
          <w:szCs w:val="20"/>
          <w:color w:val="auto"/>
        </w:rPr>
      </w:pPr>
    </w:p>
    <w:p>
      <w:pPr>
        <w:jc w:val="both"/>
        <w:ind w:left="200" w:right="219" w:firstLine="648"/>
        <w:spacing w:after="0" w:line="258" w:lineRule="auto"/>
        <w:rPr>
          <w:sz w:val="20"/>
          <w:szCs w:val="20"/>
          <w:color w:val="auto"/>
        </w:rPr>
      </w:pPr>
      <w:r>
        <w:rPr>
          <w:rFonts w:ascii="Arial" w:cs="Arial" w:eastAsia="Arial" w:hAnsi="Arial"/>
          <w:sz w:val="20"/>
          <w:szCs w:val="20"/>
          <w:color w:val="auto"/>
        </w:rPr>
        <w:t>T</w:t>
      </w:r>
      <w:r>
        <w:rPr>
          <w:rFonts w:ascii="Arial" w:cs="Arial" w:eastAsia="Arial" w:hAnsi="Arial"/>
          <w:sz w:val="13"/>
          <w:szCs w:val="13"/>
          <w:color w:val="auto"/>
        </w:rPr>
        <w:t>HIS</w:t>
      </w:r>
      <w:r>
        <w:rPr>
          <w:rFonts w:ascii="Arial" w:cs="Arial" w:eastAsia="Arial" w:hAnsi="Arial"/>
          <w:sz w:val="20"/>
          <w:szCs w:val="20"/>
          <w:color w:val="auto"/>
        </w:rPr>
        <w:t xml:space="preserve"> F</w:t>
      </w:r>
      <w:r>
        <w:rPr>
          <w:rFonts w:ascii="Arial" w:cs="Arial" w:eastAsia="Arial" w:hAnsi="Arial"/>
          <w:sz w:val="13"/>
          <w:szCs w:val="13"/>
          <w:color w:val="auto"/>
        </w:rPr>
        <w:t>OURTH</w:t>
      </w:r>
      <w:r>
        <w:rPr>
          <w:rFonts w:ascii="Arial" w:cs="Arial" w:eastAsia="Arial" w:hAnsi="Arial"/>
          <w:sz w:val="20"/>
          <w:szCs w:val="20"/>
          <w:color w:val="auto"/>
        </w:rPr>
        <w:t xml:space="preserve"> A</w:t>
      </w:r>
      <w:r>
        <w:rPr>
          <w:rFonts w:ascii="Arial" w:cs="Arial" w:eastAsia="Arial" w:hAnsi="Arial"/>
          <w:sz w:val="13"/>
          <w:szCs w:val="13"/>
          <w:color w:val="auto"/>
        </w:rPr>
        <w:t>MENDMENT TO</w:t>
      </w:r>
      <w:r>
        <w:rPr>
          <w:rFonts w:ascii="Arial" w:cs="Arial" w:eastAsia="Arial" w:hAnsi="Arial"/>
          <w:sz w:val="20"/>
          <w:szCs w:val="20"/>
          <w:color w:val="auto"/>
        </w:rPr>
        <w:t xml:space="preserve"> C</w:t>
      </w:r>
      <w:r>
        <w:rPr>
          <w:rFonts w:ascii="Arial" w:cs="Arial" w:eastAsia="Arial" w:hAnsi="Arial"/>
          <w:sz w:val="13"/>
          <w:szCs w:val="13"/>
          <w:color w:val="auto"/>
        </w:rPr>
        <w:t>REDIT</w:t>
      </w:r>
      <w:r>
        <w:rPr>
          <w:rFonts w:ascii="Arial" w:cs="Arial" w:eastAsia="Arial" w:hAnsi="Arial"/>
          <w:sz w:val="20"/>
          <w:szCs w:val="20"/>
          <w:color w:val="auto"/>
        </w:rPr>
        <w:t xml:space="preserve"> A</w:t>
      </w:r>
      <w:r>
        <w:rPr>
          <w:rFonts w:ascii="Arial" w:cs="Arial" w:eastAsia="Arial" w:hAnsi="Arial"/>
          <w:sz w:val="13"/>
          <w:szCs w:val="13"/>
          <w:color w:val="auto"/>
        </w:rPr>
        <w:t>GREEMENT</w:t>
      </w:r>
      <w:r>
        <w:rPr>
          <w:rFonts w:ascii="Arial" w:cs="Arial" w:eastAsia="Arial" w:hAnsi="Arial"/>
          <w:sz w:val="20"/>
          <w:szCs w:val="20"/>
          <w:color w:val="auto"/>
        </w:rPr>
        <w:t xml:space="preserve">, dated as of August 3, 2021 (the </w:t>
      </w:r>
      <w:r>
        <w:rPr>
          <w:rFonts w:ascii="Arial" w:cs="Arial" w:eastAsia="Arial" w:hAnsi="Arial"/>
          <w:sz w:val="20"/>
          <w:szCs w:val="20"/>
          <w:i w:val="1"/>
          <w:iCs w:val="1"/>
          <w:color w:val="auto"/>
        </w:rPr>
        <w:t>“Amendment”</w:t>
      </w:r>
      <w:r>
        <w:rPr>
          <w:rFonts w:ascii="Arial" w:cs="Arial" w:eastAsia="Arial" w:hAnsi="Arial"/>
          <w:sz w:val="20"/>
          <w:szCs w:val="20"/>
          <w:color w:val="auto"/>
        </w:rPr>
        <w:t>), is made pursuant to that certain Credit Agreement dated as of May 31, 2019 (as</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amended, restated, modified or supplemented from time to time, the </w:t>
      </w:r>
      <w:r>
        <w:rPr>
          <w:rFonts w:ascii="Arial" w:cs="Arial" w:eastAsia="Arial" w:hAnsi="Arial"/>
          <w:sz w:val="20"/>
          <w:szCs w:val="20"/>
          <w:i w:val="1"/>
          <w:iCs w:val="1"/>
          <w:color w:val="auto"/>
        </w:rPr>
        <w:t>“Credit Agreement”</w:t>
      </w:r>
      <w:r>
        <w:rPr>
          <w:rFonts w:ascii="Arial" w:cs="Arial" w:eastAsia="Arial" w:hAnsi="Arial"/>
          <w:sz w:val="20"/>
          <w:szCs w:val="20"/>
          <w:color w:val="auto"/>
        </w:rPr>
        <w:t>), among R</w:t>
      </w:r>
      <w:r>
        <w:rPr>
          <w:rFonts w:ascii="Arial" w:cs="Arial" w:eastAsia="Arial" w:hAnsi="Arial"/>
          <w:sz w:val="13"/>
          <w:szCs w:val="13"/>
          <w:color w:val="auto"/>
        </w:rPr>
        <w:t>UNWAY</w:t>
      </w:r>
      <w:r>
        <w:rPr>
          <w:rFonts w:ascii="Arial" w:cs="Arial" w:eastAsia="Arial" w:hAnsi="Arial"/>
          <w:sz w:val="20"/>
          <w:szCs w:val="20"/>
          <w:color w:val="auto"/>
        </w:rPr>
        <w:t xml:space="preserve"> G</w:t>
      </w:r>
      <w:r>
        <w:rPr>
          <w:rFonts w:ascii="Arial" w:cs="Arial" w:eastAsia="Arial" w:hAnsi="Arial"/>
          <w:sz w:val="13"/>
          <w:szCs w:val="13"/>
          <w:color w:val="auto"/>
        </w:rPr>
        <w:t>ROWTH</w:t>
      </w:r>
      <w:r>
        <w:rPr>
          <w:rFonts w:ascii="Arial" w:cs="Arial" w:eastAsia="Arial" w:hAnsi="Arial"/>
          <w:sz w:val="20"/>
          <w:szCs w:val="20"/>
          <w:color w:val="auto"/>
        </w:rPr>
        <w:t xml:space="preserve"> C</w:t>
      </w:r>
      <w:r>
        <w:rPr>
          <w:rFonts w:ascii="Arial" w:cs="Arial" w:eastAsia="Arial" w:hAnsi="Arial"/>
          <w:sz w:val="13"/>
          <w:szCs w:val="13"/>
          <w:color w:val="auto"/>
        </w:rPr>
        <w:t>REDIT</w:t>
      </w:r>
      <w:r>
        <w:rPr>
          <w:rFonts w:ascii="Arial" w:cs="Arial" w:eastAsia="Arial" w:hAnsi="Arial"/>
          <w:sz w:val="20"/>
          <w:szCs w:val="20"/>
          <w:color w:val="auto"/>
        </w:rPr>
        <w:t xml:space="preserve"> F</w:t>
      </w:r>
      <w:r>
        <w:rPr>
          <w:rFonts w:ascii="Arial" w:cs="Arial" w:eastAsia="Arial" w:hAnsi="Arial"/>
          <w:sz w:val="13"/>
          <w:szCs w:val="13"/>
          <w:color w:val="auto"/>
        </w:rPr>
        <w:t>UND</w:t>
      </w:r>
      <w:r>
        <w:rPr>
          <w:rFonts w:ascii="Arial" w:cs="Arial" w:eastAsia="Arial" w:hAnsi="Arial"/>
          <w:sz w:val="20"/>
          <w:szCs w:val="20"/>
          <w:color w:val="auto"/>
        </w:rPr>
        <w:t xml:space="preserve"> I</w:t>
      </w:r>
      <w:r>
        <w:rPr>
          <w:rFonts w:ascii="Arial" w:cs="Arial" w:eastAsia="Arial" w:hAnsi="Arial"/>
          <w:sz w:val="13"/>
          <w:szCs w:val="13"/>
          <w:color w:val="auto"/>
        </w:rPr>
        <w:t>NC</w:t>
      </w:r>
      <w:r>
        <w:rPr>
          <w:rFonts w:ascii="Arial" w:cs="Arial" w:eastAsia="Arial" w:hAnsi="Arial"/>
          <w:sz w:val="20"/>
          <w:szCs w:val="20"/>
          <w:color w:val="auto"/>
        </w:rPr>
        <w:t xml:space="preserve">., a Maryland corporation, as borrower (the </w:t>
      </w:r>
      <w:r>
        <w:rPr>
          <w:rFonts w:ascii="Arial" w:cs="Arial" w:eastAsia="Arial" w:hAnsi="Arial"/>
          <w:sz w:val="20"/>
          <w:szCs w:val="20"/>
          <w:i w:val="1"/>
          <w:iCs w:val="1"/>
          <w:color w:val="auto"/>
        </w:rPr>
        <w:t>“Borrower”</w:t>
      </w:r>
      <w:r>
        <w:rPr>
          <w:rFonts w:ascii="Arial" w:cs="Arial" w:eastAsia="Arial" w:hAnsi="Arial"/>
          <w:sz w:val="20"/>
          <w:szCs w:val="20"/>
          <w:color w:val="auto"/>
        </w:rPr>
        <w:t xml:space="preserve">); each Guarantor party thereto; the financial institutions currently party thereto as lenders (the </w:t>
      </w:r>
      <w:r>
        <w:rPr>
          <w:rFonts w:ascii="Arial" w:cs="Arial" w:eastAsia="Arial" w:hAnsi="Arial"/>
          <w:sz w:val="20"/>
          <w:szCs w:val="20"/>
          <w:i w:val="1"/>
          <w:iCs w:val="1"/>
          <w:color w:val="auto"/>
        </w:rPr>
        <w:t>“Lenders”</w:t>
      </w:r>
      <w:r>
        <w:rPr>
          <w:rFonts w:ascii="Arial" w:cs="Arial" w:eastAsia="Arial" w:hAnsi="Arial"/>
          <w:sz w:val="20"/>
          <w:szCs w:val="20"/>
          <w:color w:val="auto"/>
        </w:rPr>
        <w:t>); K</w:t>
      </w:r>
      <w:r>
        <w:rPr>
          <w:rFonts w:ascii="Arial" w:cs="Arial" w:eastAsia="Arial" w:hAnsi="Arial"/>
          <w:sz w:val="13"/>
          <w:szCs w:val="13"/>
          <w:color w:val="auto"/>
        </w:rPr>
        <w:t>EY</w:t>
      </w:r>
      <w:r>
        <w:rPr>
          <w:rFonts w:ascii="Arial" w:cs="Arial" w:eastAsia="Arial" w:hAnsi="Arial"/>
          <w:sz w:val="20"/>
          <w:szCs w:val="20"/>
          <w:color w:val="auto"/>
        </w:rPr>
        <w:t>B</w:t>
      </w:r>
      <w:r>
        <w:rPr>
          <w:rFonts w:ascii="Arial" w:cs="Arial" w:eastAsia="Arial" w:hAnsi="Arial"/>
          <w:sz w:val="13"/>
          <w:szCs w:val="13"/>
          <w:color w:val="auto"/>
        </w:rPr>
        <w:t>ANK</w:t>
      </w:r>
      <w:r>
        <w:rPr>
          <w:rFonts w:ascii="Arial" w:cs="Arial" w:eastAsia="Arial" w:hAnsi="Arial"/>
          <w:sz w:val="20"/>
          <w:szCs w:val="20"/>
          <w:i w:val="1"/>
          <w:iCs w:val="1"/>
          <w:color w:val="auto"/>
        </w:rPr>
        <w:t xml:space="preserve"> </w:t>
      </w:r>
      <w:r>
        <w:rPr>
          <w:rFonts w:ascii="Arial" w:cs="Arial" w:eastAsia="Arial" w:hAnsi="Arial"/>
          <w:sz w:val="20"/>
          <w:szCs w:val="20"/>
          <w:color w:val="auto"/>
        </w:rPr>
        <w:t>N</w:t>
      </w:r>
      <w:r>
        <w:rPr>
          <w:rFonts w:ascii="Arial" w:cs="Arial" w:eastAsia="Arial" w:hAnsi="Arial"/>
          <w:sz w:val="13"/>
          <w:szCs w:val="13"/>
          <w:color w:val="auto"/>
        </w:rPr>
        <w:t>ATIONAL</w:t>
      </w:r>
      <w:r>
        <w:rPr>
          <w:rFonts w:ascii="Arial" w:cs="Arial" w:eastAsia="Arial" w:hAnsi="Arial"/>
          <w:sz w:val="20"/>
          <w:szCs w:val="20"/>
          <w:i w:val="1"/>
          <w:iCs w:val="1"/>
          <w:color w:val="auto"/>
        </w:rPr>
        <w:t xml:space="preserve"> </w:t>
      </w:r>
      <w:r>
        <w:rPr>
          <w:rFonts w:ascii="Arial" w:cs="Arial" w:eastAsia="Arial" w:hAnsi="Arial"/>
          <w:sz w:val="20"/>
          <w:szCs w:val="20"/>
          <w:color w:val="auto"/>
        </w:rPr>
        <w:t>A</w:t>
      </w:r>
      <w:r>
        <w:rPr>
          <w:rFonts w:ascii="Arial" w:cs="Arial" w:eastAsia="Arial" w:hAnsi="Arial"/>
          <w:sz w:val="13"/>
          <w:szCs w:val="13"/>
          <w:color w:val="auto"/>
        </w:rPr>
        <w:t>SSOCIATION</w:t>
      </w:r>
      <w:r>
        <w:rPr>
          <w:rFonts w:ascii="Arial" w:cs="Arial" w:eastAsia="Arial" w:hAnsi="Arial"/>
          <w:sz w:val="20"/>
          <w:szCs w:val="20"/>
          <w:color w:val="auto"/>
        </w:rPr>
        <w:t>, as administrative agent for the Lenders (in such</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capacity, together with its successors and assigns, the </w:t>
      </w:r>
      <w:r>
        <w:rPr>
          <w:rFonts w:ascii="Arial" w:cs="Arial" w:eastAsia="Arial" w:hAnsi="Arial"/>
          <w:sz w:val="20"/>
          <w:szCs w:val="20"/>
          <w:i w:val="1"/>
          <w:iCs w:val="1"/>
          <w:color w:val="auto"/>
        </w:rPr>
        <w:t>“Administrative Agent”</w:t>
      </w:r>
      <w:r>
        <w:rPr>
          <w:rFonts w:ascii="Arial" w:cs="Arial" w:eastAsia="Arial" w:hAnsi="Arial"/>
          <w:sz w:val="20"/>
          <w:szCs w:val="20"/>
          <w:color w:val="auto"/>
        </w:rPr>
        <w:t xml:space="preserve">); CIBC Bank USA, as documentation agent (together with its successors and assigns, the </w:t>
      </w:r>
      <w:r>
        <w:rPr>
          <w:rFonts w:ascii="Arial" w:cs="Arial" w:eastAsia="Arial" w:hAnsi="Arial"/>
          <w:sz w:val="20"/>
          <w:szCs w:val="20"/>
          <w:i w:val="1"/>
          <w:iCs w:val="1"/>
          <w:color w:val="auto"/>
        </w:rPr>
        <w:t>“Documentation Agent”</w:t>
      </w:r>
      <w:r>
        <w:rPr>
          <w:rFonts w:ascii="Arial" w:cs="Arial" w:eastAsia="Arial" w:hAnsi="Arial"/>
          <w:sz w:val="20"/>
          <w:szCs w:val="20"/>
          <w:color w:val="auto"/>
        </w:rPr>
        <w:t xml:space="preserve">); MUFG Union Bank, N.A., as co-documentation agent (together with its successors and assigns, the </w:t>
      </w:r>
      <w:r>
        <w:rPr>
          <w:rFonts w:ascii="Arial" w:cs="Arial" w:eastAsia="Arial" w:hAnsi="Arial"/>
          <w:sz w:val="20"/>
          <w:szCs w:val="20"/>
          <w:i w:val="1"/>
          <w:iCs w:val="1"/>
          <w:color w:val="auto"/>
        </w:rPr>
        <w:t>“Co-Documentation Agent”</w:t>
      </w:r>
      <w:r>
        <w:rPr>
          <w:rFonts w:ascii="Arial" w:cs="Arial" w:eastAsia="Arial" w:hAnsi="Arial"/>
          <w:sz w:val="20"/>
          <w:szCs w:val="20"/>
          <w:color w:val="auto"/>
        </w:rPr>
        <w:t>); and U.S. Bank National Association, not in its individual capacity</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but as the paying agent (together with its successors and assigns, the </w:t>
      </w:r>
      <w:r>
        <w:rPr>
          <w:rFonts w:ascii="Arial" w:cs="Arial" w:eastAsia="Arial" w:hAnsi="Arial"/>
          <w:sz w:val="20"/>
          <w:szCs w:val="20"/>
          <w:i w:val="1"/>
          <w:iCs w:val="1"/>
          <w:color w:val="auto"/>
        </w:rPr>
        <w:t>“Paying Agent”</w:t>
      </w:r>
      <w:r>
        <w:rPr>
          <w:rFonts w:ascii="Arial" w:cs="Arial" w:eastAsia="Arial" w:hAnsi="Arial"/>
          <w:sz w:val="20"/>
          <w:szCs w:val="20"/>
          <w:color w:val="auto"/>
        </w:rPr>
        <w:t>).</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W </w:t>
      </w:r>
      <w:r>
        <w:rPr>
          <w:rFonts w:ascii="Arial" w:cs="Arial" w:eastAsia="Arial" w:hAnsi="Arial"/>
          <w:sz w:val="14"/>
          <w:szCs w:val="14"/>
          <w:b w:val="1"/>
          <w:bCs w:val="1"/>
          <w:color w:val="auto"/>
        </w:rPr>
        <w:t>I T N E S S E T H</w:t>
      </w:r>
      <w:r>
        <w:rPr>
          <w:rFonts w:ascii="Arial" w:cs="Arial" w:eastAsia="Arial" w:hAnsi="Arial"/>
          <w:sz w:val="22"/>
          <w:szCs w:val="22"/>
          <w:b w:val="1"/>
          <w:bCs w:val="1"/>
          <w:color w:val="auto"/>
        </w:rPr>
        <w:t xml:space="preserve"> :</w:t>
      </w:r>
    </w:p>
    <w:p>
      <w:pPr>
        <w:spacing w:after="0" w:line="239" w:lineRule="exact"/>
        <w:rPr>
          <w:sz w:val="20"/>
          <w:szCs w:val="20"/>
          <w:color w:val="auto"/>
        </w:rPr>
      </w:pPr>
    </w:p>
    <w:p>
      <w:pPr>
        <w:jc w:val="both"/>
        <w:ind w:left="200" w:right="239" w:firstLine="648"/>
        <w:spacing w:after="0"/>
        <w:rPr>
          <w:sz w:val="20"/>
          <w:szCs w:val="20"/>
          <w:color w:val="auto"/>
        </w:rPr>
      </w:pPr>
      <w:r>
        <w:rPr>
          <w:rFonts w:ascii="Arial" w:cs="Arial" w:eastAsia="Arial" w:hAnsi="Arial"/>
          <w:sz w:val="22"/>
          <w:szCs w:val="22"/>
          <w:color w:val="auto"/>
        </w:rPr>
        <w:t>W</w:t>
      </w:r>
      <w:r>
        <w:rPr>
          <w:rFonts w:ascii="Arial" w:cs="Arial" w:eastAsia="Arial" w:hAnsi="Arial"/>
          <w:sz w:val="14"/>
          <w:szCs w:val="14"/>
          <w:color w:val="auto"/>
        </w:rPr>
        <w:t>HEREAS</w:t>
      </w:r>
      <w:r>
        <w:rPr>
          <w:rFonts w:ascii="Arial" w:cs="Arial" w:eastAsia="Arial" w:hAnsi="Arial"/>
          <w:sz w:val="22"/>
          <w:szCs w:val="22"/>
          <w:color w:val="auto"/>
        </w:rPr>
        <w:t>, the Borrower, the Lenders, the Guarantors, the Documentation Agent, the Co-Documentation Agent, the Paying Agent and the Administrative Agent have previously entered into and are currently party to the Credit Agreement; and</w:t>
      </w:r>
    </w:p>
    <w:p>
      <w:pPr>
        <w:spacing w:after="0" w:line="227" w:lineRule="exact"/>
        <w:rPr>
          <w:sz w:val="20"/>
          <w:szCs w:val="20"/>
          <w:color w:val="auto"/>
        </w:rPr>
      </w:pPr>
    </w:p>
    <w:p>
      <w:pPr>
        <w:jc w:val="both"/>
        <w:ind w:left="200" w:right="239" w:firstLine="648"/>
        <w:spacing w:after="0"/>
        <w:rPr>
          <w:sz w:val="20"/>
          <w:szCs w:val="20"/>
          <w:color w:val="auto"/>
        </w:rPr>
      </w:pPr>
      <w:r>
        <w:rPr>
          <w:rFonts w:ascii="Arial" w:cs="Arial" w:eastAsia="Arial" w:hAnsi="Arial"/>
          <w:sz w:val="22"/>
          <w:szCs w:val="22"/>
          <w:color w:val="auto"/>
        </w:rPr>
        <w:t>W</w:t>
      </w:r>
      <w:r>
        <w:rPr>
          <w:rFonts w:ascii="Arial" w:cs="Arial" w:eastAsia="Arial" w:hAnsi="Arial"/>
          <w:sz w:val="14"/>
          <w:szCs w:val="14"/>
          <w:color w:val="auto"/>
        </w:rPr>
        <w:t>HEREAS</w:t>
      </w:r>
      <w:r>
        <w:rPr>
          <w:rFonts w:ascii="Arial" w:cs="Arial" w:eastAsia="Arial" w:hAnsi="Arial"/>
          <w:sz w:val="22"/>
          <w:szCs w:val="22"/>
          <w:color w:val="auto"/>
        </w:rPr>
        <w:t>, the Borrower has requested that the Lenders make certain amendments to the Credit Agreement, and the Administrative Agent and the Lenders are willing to do so under the terms and conditions set forth in this Amendment.</w:t>
      </w:r>
    </w:p>
    <w:p>
      <w:pPr>
        <w:spacing w:after="0" w:line="227" w:lineRule="exact"/>
        <w:rPr>
          <w:sz w:val="20"/>
          <w:szCs w:val="20"/>
          <w:color w:val="auto"/>
        </w:rPr>
      </w:pPr>
    </w:p>
    <w:p>
      <w:pPr>
        <w:jc w:val="both"/>
        <w:ind w:left="200" w:right="219" w:firstLine="648"/>
        <w:spacing w:after="0" w:line="300" w:lineRule="auto"/>
        <w:rPr>
          <w:sz w:val="20"/>
          <w:szCs w:val="20"/>
          <w:color w:val="auto"/>
        </w:rPr>
      </w:pPr>
      <w:r>
        <w:rPr>
          <w:rFonts w:ascii="Arial" w:cs="Arial" w:eastAsia="Arial" w:hAnsi="Arial"/>
          <w:sz w:val="20"/>
          <w:szCs w:val="20"/>
          <w:color w:val="auto"/>
        </w:rPr>
        <w:t>N</w:t>
      </w:r>
      <w:r>
        <w:rPr>
          <w:rFonts w:ascii="Arial" w:cs="Arial" w:eastAsia="Arial" w:hAnsi="Arial"/>
          <w:sz w:val="13"/>
          <w:szCs w:val="13"/>
          <w:color w:val="auto"/>
        </w:rPr>
        <w:t>OW</w:t>
      </w:r>
      <w:r>
        <w:rPr>
          <w:rFonts w:ascii="Arial" w:cs="Arial" w:eastAsia="Arial" w:hAnsi="Arial"/>
          <w:sz w:val="20"/>
          <w:szCs w:val="20"/>
          <w:color w:val="auto"/>
        </w:rPr>
        <w:t>, T</w:t>
      </w:r>
      <w:r>
        <w:rPr>
          <w:rFonts w:ascii="Arial" w:cs="Arial" w:eastAsia="Arial" w:hAnsi="Arial"/>
          <w:sz w:val="13"/>
          <w:szCs w:val="13"/>
          <w:color w:val="auto"/>
        </w:rPr>
        <w:t>HEREFORE</w:t>
      </w:r>
      <w:r>
        <w:rPr>
          <w:rFonts w:ascii="Arial" w:cs="Arial" w:eastAsia="Arial" w:hAnsi="Arial"/>
          <w:sz w:val="20"/>
          <w:szCs w:val="20"/>
          <w:color w:val="auto"/>
        </w:rPr>
        <w:t>, for good and valuable consideration, the receipt and sufficiency of which are hereby acknowledged, the parties hereto, intending to be legally bound, agree as follows:</w:t>
      </w:r>
    </w:p>
    <w:p>
      <w:pPr>
        <w:spacing w:after="0" w:line="154" w:lineRule="exact"/>
        <w:rPr>
          <w:sz w:val="20"/>
          <w:szCs w:val="20"/>
          <w:color w:val="auto"/>
        </w:rPr>
      </w:pPr>
    </w:p>
    <w:p>
      <w:pPr>
        <w:jc w:val="both"/>
        <w:ind w:left="200" w:right="219" w:firstLine="677"/>
        <w:spacing w:after="0" w:line="328" w:lineRule="auto"/>
        <w:rPr>
          <w:sz w:val="20"/>
          <w:szCs w:val="20"/>
          <w:color w:val="auto"/>
        </w:rPr>
      </w:pPr>
      <w:r>
        <w:rPr>
          <w:rFonts w:ascii="Arial" w:cs="Arial" w:eastAsia="Arial" w:hAnsi="Arial"/>
          <w:sz w:val="19"/>
          <w:szCs w:val="19"/>
          <w:i w:val="1"/>
          <w:iCs w:val="1"/>
          <w:color w:val="auto"/>
        </w:rPr>
        <w:t xml:space="preserve">Section 1. Defined Terms. </w:t>
      </w:r>
      <w:r>
        <w:rPr>
          <w:rFonts w:ascii="Arial" w:cs="Arial" w:eastAsia="Arial" w:hAnsi="Arial"/>
          <w:sz w:val="19"/>
          <w:szCs w:val="19"/>
          <w:color w:val="auto"/>
        </w:rPr>
        <w:t>Unless otherwise amended by the terms of this Amendment,</w:t>
      </w:r>
      <w:r>
        <w:rPr>
          <w:rFonts w:ascii="Arial" w:cs="Arial" w:eastAsia="Arial" w:hAnsi="Arial"/>
          <w:sz w:val="19"/>
          <w:szCs w:val="19"/>
          <w:i w:val="1"/>
          <w:iCs w:val="1"/>
          <w:color w:val="auto"/>
        </w:rPr>
        <w:t xml:space="preserve"> </w:t>
      </w:r>
      <w:r>
        <w:rPr>
          <w:rFonts w:ascii="Arial" w:cs="Arial" w:eastAsia="Arial" w:hAnsi="Arial"/>
          <w:sz w:val="19"/>
          <w:szCs w:val="19"/>
          <w:color w:val="auto"/>
        </w:rPr>
        <w:t>terms used in this Amendment shall have the meanings assigned in the Credit Agreement.</w:t>
      </w:r>
    </w:p>
    <w:p>
      <w:pPr>
        <w:spacing w:after="0" w:line="145" w:lineRule="exact"/>
        <w:rPr>
          <w:sz w:val="20"/>
          <w:szCs w:val="20"/>
          <w:color w:val="auto"/>
        </w:rPr>
      </w:pPr>
    </w:p>
    <w:p>
      <w:pPr>
        <w:jc w:val="both"/>
        <w:ind w:left="200" w:right="239" w:firstLine="677"/>
        <w:spacing w:after="0"/>
        <w:rPr>
          <w:sz w:val="20"/>
          <w:szCs w:val="20"/>
          <w:color w:val="auto"/>
        </w:rPr>
      </w:pPr>
      <w:r>
        <w:rPr>
          <w:rFonts w:ascii="Arial" w:cs="Arial" w:eastAsia="Arial" w:hAnsi="Arial"/>
          <w:sz w:val="22"/>
          <w:szCs w:val="22"/>
          <w:i w:val="1"/>
          <w:iCs w:val="1"/>
          <w:color w:val="auto"/>
        </w:rPr>
        <w:t xml:space="preserve">Section 2. Amendments to Credit Agreement. </w:t>
      </w:r>
      <w:r>
        <w:rPr>
          <w:rFonts w:ascii="Arial" w:cs="Arial" w:eastAsia="Arial" w:hAnsi="Arial"/>
          <w:sz w:val="22"/>
          <w:szCs w:val="22"/>
          <w:color w:val="auto"/>
        </w:rPr>
        <w:t>Upon satisfaction of the conditions</w:t>
      </w:r>
      <w:r>
        <w:rPr>
          <w:rFonts w:ascii="Arial" w:cs="Arial" w:eastAsia="Arial" w:hAnsi="Arial"/>
          <w:sz w:val="22"/>
          <w:szCs w:val="22"/>
          <w:i w:val="1"/>
          <w:iCs w:val="1"/>
          <w:color w:val="auto"/>
        </w:rPr>
        <w:t xml:space="preserve"> </w:t>
      </w:r>
      <w:r>
        <w:rPr>
          <w:rFonts w:ascii="Arial" w:cs="Arial" w:eastAsia="Arial" w:hAnsi="Arial"/>
          <w:sz w:val="22"/>
          <w:szCs w:val="22"/>
          <w:color w:val="auto"/>
        </w:rPr>
        <w:t>precedent set forth in Section 3 below, as of the Effective Date (as defined below), the parties hereto agree that:</w:t>
      </w:r>
    </w:p>
    <w:p>
      <w:pPr>
        <w:spacing w:after="0" w:line="227" w:lineRule="exact"/>
        <w:rPr>
          <w:sz w:val="20"/>
          <w:szCs w:val="20"/>
          <w:color w:val="auto"/>
        </w:rPr>
      </w:pPr>
    </w:p>
    <w:p>
      <w:pPr>
        <w:ind w:left="1420"/>
        <w:spacing w:after="0"/>
        <w:tabs>
          <w:tab w:leader="none" w:pos="202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Section 2.7 of Credit Agreement shall be amended in its entirety to read as</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follows:</w:t>
      </w:r>
    </w:p>
    <w:p>
      <w:pPr>
        <w:spacing w:after="0" w:line="215" w:lineRule="exact"/>
        <w:rPr>
          <w:sz w:val="20"/>
          <w:szCs w:val="20"/>
          <w:color w:val="auto"/>
        </w:rPr>
      </w:pPr>
    </w:p>
    <w:p>
      <w:pPr>
        <w:jc w:val="both"/>
        <w:ind w:left="1500" w:right="879" w:firstLine="486"/>
        <w:spacing w:after="0" w:line="234" w:lineRule="auto"/>
        <w:rPr>
          <w:sz w:val="20"/>
          <w:szCs w:val="20"/>
          <w:color w:val="auto"/>
        </w:rPr>
      </w:pPr>
      <w:r>
        <w:rPr>
          <w:rFonts w:ascii="Arial" w:cs="Arial" w:eastAsia="Arial" w:hAnsi="Arial"/>
          <w:sz w:val="22"/>
          <w:szCs w:val="22"/>
          <w:i w:val="1"/>
          <w:iCs w:val="1"/>
          <w:color w:val="auto"/>
        </w:rPr>
        <w:t>2.7. Fees</w:t>
      </w:r>
      <w:r>
        <w:rPr>
          <w:rFonts w:ascii="Arial" w:cs="Arial" w:eastAsia="Arial" w:hAnsi="Arial"/>
          <w:sz w:val="22"/>
          <w:szCs w:val="22"/>
          <w:color w:val="auto"/>
        </w:rPr>
        <w:t>. (a) The Borrower (or the Paying Agent on behalf of</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the Borrower as directed by the Borrower pursuant to instructions provided by it (which shall include the amount to be paid and any wiring or other payment instructions necessary in order to effect such payment)) shall pay to the Administrative Agent from the Collection Account on each Payment Date the Unused Fee for the related Interest Period in accordance with </w:t>
      </w:r>
      <w:r>
        <w:rPr>
          <w:rFonts w:ascii="Arial" w:cs="Arial" w:eastAsia="Arial" w:hAnsi="Arial"/>
          <w:sz w:val="22"/>
          <w:szCs w:val="22"/>
          <w:u w:val="single" w:color="auto"/>
          <w:color w:val="auto"/>
        </w:rPr>
        <w:t>Section 2.8</w:t>
      </w:r>
      <w:r>
        <w:rPr>
          <w:rFonts w:ascii="Arial" w:cs="Arial" w:eastAsia="Arial" w:hAnsi="Arial"/>
          <w:sz w:val="22"/>
          <w:szCs w:val="22"/>
          <w:color w:val="auto"/>
        </w:rPr>
        <w:t>.</w:t>
      </w:r>
    </w:p>
    <w:p>
      <w:pPr>
        <w:spacing w:after="0" w:line="27" w:lineRule="exact"/>
        <w:rPr>
          <w:sz w:val="20"/>
          <w:szCs w:val="20"/>
          <w:color w:val="auto"/>
        </w:rPr>
      </w:pPr>
    </w:p>
    <w:p>
      <w:pPr>
        <w:ind w:left="200" w:right="3799"/>
        <w:spacing w:after="0" w:line="258" w:lineRule="auto"/>
        <w:rPr>
          <w:sz w:val="20"/>
          <w:szCs w:val="20"/>
          <w:color w:val="auto"/>
        </w:rPr>
      </w:pPr>
      <w:r>
        <w:rPr>
          <w:rFonts w:ascii="Arial" w:cs="Arial" w:eastAsia="Arial" w:hAnsi="Arial"/>
          <w:sz w:val="16"/>
          <w:szCs w:val="16"/>
          <w:color w:val="auto"/>
        </w:rPr>
        <w:t>Fourth Amendment to Credit Agreement (Runway) 4824-7908-7601 v6.docx 4287157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483870</wp:posOffset>
            </wp:positionV>
            <wp:extent cx="545211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79" w:right="1440" w:bottom="1440" w:gutter="0" w:footer="0" w:header="0"/>
        </w:sectPr>
      </w:pPr>
    </w:p>
    <w:bookmarkStart w:id="70" w:name="page71"/>
    <w:bookmarkEnd w:id="70"/>
    <w:p>
      <w:pPr>
        <w:jc w:val="both"/>
        <w:ind w:left="1500" w:right="879" w:firstLine="653"/>
        <w:spacing w:after="0" w:line="234" w:lineRule="auto"/>
        <w:tabs>
          <w:tab w:leader="none" w:pos="2796" w:val="left"/>
        </w:tabs>
        <w:numPr>
          <w:ilvl w:val="0"/>
          <w:numId w:val="42"/>
        </w:numPr>
        <w:rPr>
          <w:rFonts w:ascii="Arial" w:cs="Arial" w:eastAsia="Arial" w:hAnsi="Arial"/>
          <w:sz w:val="22"/>
          <w:szCs w:val="22"/>
          <w:color w:val="auto"/>
        </w:rPr>
      </w:pPr>
      <w:r>
        <w:rPr>
          <w:rFonts w:ascii="Arial" w:cs="Arial" w:eastAsia="Arial" w:hAnsi="Arial"/>
          <w:sz w:val="22"/>
          <w:szCs w:val="22"/>
          <w:color w:val="auto"/>
        </w:rPr>
        <w:t xml:space="preserve">The Borrower (or the Paying Agent on behalf of the Borrower as directed by the Borrower pursuant to instructions provided by it (which shall include the amount to be paid and any wiring or other payment instructions necessary in order to effect such payment)) shall pay to the Bank Parties from the Collection Account on each Payment Date the Bank Fees and Expenses for the related Settlement Period in accordance with </w:t>
      </w:r>
      <w:r>
        <w:rPr>
          <w:rFonts w:ascii="Arial" w:cs="Arial" w:eastAsia="Arial" w:hAnsi="Arial"/>
          <w:sz w:val="22"/>
          <w:szCs w:val="22"/>
          <w:u w:val="single" w:color="auto"/>
          <w:color w:val="auto"/>
        </w:rPr>
        <w:t>Section 2.8</w:t>
      </w:r>
      <w:r>
        <w:rPr>
          <w:rFonts w:ascii="Arial" w:cs="Arial" w:eastAsia="Arial" w:hAnsi="Arial"/>
          <w:sz w:val="22"/>
          <w:szCs w:val="22"/>
          <w:color w:val="auto"/>
        </w:rPr>
        <w:t>.</w:t>
      </w:r>
    </w:p>
    <w:p>
      <w:pPr>
        <w:spacing w:after="0" w:line="231" w:lineRule="exact"/>
        <w:rPr>
          <w:rFonts w:ascii="Arial" w:cs="Arial" w:eastAsia="Arial" w:hAnsi="Arial"/>
          <w:sz w:val="22"/>
          <w:szCs w:val="22"/>
          <w:color w:val="auto"/>
        </w:rPr>
      </w:pPr>
    </w:p>
    <w:p>
      <w:pPr>
        <w:jc w:val="both"/>
        <w:ind w:left="1500" w:right="879" w:firstLine="653"/>
        <w:spacing w:after="0" w:line="277" w:lineRule="auto"/>
        <w:tabs>
          <w:tab w:leader="none" w:pos="2796" w:val="left"/>
        </w:tabs>
        <w:numPr>
          <w:ilvl w:val="0"/>
          <w:numId w:val="42"/>
        </w:numPr>
        <w:rPr>
          <w:rFonts w:ascii="Arial" w:cs="Arial" w:eastAsia="Arial" w:hAnsi="Arial"/>
          <w:sz w:val="19"/>
          <w:szCs w:val="19"/>
          <w:color w:val="auto"/>
        </w:rPr>
      </w:pPr>
      <w:r>
        <w:rPr>
          <w:rFonts w:ascii="Arial" w:cs="Arial" w:eastAsia="Arial" w:hAnsi="Arial"/>
          <w:sz w:val="19"/>
          <w:szCs w:val="19"/>
          <w:color w:val="auto"/>
        </w:rPr>
        <w:t xml:space="preserve">The Borrower (or the Paying Agent on behalf of the Borrower as directed by the Borrower pursuant to instructions provided by it (which shall include the amount to be paid and any wiring or other payment instructions necessary in order to effect such payment)) shall pay to the Administrative Agent from the Collection Account on each Payment Date on which the Minimum Earnings Fee is due, the Minimum Earnings Fee for the relevant twelve-month period in accordance with </w:t>
      </w:r>
      <w:r>
        <w:rPr>
          <w:rFonts w:ascii="Arial" w:cs="Arial" w:eastAsia="Arial" w:hAnsi="Arial"/>
          <w:sz w:val="19"/>
          <w:szCs w:val="19"/>
          <w:u w:val="single" w:color="auto"/>
          <w:color w:val="auto"/>
        </w:rPr>
        <w:t>Section 2.8</w:t>
      </w:r>
      <w:r>
        <w:rPr>
          <w:rFonts w:ascii="Arial" w:cs="Arial" w:eastAsia="Arial" w:hAnsi="Arial"/>
          <w:sz w:val="19"/>
          <w:szCs w:val="19"/>
          <w:color w:val="auto"/>
        </w:rPr>
        <w:t>.</w:t>
      </w:r>
    </w:p>
    <w:p>
      <w:pPr>
        <w:spacing w:after="0" w:line="178" w:lineRule="exact"/>
        <w:rPr>
          <w:rFonts w:ascii="Arial" w:cs="Arial" w:eastAsia="Arial" w:hAnsi="Arial"/>
          <w:sz w:val="19"/>
          <w:szCs w:val="19"/>
          <w:color w:val="auto"/>
        </w:rPr>
      </w:pPr>
    </w:p>
    <w:p>
      <w:pPr>
        <w:jc w:val="both"/>
        <w:ind w:left="1500" w:right="859" w:firstLine="653"/>
        <w:spacing w:after="0" w:line="282" w:lineRule="auto"/>
        <w:tabs>
          <w:tab w:leader="none" w:pos="2796" w:val="left"/>
        </w:tabs>
        <w:numPr>
          <w:ilvl w:val="0"/>
          <w:numId w:val="42"/>
        </w:numPr>
        <w:rPr>
          <w:rFonts w:ascii="Arial" w:cs="Arial" w:eastAsia="Arial" w:hAnsi="Arial"/>
          <w:sz w:val="19"/>
          <w:szCs w:val="19"/>
          <w:color w:val="auto"/>
        </w:rPr>
      </w:pPr>
      <w:r>
        <w:rPr>
          <w:rFonts w:ascii="Arial" w:cs="Arial" w:eastAsia="Arial" w:hAnsi="Arial"/>
          <w:sz w:val="19"/>
          <w:szCs w:val="19"/>
          <w:color w:val="auto"/>
        </w:rPr>
        <w:t xml:space="preserve">The Borrower (or the Administrative Agent on behalf of the Borrower as directed by the Borrower pursuant to instructions delivered on the Effective Date) shall pay to the Administrative Agent, the Syndication Agent and the Lenders from the Collection Account on the Effective Date all amounts payable on the Effective Date in accordance with </w:t>
      </w:r>
      <w:r>
        <w:rPr>
          <w:rFonts w:ascii="Arial" w:cs="Arial" w:eastAsia="Arial" w:hAnsi="Arial"/>
          <w:sz w:val="19"/>
          <w:szCs w:val="19"/>
          <w:u w:val="single" w:color="auto"/>
          <w:color w:val="auto"/>
        </w:rPr>
        <w:t>Section 3.1</w:t>
      </w:r>
      <w:r>
        <w:rPr>
          <w:rFonts w:ascii="Arial" w:cs="Arial" w:eastAsia="Arial" w:hAnsi="Arial"/>
          <w:sz w:val="19"/>
          <w:szCs w:val="19"/>
          <w:color w:val="auto"/>
        </w:rPr>
        <w:t>.</w:t>
      </w:r>
    </w:p>
    <w:p>
      <w:pPr>
        <w:spacing w:after="0" w:line="187" w:lineRule="exact"/>
        <w:rPr>
          <w:rFonts w:ascii="Arial" w:cs="Arial" w:eastAsia="Arial" w:hAnsi="Arial"/>
          <w:sz w:val="19"/>
          <w:szCs w:val="19"/>
          <w:color w:val="auto"/>
        </w:rPr>
      </w:pPr>
    </w:p>
    <w:p>
      <w:pPr>
        <w:jc w:val="both"/>
        <w:ind w:left="1500" w:right="879" w:firstLine="653"/>
        <w:spacing w:after="0" w:line="277" w:lineRule="auto"/>
        <w:tabs>
          <w:tab w:leader="none" w:pos="2796" w:val="left"/>
        </w:tabs>
        <w:numPr>
          <w:ilvl w:val="0"/>
          <w:numId w:val="42"/>
        </w:numPr>
        <w:rPr>
          <w:rFonts w:ascii="Arial" w:cs="Arial" w:eastAsia="Arial" w:hAnsi="Arial"/>
          <w:sz w:val="19"/>
          <w:szCs w:val="19"/>
          <w:color w:val="auto"/>
        </w:rPr>
      </w:pPr>
      <w:r>
        <w:rPr>
          <w:rFonts w:ascii="Arial" w:cs="Arial" w:eastAsia="Arial" w:hAnsi="Arial"/>
          <w:sz w:val="19"/>
          <w:szCs w:val="19"/>
          <w:color w:val="auto"/>
        </w:rPr>
        <w:t xml:space="preserve">The Borrower (or the Paying Agent on behalf of the Borrower as directed by the Borrower pursuant to instructions provided by it (which shall include the amount to be paid and any wiring or other payment instructions necessary in order to effect such payment)) shall pay to the Administrative Agent from the Collection Account on each date on which the Supplemental Fee (as defined in the Lender Fee Letter) is due, the Supplemental Fee then due in accordance with </w:t>
      </w:r>
      <w:r>
        <w:rPr>
          <w:rFonts w:ascii="Arial" w:cs="Arial" w:eastAsia="Arial" w:hAnsi="Arial"/>
          <w:sz w:val="19"/>
          <w:szCs w:val="19"/>
          <w:u w:val="single" w:color="auto"/>
          <w:color w:val="auto"/>
        </w:rPr>
        <w:t>Section 2.8</w:t>
      </w:r>
      <w:r>
        <w:rPr>
          <w:rFonts w:ascii="Arial" w:cs="Arial" w:eastAsia="Arial" w:hAnsi="Arial"/>
          <w:sz w:val="19"/>
          <w:szCs w:val="19"/>
          <w:color w:val="auto"/>
        </w:rPr>
        <w:t>.</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523875</wp:posOffset>
            </wp:positionV>
            <wp:extent cx="545211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1" w:name="page72"/>
    <w:bookmarkEnd w:id="71"/>
    <w:p>
      <w:pPr>
        <w:ind w:left="200" w:right="219" w:firstLine="1205"/>
        <w:spacing w:after="0" w:line="251" w:lineRule="auto"/>
        <w:rPr>
          <w:sz w:val="20"/>
          <w:szCs w:val="20"/>
          <w:color w:val="auto"/>
        </w:rPr>
      </w:pPr>
      <w:r>
        <w:rPr>
          <w:rFonts w:ascii="Arial" w:cs="Arial" w:eastAsia="Arial" w:hAnsi="Arial"/>
          <w:sz w:val="22"/>
          <w:szCs w:val="22"/>
          <w:color w:val="auto"/>
        </w:rPr>
        <w:t>2.2 The introductory clause of Section 2.8 of the Credit Agreement shall be amended in its entirety to read as follows:</w:t>
      </w:r>
    </w:p>
    <w:p>
      <w:pPr>
        <w:spacing w:after="0" w:line="214" w:lineRule="exact"/>
        <w:rPr>
          <w:sz w:val="20"/>
          <w:szCs w:val="20"/>
          <w:color w:val="auto"/>
        </w:rPr>
      </w:pPr>
    </w:p>
    <w:p>
      <w:pPr>
        <w:jc w:val="both"/>
        <w:ind w:left="1500" w:right="859"/>
        <w:spacing w:after="0" w:line="245" w:lineRule="auto"/>
        <w:rPr>
          <w:sz w:val="20"/>
          <w:szCs w:val="20"/>
          <w:color w:val="auto"/>
        </w:rPr>
      </w:pPr>
      <w:r>
        <w:rPr>
          <w:rFonts w:ascii="Arial" w:cs="Arial" w:eastAsia="Arial" w:hAnsi="Arial"/>
          <w:sz w:val="21"/>
          <w:szCs w:val="21"/>
          <w:color w:val="auto"/>
        </w:rPr>
        <w:t>No later than 11:00 a.m. (New York City time) (x) on each Payment Date and (y) solely with respect to the payment of Supplemental Fees pursuant to clause (a)(ii) below, on the 15th calendar day of each calendar month (or if such date is not a Business Day the immediately succeeding Business Day) beginning on August 16, 2021 and ending on July 15, 2022 (each, a “</w:t>
      </w:r>
      <w:r>
        <w:rPr>
          <w:rFonts w:ascii="Arial" w:cs="Arial" w:eastAsia="Arial" w:hAnsi="Arial"/>
          <w:sz w:val="21"/>
          <w:szCs w:val="21"/>
          <w:i w:val="1"/>
          <w:iCs w:val="1"/>
          <w:color w:val="auto"/>
        </w:rPr>
        <w:t>Supplemental Fee Payment Date</w:t>
      </w:r>
      <w:r>
        <w:rPr>
          <w:rFonts w:ascii="Arial" w:cs="Arial" w:eastAsia="Arial" w:hAnsi="Arial"/>
          <w:sz w:val="21"/>
          <w:szCs w:val="21"/>
          <w:color w:val="auto"/>
        </w:rPr>
        <w:t xml:space="preserve">”), the Paying Agent shall, from the Collection Account, to the extent of available funds (such amounts being the </w:t>
      </w:r>
      <w:r>
        <w:rPr>
          <w:rFonts w:ascii="Arial" w:cs="Arial" w:eastAsia="Arial" w:hAnsi="Arial"/>
          <w:sz w:val="21"/>
          <w:szCs w:val="21"/>
          <w:i w:val="1"/>
          <w:iCs w:val="1"/>
          <w:color w:val="auto"/>
        </w:rPr>
        <w:t>“Available Collections”</w:t>
      </w:r>
      <w:r>
        <w:rPr>
          <w:rFonts w:ascii="Arial" w:cs="Arial" w:eastAsia="Arial" w:hAnsi="Arial"/>
          <w:sz w:val="21"/>
          <w:szCs w:val="21"/>
          <w:color w:val="auto"/>
        </w:rPr>
        <w:t>) disburse the following amounts in the following</w:t>
      </w:r>
      <w:r>
        <w:rPr>
          <w:rFonts w:ascii="Arial" w:cs="Arial" w:eastAsia="Arial" w:hAnsi="Arial"/>
          <w:sz w:val="21"/>
          <w:szCs w:val="21"/>
          <w:i w:val="1"/>
          <w:iCs w:val="1"/>
          <w:color w:val="auto"/>
        </w:rPr>
        <w:t xml:space="preserve"> </w:t>
      </w:r>
      <w:r>
        <w:rPr>
          <w:rFonts w:ascii="Arial" w:cs="Arial" w:eastAsia="Arial" w:hAnsi="Arial"/>
          <w:sz w:val="21"/>
          <w:szCs w:val="21"/>
          <w:color w:val="auto"/>
        </w:rPr>
        <w:t>order of priority:</w:t>
      </w:r>
    </w:p>
    <w:p>
      <w:pPr>
        <w:spacing w:after="0" w:line="211" w:lineRule="exact"/>
        <w:rPr>
          <w:sz w:val="20"/>
          <w:szCs w:val="20"/>
          <w:color w:val="auto"/>
        </w:rPr>
      </w:pPr>
    </w:p>
    <w:p>
      <w:pPr>
        <w:ind w:left="1460"/>
        <w:spacing w:after="0"/>
        <w:tabs>
          <w:tab w:leader="none" w:pos="200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color w:val="auto"/>
        </w:rPr>
        <w:t>Section 2.8(a)(ii) of Credit Agreement shall be amended in its entirety to read</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as follows:</w:t>
      </w:r>
    </w:p>
    <w:p>
      <w:pPr>
        <w:spacing w:after="0" w:line="229" w:lineRule="exact"/>
        <w:rPr>
          <w:sz w:val="20"/>
          <w:szCs w:val="20"/>
          <w:color w:val="auto"/>
        </w:rPr>
      </w:pPr>
    </w:p>
    <w:p>
      <w:pPr>
        <w:jc w:val="both"/>
        <w:ind w:left="1500" w:right="879" w:firstLine="653"/>
        <w:spacing w:after="0" w:line="265" w:lineRule="auto"/>
        <w:tabs>
          <w:tab w:leader="none" w:pos="2796" w:val="left"/>
        </w:tabs>
        <w:numPr>
          <w:ilvl w:val="0"/>
          <w:numId w:val="43"/>
        </w:numPr>
        <w:rPr>
          <w:rFonts w:ascii="Arial" w:cs="Arial" w:eastAsia="Arial" w:hAnsi="Arial"/>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ECOND</w:t>
      </w:r>
      <w:r>
        <w:rPr>
          <w:rFonts w:ascii="Arial" w:cs="Arial" w:eastAsia="Arial" w:hAnsi="Arial"/>
          <w:sz w:val="20"/>
          <w:szCs w:val="20"/>
          <w:color w:val="auto"/>
        </w:rPr>
        <w:t>, to the Administrative Agent for payment to each Managing Agent, on behalf of the related Lenders, in an amount equal to any accrued and unpaid Interest, Unused Fee and Minimum Earnings Fee that is due on such Payment Date and any accrued and unpaid Supplemental Fee that is due on such Supplemental Fee Payment Date;</w:t>
      </w:r>
    </w:p>
    <w:p>
      <w:pPr>
        <w:spacing w:after="0" w:line="202" w:lineRule="exact"/>
        <w:rPr>
          <w:sz w:val="20"/>
          <w:szCs w:val="20"/>
          <w:color w:val="auto"/>
        </w:rPr>
      </w:pPr>
    </w:p>
    <w:p>
      <w:pPr>
        <w:jc w:val="both"/>
        <w:ind w:left="200" w:right="239" w:firstLine="677"/>
        <w:spacing w:after="0" w:line="274" w:lineRule="auto"/>
        <w:rPr>
          <w:sz w:val="20"/>
          <w:szCs w:val="20"/>
          <w:color w:val="auto"/>
        </w:rPr>
      </w:pPr>
      <w:r>
        <w:rPr>
          <w:rFonts w:ascii="Arial" w:cs="Arial" w:eastAsia="Arial" w:hAnsi="Arial"/>
          <w:sz w:val="21"/>
          <w:szCs w:val="21"/>
          <w:i w:val="1"/>
          <w:iCs w:val="1"/>
          <w:color w:val="auto"/>
        </w:rPr>
        <w:t xml:space="preserve">Section 3. Conditions Precedent. </w:t>
      </w:r>
      <w:r>
        <w:rPr>
          <w:rFonts w:ascii="Arial" w:cs="Arial" w:eastAsia="Arial" w:hAnsi="Arial"/>
          <w:sz w:val="21"/>
          <w:szCs w:val="21"/>
          <w:color w:val="auto"/>
        </w:rPr>
        <w:t>This Amendment shall become effective as of the date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(the </w:t>
      </w:r>
      <w:r>
        <w:rPr>
          <w:rFonts w:ascii="Arial" w:cs="Arial" w:eastAsia="Arial" w:hAnsi="Arial"/>
          <w:sz w:val="21"/>
          <w:szCs w:val="21"/>
          <w:i w:val="1"/>
          <w:iCs w:val="1"/>
          <w:color w:val="auto"/>
        </w:rPr>
        <w:t>“Effective Date”</w:t>
      </w:r>
      <w:r>
        <w:rPr>
          <w:rFonts w:ascii="Arial" w:cs="Arial" w:eastAsia="Arial" w:hAnsi="Arial"/>
          <w:sz w:val="21"/>
          <w:szCs w:val="21"/>
          <w:color w:val="auto"/>
        </w:rPr>
        <w:t>) of the satisfaction of all of the following conditions precedent:</w:t>
      </w:r>
    </w:p>
    <w:p>
      <w:pPr>
        <w:spacing w:after="0" w:line="178" w:lineRule="exact"/>
        <w:rPr>
          <w:sz w:val="20"/>
          <w:szCs w:val="20"/>
          <w:color w:val="auto"/>
        </w:rPr>
      </w:pPr>
    </w:p>
    <w:p>
      <w:pPr>
        <w:ind w:left="860" w:right="219" w:firstLine="648"/>
        <w:spacing w:after="0" w:line="250" w:lineRule="auto"/>
        <w:rPr>
          <w:sz w:val="20"/>
          <w:szCs w:val="20"/>
          <w:color w:val="auto"/>
        </w:rPr>
      </w:pPr>
      <w:r>
        <w:rPr>
          <w:rFonts w:ascii="Arial" w:cs="Arial" w:eastAsia="Arial" w:hAnsi="Arial"/>
          <w:sz w:val="22"/>
          <w:szCs w:val="22"/>
          <w:color w:val="auto"/>
        </w:rPr>
        <w:t>3.1. The Administrative Agent, the Borrower, and the Lenders shall have executed and delivered this Amendment.</w:t>
      </w:r>
    </w:p>
    <w:p>
      <w:pPr>
        <w:spacing w:after="0" w:line="215" w:lineRule="exact"/>
        <w:rPr>
          <w:sz w:val="20"/>
          <w:szCs w:val="20"/>
          <w:color w:val="auto"/>
        </w:rPr>
      </w:pPr>
    </w:p>
    <w:p>
      <w:pPr>
        <w:ind w:left="860" w:right="219" w:firstLine="648"/>
        <w:spacing w:after="0" w:line="328" w:lineRule="auto"/>
        <w:rPr>
          <w:sz w:val="20"/>
          <w:szCs w:val="20"/>
          <w:color w:val="auto"/>
        </w:rPr>
      </w:pPr>
      <w:r>
        <w:rPr>
          <w:rFonts w:ascii="Arial" w:cs="Arial" w:eastAsia="Arial" w:hAnsi="Arial"/>
          <w:sz w:val="19"/>
          <w:szCs w:val="19"/>
          <w:color w:val="auto"/>
        </w:rPr>
        <w:t>3.2. The Administrative Agent the Borrower, and the Lenders shall have executed and delivered that certain Second Amended and Restated Lender Fee Letter.</w:t>
      </w:r>
    </w:p>
    <w:p>
      <w:pPr>
        <w:spacing w:after="0" w:line="145" w:lineRule="exact"/>
        <w:rPr>
          <w:sz w:val="20"/>
          <w:szCs w:val="20"/>
          <w:color w:val="auto"/>
        </w:rPr>
      </w:pPr>
    </w:p>
    <w:p>
      <w:pPr>
        <w:ind w:left="860" w:right="219" w:firstLine="648"/>
        <w:spacing w:after="0" w:line="250" w:lineRule="auto"/>
        <w:rPr>
          <w:sz w:val="20"/>
          <w:szCs w:val="20"/>
          <w:color w:val="auto"/>
        </w:rPr>
      </w:pPr>
      <w:r>
        <w:rPr>
          <w:rFonts w:ascii="Arial" w:cs="Arial" w:eastAsia="Arial" w:hAnsi="Arial"/>
          <w:sz w:val="22"/>
          <w:szCs w:val="22"/>
          <w:color w:val="auto"/>
        </w:rPr>
        <w:t>3.3. Legal matters incident to the execution and delivery of this Amendment shall be satisfactory to the Administrative Agent and its counsel.</w:t>
      </w:r>
    </w:p>
    <w:p>
      <w:pPr>
        <w:spacing w:after="0" w:line="202" w:lineRule="exact"/>
        <w:rPr>
          <w:sz w:val="20"/>
          <w:szCs w:val="20"/>
          <w:color w:val="auto"/>
        </w:rPr>
      </w:pPr>
    </w:p>
    <w:p>
      <w:pPr>
        <w:jc w:val="both"/>
        <w:ind w:left="200" w:right="219" w:firstLine="677"/>
        <w:spacing w:after="0" w:line="279" w:lineRule="auto"/>
        <w:rPr>
          <w:sz w:val="20"/>
          <w:szCs w:val="20"/>
          <w:color w:val="auto"/>
        </w:rPr>
      </w:pPr>
      <w:r>
        <w:rPr>
          <w:rFonts w:ascii="Arial" w:cs="Arial" w:eastAsia="Arial" w:hAnsi="Arial"/>
          <w:sz w:val="19"/>
          <w:szCs w:val="19"/>
          <w:i w:val="1"/>
          <w:iCs w:val="1"/>
          <w:color w:val="auto"/>
        </w:rPr>
        <w:t xml:space="preserve">Section 4. Representations of the Borrower. </w:t>
      </w:r>
      <w:r>
        <w:rPr>
          <w:rFonts w:ascii="Arial" w:cs="Arial" w:eastAsia="Arial" w:hAnsi="Arial"/>
          <w:sz w:val="19"/>
          <w:szCs w:val="19"/>
          <w:color w:val="auto"/>
        </w:rPr>
        <w:t>The Borrower hereby represents and</w:t>
      </w:r>
      <w:r>
        <w:rPr>
          <w:rFonts w:ascii="Arial" w:cs="Arial" w:eastAsia="Arial" w:hAnsi="Arial"/>
          <w:sz w:val="19"/>
          <w:szCs w:val="19"/>
          <w:i w:val="1"/>
          <w:iCs w:val="1"/>
          <w:color w:val="auto"/>
        </w:rPr>
        <w:t xml:space="preserve"> </w:t>
      </w:r>
      <w:r>
        <w:rPr>
          <w:rFonts w:ascii="Arial" w:cs="Arial" w:eastAsia="Arial" w:hAnsi="Arial"/>
          <w:sz w:val="19"/>
          <w:szCs w:val="19"/>
          <w:color w:val="auto"/>
        </w:rPr>
        <w:t>warrants to the parties hereto that as of the date hereof its representations and warranties contained in Article IV of the Credit Agreement and any other Transaction Documents to which it is a party are true and correct in all material respects as of the date hereof and after giving effect to this Amendment (except to the extent that such representations and warranties relate solely to an earlier date, and then are true and correct as of such earlier date).</w:t>
      </w:r>
    </w:p>
    <w:p>
      <w:pPr>
        <w:spacing w:after="0" w:line="191" w:lineRule="exact"/>
        <w:rPr>
          <w:sz w:val="20"/>
          <w:szCs w:val="20"/>
          <w:color w:val="auto"/>
        </w:rPr>
      </w:pPr>
    </w:p>
    <w:p>
      <w:pPr>
        <w:jc w:val="both"/>
        <w:ind w:left="200" w:right="219" w:firstLine="677"/>
        <w:spacing w:after="0" w:line="282" w:lineRule="auto"/>
        <w:rPr>
          <w:sz w:val="20"/>
          <w:szCs w:val="20"/>
          <w:color w:val="auto"/>
        </w:rPr>
      </w:pPr>
      <w:r>
        <w:rPr>
          <w:rFonts w:ascii="Arial" w:cs="Arial" w:eastAsia="Arial" w:hAnsi="Arial"/>
          <w:sz w:val="19"/>
          <w:szCs w:val="19"/>
          <w:i w:val="1"/>
          <w:iCs w:val="1"/>
          <w:color w:val="auto"/>
        </w:rPr>
        <w:t xml:space="preserve">Section 5. Credit Agreement in Full Force and Effect. </w:t>
      </w:r>
      <w:r>
        <w:rPr>
          <w:rFonts w:ascii="Arial" w:cs="Arial" w:eastAsia="Arial" w:hAnsi="Arial"/>
          <w:sz w:val="19"/>
          <w:szCs w:val="19"/>
          <w:color w:val="auto"/>
        </w:rPr>
        <w:t>Except as specifically amended</w:t>
      </w:r>
      <w:r>
        <w:rPr>
          <w:rFonts w:ascii="Arial" w:cs="Arial" w:eastAsia="Arial" w:hAnsi="Arial"/>
          <w:sz w:val="19"/>
          <w:szCs w:val="19"/>
          <w:i w:val="1"/>
          <w:iCs w:val="1"/>
          <w:color w:val="auto"/>
        </w:rPr>
        <w:t xml:space="preserve"> </w:t>
      </w:r>
      <w:r>
        <w:rPr>
          <w:rFonts w:ascii="Arial" w:cs="Arial" w:eastAsia="Arial" w:hAnsi="Arial"/>
          <w:sz w:val="19"/>
          <w:szCs w:val="19"/>
          <w:color w:val="auto"/>
        </w:rPr>
        <w:t>herein, the Credit Agreement shall continue in full force and effect in accordance with its original terms. Reference to this specific Amendment need not be made in the Credit Agreement or any other instrument or document executed in connection therewith, or in any certificate, letter or communication issued or made pursuant to or with respect to the Credit Agreement, any reference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523875</wp:posOffset>
            </wp:positionV>
            <wp:extent cx="545211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2" w:name="page73"/>
    <w:bookmarkEnd w:id="72"/>
    <w:p>
      <w:pPr>
        <w:jc w:val="both"/>
        <w:ind w:left="200" w:right="239"/>
        <w:spacing w:after="0" w:line="251" w:lineRule="auto"/>
        <w:rPr>
          <w:sz w:val="20"/>
          <w:szCs w:val="20"/>
          <w:color w:val="auto"/>
        </w:rPr>
      </w:pPr>
      <w:r>
        <w:rPr>
          <w:rFonts w:ascii="Arial" w:cs="Arial" w:eastAsia="Arial" w:hAnsi="Arial"/>
          <w:sz w:val="22"/>
          <w:szCs w:val="22"/>
          <w:color w:val="auto"/>
        </w:rPr>
        <w:t>in any of such items to the Credit Agreement being sufficient to refer to the Credit Agreement as amended hereby.</w:t>
      </w:r>
    </w:p>
    <w:p>
      <w:pPr>
        <w:spacing w:after="0" w:line="214" w:lineRule="exact"/>
        <w:rPr>
          <w:sz w:val="20"/>
          <w:szCs w:val="20"/>
          <w:color w:val="auto"/>
        </w:rPr>
      </w:pPr>
    </w:p>
    <w:p>
      <w:pPr>
        <w:jc w:val="both"/>
        <w:ind w:left="200" w:right="219" w:firstLine="677"/>
        <w:spacing w:after="0" w:line="277" w:lineRule="auto"/>
        <w:rPr>
          <w:sz w:val="20"/>
          <w:szCs w:val="20"/>
          <w:color w:val="auto"/>
        </w:rPr>
      </w:pPr>
      <w:r>
        <w:rPr>
          <w:rFonts w:ascii="Arial" w:cs="Arial" w:eastAsia="Arial" w:hAnsi="Arial"/>
          <w:sz w:val="19"/>
          <w:szCs w:val="19"/>
          <w:i w:val="1"/>
          <w:iCs w:val="1"/>
          <w:color w:val="auto"/>
        </w:rPr>
        <w:t xml:space="preserve">Section 6. Execution in Counterparts. </w:t>
      </w:r>
      <w:r>
        <w:rPr>
          <w:rFonts w:ascii="Arial" w:cs="Arial" w:eastAsia="Arial" w:hAnsi="Arial"/>
          <w:sz w:val="19"/>
          <w:szCs w:val="19"/>
          <w:color w:val="auto"/>
        </w:rPr>
        <w:t>This Amendment may be executed in any number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of counterparts, and by the different parties on different counterpart signature pages, all of which taken together shall constitute one and the same agreement. Any of the parties hereto may execute this Amendment by signing any such counterpart and each of such counterparts shall for all purposes be deemed to be an original. Delivery of a counterpart hereof by facsimile transmission or by e-mail transmission of an Adobe Portable Document Format File (also known as an </w:t>
      </w:r>
      <w:r>
        <w:rPr>
          <w:rFonts w:ascii="Arial" w:cs="Arial" w:eastAsia="Arial" w:hAnsi="Arial"/>
          <w:sz w:val="19"/>
          <w:szCs w:val="19"/>
          <w:i w:val="1"/>
          <w:iCs w:val="1"/>
          <w:color w:val="auto"/>
        </w:rPr>
        <w:t>“PDF”</w:t>
      </w:r>
      <w:r>
        <w:rPr>
          <w:rFonts w:ascii="Arial" w:cs="Arial" w:eastAsia="Arial" w:hAnsi="Arial"/>
          <w:sz w:val="19"/>
          <w:szCs w:val="19"/>
          <w:color w:val="auto"/>
        </w:rPr>
        <w:t xml:space="preserve"> file) shall be effective as delivery of a manually executed counterpart hereof.</w:t>
      </w:r>
    </w:p>
    <w:p>
      <w:pPr>
        <w:spacing w:after="0" w:line="179" w:lineRule="exact"/>
        <w:rPr>
          <w:sz w:val="20"/>
          <w:szCs w:val="20"/>
          <w:color w:val="auto"/>
        </w:rPr>
      </w:pPr>
    </w:p>
    <w:p>
      <w:pPr>
        <w:jc w:val="both"/>
        <w:ind w:left="200" w:right="219" w:firstLine="677"/>
        <w:spacing w:after="0" w:line="244" w:lineRule="auto"/>
        <w:rPr>
          <w:sz w:val="20"/>
          <w:szCs w:val="20"/>
          <w:color w:val="auto"/>
        </w:rPr>
      </w:pPr>
      <w:r>
        <w:rPr>
          <w:rFonts w:ascii="Arial" w:cs="Arial" w:eastAsia="Arial" w:hAnsi="Arial"/>
          <w:sz w:val="22"/>
          <w:szCs w:val="22"/>
          <w:i w:val="1"/>
          <w:iCs w:val="1"/>
          <w:color w:val="auto"/>
        </w:rPr>
        <w:t xml:space="preserve">Section 7. Governing Law. </w:t>
      </w:r>
      <w:r>
        <w:rPr>
          <w:rFonts w:ascii="Arial" w:cs="Arial" w:eastAsia="Arial" w:hAnsi="Arial"/>
          <w:sz w:val="22"/>
          <w:szCs w:val="22"/>
          <w:color w:val="auto"/>
        </w:rPr>
        <w:t>T</w:t>
      </w:r>
      <w:r>
        <w:rPr>
          <w:rFonts w:ascii="Arial" w:cs="Arial" w:eastAsia="Arial" w:hAnsi="Arial"/>
          <w:sz w:val="14"/>
          <w:szCs w:val="14"/>
          <w:color w:val="auto"/>
        </w:rPr>
        <w:t>HIS</w:t>
      </w:r>
      <w:r>
        <w:rPr>
          <w:rFonts w:ascii="Arial" w:cs="Arial" w:eastAsia="Arial" w:hAnsi="Arial"/>
          <w:sz w:val="22"/>
          <w:szCs w:val="22"/>
          <w:i w:val="1"/>
          <w:iCs w:val="1"/>
          <w:color w:val="auto"/>
        </w:rPr>
        <w:t xml:space="preserve"> </w:t>
      </w:r>
      <w:r>
        <w:rPr>
          <w:rFonts w:ascii="Arial" w:cs="Arial" w:eastAsia="Arial" w:hAnsi="Arial"/>
          <w:sz w:val="22"/>
          <w:szCs w:val="22"/>
          <w:color w:val="auto"/>
        </w:rPr>
        <w:t>A</w:t>
      </w:r>
      <w:r>
        <w:rPr>
          <w:rFonts w:ascii="Arial" w:cs="Arial" w:eastAsia="Arial" w:hAnsi="Arial"/>
          <w:sz w:val="14"/>
          <w:szCs w:val="14"/>
          <w:color w:val="auto"/>
        </w:rPr>
        <w:t>MENDMENT SHALL BE CONSTRUED IN ACCORDANCE WITH THE</w:t>
      </w:r>
      <w:r>
        <w:rPr>
          <w:rFonts w:ascii="Arial" w:cs="Arial" w:eastAsia="Arial" w:hAnsi="Arial"/>
          <w:sz w:val="22"/>
          <w:szCs w:val="22"/>
          <w:i w:val="1"/>
          <w:iCs w:val="1"/>
          <w:color w:val="auto"/>
        </w:rPr>
        <w:t xml:space="preserve"> </w:t>
      </w:r>
      <w:r>
        <w:rPr>
          <w:rFonts w:ascii="Arial" w:cs="Arial" w:eastAsia="Arial" w:hAnsi="Arial"/>
          <w:sz w:val="14"/>
          <w:szCs w:val="14"/>
          <w:color w:val="auto"/>
        </w:rPr>
        <w:t xml:space="preserve">INTERNAL LAWS OF THE </w:t>
      </w:r>
      <w:r>
        <w:rPr>
          <w:rFonts w:ascii="Arial" w:cs="Arial" w:eastAsia="Arial" w:hAnsi="Arial"/>
          <w:sz w:val="21"/>
          <w:szCs w:val="21"/>
          <w:color w:val="auto"/>
        </w:rPr>
        <w:t>S</w:t>
      </w:r>
      <w:r>
        <w:rPr>
          <w:rFonts w:ascii="Arial" w:cs="Arial" w:eastAsia="Arial" w:hAnsi="Arial"/>
          <w:sz w:val="14"/>
          <w:szCs w:val="14"/>
          <w:color w:val="auto"/>
        </w:rPr>
        <w:t xml:space="preserve">TATE OF </w:t>
      </w:r>
      <w:r>
        <w:rPr>
          <w:rFonts w:ascii="Arial" w:cs="Arial" w:eastAsia="Arial" w:hAnsi="Arial"/>
          <w:sz w:val="21"/>
          <w:szCs w:val="21"/>
          <w:color w:val="auto"/>
        </w:rPr>
        <w:t>N</w:t>
      </w:r>
      <w:r>
        <w:rPr>
          <w:rFonts w:ascii="Arial" w:cs="Arial" w:eastAsia="Arial" w:hAnsi="Arial"/>
          <w:sz w:val="14"/>
          <w:szCs w:val="14"/>
          <w:color w:val="auto"/>
        </w:rPr>
        <w:t xml:space="preserve">EW </w:t>
      </w:r>
      <w:r>
        <w:rPr>
          <w:rFonts w:ascii="Arial" w:cs="Arial" w:eastAsia="Arial" w:hAnsi="Arial"/>
          <w:sz w:val="21"/>
          <w:szCs w:val="21"/>
          <w:color w:val="auto"/>
        </w:rPr>
        <w:t>Y</w:t>
      </w:r>
      <w:r>
        <w:rPr>
          <w:rFonts w:ascii="Arial" w:cs="Arial" w:eastAsia="Arial" w:hAnsi="Arial"/>
          <w:sz w:val="14"/>
          <w:szCs w:val="14"/>
          <w:color w:val="auto"/>
        </w:rPr>
        <w:t>ORK</w:t>
      </w:r>
      <w:r>
        <w:rPr>
          <w:rFonts w:ascii="Arial" w:cs="Arial" w:eastAsia="Arial" w:hAnsi="Arial"/>
          <w:sz w:val="21"/>
          <w:szCs w:val="21"/>
          <w:color w:val="auto"/>
        </w:rPr>
        <w:t>,</w:t>
      </w:r>
      <w:r>
        <w:rPr>
          <w:rFonts w:ascii="Arial" w:cs="Arial" w:eastAsia="Arial" w:hAnsi="Arial"/>
          <w:sz w:val="14"/>
          <w:szCs w:val="14"/>
          <w:color w:val="auto"/>
        </w:rPr>
        <w:t xml:space="preserve"> WITHOUT REFERENCE TO CONFLICT OF LAW PRINCIPLES</w:t>
      </w:r>
      <w:r>
        <w:rPr>
          <w:rFonts w:ascii="Arial" w:cs="Arial" w:eastAsia="Arial" w:hAnsi="Arial"/>
          <w:sz w:val="21"/>
          <w:szCs w:val="21"/>
          <w:color w:val="auto"/>
        </w:rPr>
        <w:t>,</w:t>
      </w:r>
      <w:r>
        <w:rPr>
          <w:rFonts w:ascii="Arial" w:cs="Arial" w:eastAsia="Arial" w:hAnsi="Arial"/>
          <w:sz w:val="14"/>
          <w:szCs w:val="14"/>
          <w:color w:val="auto"/>
        </w:rPr>
        <w:t xml:space="preserve"> AND THE OBLIGATIONS</w:t>
      </w:r>
      <w:r>
        <w:rPr>
          <w:rFonts w:ascii="Arial" w:cs="Arial" w:eastAsia="Arial" w:hAnsi="Arial"/>
          <w:sz w:val="21"/>
          <w:szCs w:val="21"/>
          <w:color w:val="auto"/>
        </w:rPr>
        <w:t>,</w:t>
      </w:r>
      <w:r>
        <w:rPr>
          <w:rFonts w:ascii="Arial" w:cs="Arial" w:eastAsia="Arial" w:hAnsi="Arial"/>
          <w:sz w:val="14"/>
          <w:szCs w:val="14"/>
          <w:color w:val="auto"/>
        </w:rPr>
        <w:t xml:space="preserve"> RIGHTS AND REMEDIES OF THE PARTIES HEREUNDER SHALL BE DETERMINED IN ACCORDANCE WITH THE INTERNAL LAWS OF THE </w:t>
      </w:r>
      <w:r>
        <w:rPr>
          <w:rFonts w:ascii="Arial" w:cs="Arial" w:eastAsia="Arial" w:hAnsi="Arial"/>
          <w:sz w:val="21"/>
          <w:szCs w:val="21"/>
          <w:color w:val="auto"/>
        </w:rPr>
        <w:t>S</w:t>
      </w:r>
      <w:r>
        <w:rPr>
          <w:rFonts w:ascii="Arial" w:cs="Arial" w:eastAsia="Arial" w:hAnsi="Arial"/>
          <w:sz w:val="14"/>
          <w:szCs w:val="14"/>
          <w:color w:val="auto"/>
        </w:rPr>
        <w:t xml:space="preserve">TATE OF </w:t>
      </w:r>
      <w:r>
        <w:rPr>
          <w:rFonts w:ascii="Arial" w:cs="Arial" w:eastAsia="Arial" w:hAnsi="Arial"/>
          <w:sz w:val="21"/>
          <w:szCs w:val="21"/>
          <w:color w:val="auto"/>
        </w:rPr>
        <w:t>N</w:t>
      </w:r>
      <w:r>
        <w:rPr>
          <w:rFonts w:ascii="Arial" w:cs="Arial" w:eastAsia="Arial" w:hAnsi="Arial"/>
          <w:sz w:val="14"/>
          <w:szCs w:val="14"/>
          <w:color w:val="auto"/>
        </w:rPr>
        <w:t xml:space="preserve">EW </w:t>
      </w:r>
      <w:r>
        <w:rPr>
          <w:rFonts w:ascii="Arial" w:cs="Arial" w:eastAsia="Arial" w:hAnsi="Arial"/>
          <w:sz w:val="21"/>
          <w:szCs w:val="21"/>
          <w:color w:val="auto"/>
        </w:rPr>
        <w:t>Y</w:t>
      </w:r>
      <w:r>
        <w:rPr>
          <w:rFonts w:ascii="Arial" w:cs="Arial" w:eastAsia="Arial" w:hAnsi="Arial"/>
          <w:sz w:val="14"/>
          <w:szCs w:val="14"/>
          <w:color w:val="auto"/>
        </w:rPr>
        <w:t>ORK</w:t>
      </w:r>
      <w:r>
        <w:rPr>
          <w:rFonts w:ascii="Arial" w:cs="Arial" w:eastAsia="Arial" w:hAnsi="Arial"/>
          <w:sz w:val="21"/>
          <w:szCs w:val="21"/>
          <w:color w:val="auto"/>
        </w:rPr>
        <w:t>.</w:t>
      </w:r>
    </w:p>
    <w:p>
      <w:pPr>
        <w:spacing w:after="0" w:line="33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IGNATURE</w:t>
      </w:r>
      <w:r>
        <w:rPr>
          <w:rFonts w:ascii="Arial" w:cs="Arial" w:eastAsia="Arial" w:hAnsi="Arial"/>
          <w:sz w:val="22"/>
          <w:szCs w:val="22"/>
          <w:color w:val="auto"/>
        </w:rPr>
        <w:t xml:space="preserve"> P</w:t>
      </w:r>
      <w:r>
        <w:rPr>
          <w:rFonts w:ascii="Arial" w:cs="Arial" w:eastAsia="Arial" w:hAnsi="Arial"/>
          <w:sz w:val="14"/>
          <w:szCs w:val="14"/>
          <w:color w:val="auto"/>
        </w:rPr>
        <w:t>AGES</w:t>
      </w:r>
      <w:r>
        <w:rPr>
          <w:rFonts w:ascii="Arial" w:cs="Arial" w:eastAsia="Arial" w:hAnsi="Arial"/>
          <w:sz w:val="22"/>
          <w:szCs w:val="22"/>
          <w:color w:val="auto"/>
        </w:rPr>
        <w:t xml:space="preserve"> T</w:t>
      </w:r>
      <w:r>
        <w:rPr>
          <w:rFonts w:ascii="Arial" w:cs="Arial" w:eastAsia="Arial" w:hAnsi="Arial"/>
          <w:sz w:val="14"/>
          <w:szCs w:val="14"/>
          <w:color w:val="auto"/>
        </w:rPr>
        <w:t>O</w:t>
      </w:r>
      <w:r>
        <w:rPr>
          <w:rFonts w:ascii="Arial" w:cs="Arial" w:eastAsia="Arial" w:hAnsi="Arial"/>
          <w:sz w:val="22"/>
          <w:szCs w:val="22"/>
          <w:color w:val="auto"/>
        </w:rPr>
        <w:t xml:space="preserve"> F</w:t>
      </w:r>
      <w:r>
        <w:rPr>
          <w:rFonts w:ascii="Arial" w:cs="Arial" w:eastAsia="Arial" w:hAnsi="Arial"/>
          <w:sz w:val="14"/>
          <w:szCs w:val="14"/>
          <w:color w:val="auto"/>
        </w:rPr>
        <w:t>OLLOW</w:t>
      </w:r>
      <w:r>
        <w:rPr>
          <w:rFonts w:ascii="Arial" w:cs="Arial" w:eastAsia="Arial" w:hAnsi="Arial"/>
          <w:sz w:val="22"/>
          <w:szCs w:val="22"/>
          <w:color w:val="auto"/>
        </w:rPr>
        <w: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523875</wp:posOffset>
            </wp:positionV>
            <wp:extent cx="545211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3" w:name="page74"/>
    <w:bookmarkEnd w:id="73"/>
    <w:p>
      <w:pPr>
        <w:ind w:left="200" w:right="219" w:firstLine="648"/>
        <w:spacing w:after="0" w:line="300" w:lineRule="auto"/>
        <w:rPr>
          <w:sz w:val="20"/>
          <w:szCs w:val="20"/>
          <w:color w:val="auto"/>
        </w:rPr>
      </w:pPr>
      <w:r>
        <w:rPr>
          <w:rFonts w:ascii="Arial" w:cs="Arial" w:eastAsia="Arial" w:hAnsi="Arial"/>
          <w:sz w:val="20"/>
          <w:szCs w:val="20"/>
          <w:color w:val="auto"/>
        </w:rPr>
        <w:t>I</w:t>
      </w:r>
      <w:r>
        <w:rPr>
          <w:rFonts w:ascii="Arial" w:cs="Arial" w:eastAsia="Arial" w:hAnsi="Arial"/>
          <w:sz w:val="13"/>
          <w:szCs w:val="13"/>
          <w:color w:val="auto"/>
        </w:rPr>
        <w:t>N</w:t>
      </w:r>
      <w:r>
        <w:rPr>
          <w:rFonts w:ascii="Arial" w:cs="Arial" w:eastAsia="Arial" w:hAnsi="Arial"/>
          <w:sz w:val="20"/>
          <w:szCs w:val="20"/>
          <w:color w:val="auto"/>
        </w:rPr>
        <w:t xml:space="preserve"> W</w:t>
      </w:r>
      <w:r>
        <w:rPr>
          <w:rFonts w:ascii="Arial" w:cs="Arial" w:eastAsia="Arial" w:hAnsi="Arial"/>
          <w:sz w:val="13"/>
          <w:szCs w:val="13"/>
          <w:color w:val="auto"/>
        </w:rPr>
        <w:t>ITNESS</w:t>
      </w:r>
      <w:r>
        <w:rPr>
          <w:rFonts w:ascii="Arial" w:cs="Arial" w:eastAsia="Arial" w:hAnsi="Arial"/>
          <w:sz w:val="20"/>
          <w:szCs w:val="20"/>
          <w:color w:val="auto"/>
        </w:rPr>
        <w:t xml:space="preserve"> W</w:t>
      </w:r>
      <w:r>
        <w:rPr>
          <w:rFonts w:ascii="Arial" w:cs="Arial" w:eastAsia="Arial" w:hAnsi="Arial"/>
          <w:sz w:val="13"/>
          <w:szCs w:val="13"/>
          <w:color w:val="auto"/>
        </w:rPr>
        <w:t>HEREOF</w:t>
      </w:r>
      <w:r>
        <w:rPr>
          <w:rFonts w:ascii="Arial" w:cs="Arial" w:eastAsia="Arial" w:hAnsi="Arial"/>
          <w:sz w:val="20"/>
          <w:szCs w:val="20"/>
          <w:color w:val="auto"/>
        </w:rPr>
        <w:t>, the parties hereto have caused this Fourth Amendment to Credit Agreement to be executed and delivered by their duly authorized officers as of the date hereof.</w:t>
      </w:r>
    </w:p>
    <w:p>
      <w:pPr>
        <w:spacing w:after="0" w:line="276"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w:t>
      </w:r>
      <w:r>
        <w:rPr>
          <w:rFonts w:ascii="Arial" w:cs="Arial" w:eastAsia="Arial" w:hAnsi="Arial"/>
          <w:sz w:val="14"/>
          <w:szCs w:val="14"/>
          <w:color w:val="auto"/>
        </w:rPr>
        <w:t>ORROWER</w:t>
      </w:r>
      <w:r>
        <w:rPr>
          <w:rFonts w:ascii="Arial" w:cs="Arial" w:eastAsia="Arial" w:hAnsi="Arial"/>
          <w:sz w:val="22"/>
          <w:szCs w:val="22"/>
          <w:color w:val="auto"/>
        </w:rPr>
        <w:t>:</w:t>
      </w:r>
    </w:p>
    <w:p>
      <w:pPr>
        <w:spacing w:after="0" w:line="233"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R</w:t>
      </w:r>
      <w:r>
        <w:rPr>
          <w:rFonts w:ascii="Arial" w:cs="Arial" w:eastAsia="Arial" w:hAnsi="Arial"/>
          <w:sz w:val="14"/>
          <w:szCs w:val="14"/>
          <w:color w:val="auto"/>
        </w:rPr>
        <w:t>UNWAY</w:t>
      </w:r>
      <w:r>
        <w:rPr>
          <w:rFonts w:ascii="Arial" w:cs="Arial" w:eastAsia="Arial" w:hAnsi="Arial"/>
          <w:sz w:val="22"/>
          <w:szCs w:val="22"/>
          <w:color w:val="auto"/>
        </w:rPr>
        <w:t xml:space="preserve"> G</w:t>
      </w:r>
      <w:r>
        <w:rPr>
          <w:rFonts w:ascii="Arial" w:cs="Arial" w:eastAsia="Arial" w:hAnsi="Arial"/>
          <w:sz w:val="14"/>
          <w:szCs w:val="14"/>
          <w:color w:val="auto"/>
        </w:rPr>
        <w:t>ROWTH</w:t>
      </w:r>
      <w:r>
        <w:rPr>
          <w:rFonts w:ascii="Arial" w:cs="Arial" w:eastAsia="Arial" w:hAnsi="Arial"/>
          <w:sz w:val="22"/>
          <w:szCs w:val="22"/>
          <w:color w:val="auto"/>
        </w:rPr>
        <w:t xml:space="preserve"> C</w:t>
      </w:r>
      <w:r>
        <w:rPr>
          <w:rFonts w:ascii="Arial" w:cs="Arial" w:eastAsia="Arial" w:hAnsi="Arial"/>
          <w:sz w:val="14"/>
          <w:szCs w:val="14"/>
          <w:color w:val="auto"/>
        </w:rPr>
        <w:t>REDIT</w:t>
      </w:r>
      <w:r>
        <w:rPr>
          <w:rFonts w:ascii="Arial" w:cs="Arial" w:eastAsia="Arial" w:hAnsi="Arial"/>
          <w:sz w:val="22"/>
          <w:szCs w:val="22"/>
          <w:color w:val="auto"/>
        </w:rPr>
        <w:t xml:space="preserve"> F</w:t>
      </w:r>
      <w:r>
        <w:rPr>
          <w:rFonts w:ascii="Arial" w:cs="Arial" w:eastAsia="Arial" w:hAnsi="Arial"/>
          <w:sz w:val="14"/>
          <w:szCs w:val="14"/>
          <w:color w:val="auto"/>
        </w:rPr>
        <w:t>UND</w:t>
      </w:r>
      <w:r>
        <w:rPr>
          <w:rFonts w:ascii="Arial" w:cs="Arial" w:eastAsia="Arial" w:hAnsi="Arial"/>
          <w:sz w:val="22"/>
          <w:szCs w:val="22"/>
          <w:color w:val="auto"/>
        </w:rPr>
        <w:t xml:space="preserve"> I</w:t>
      </w:r>
      <w:r>
        <w:rPr>
          <w:rFonts w:ascii="Arial" w:cs="Arial" w:eastAsia="Arial" w:hAnsi="Arial"/>
          <w:sz w:val="14"/>
          <w:szCs w:val="14"/>
          <w:color w:val="auto"/>
        </w:rPr>
        <w:t>NC</w:t>
      </w:r>
      <w:r>
        <w:rPr>
          <w:rFonts w:ascii="Arial" w:cs="Arial" w:eastAsia="Arial" w:hAnsi="Arial"/>
          <w:sz w:val="22"/>
          <w:szCs w:val="22"/>
          <w:color w:val="auto"/>
        </w:rPr>
        <w:t>.</w:t>
      </w:r>
    </w:p>
    <w:p>
      <w:pPr>
        <w:spacing w:after="0" w:line="200" w:lineRule="exact"/>
        <w:rPr>
          <w:sz w:val="20"/>
          <w:szCs w:val="20"/>
          <w:color w:val="auto"/>
        </w:rPr>
      </w:pPr>
    </w:p>
    <w:p>
      <w:pPr>
        <w:spacing w:after="0" w:line="317"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-34925</wp:posOffset>
            </wp:positionV>
            <wp:extent cx="24771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11"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3340100</wp:posOffset>
            </wp:positionH>
            <wp:positionV relativeFrom="paragraph">
              <wp:posOffset>-34925</wp:posOffset>
            </wp:positionV>
            <wp:extent cx="21431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1"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-34925</wp:posOffset>
            </wp:positionV>
            <wp:extent cx="221170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Fourth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523875</wp:posOffset>
            </wp:positionV>
            <wp:extent cx="545211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74" w:name="page75"/>
    <w:bookmarkEnd w:id="74"/>
    <w:p>
      <w:pPr>
        <w:ind w:left="4420"/>
        <w:spacing w:after="0"/>
        <w:rPr>
          <w:sz w:val="20"/>
          <w:szCs w:val="20"/>
          <w:color w:val="auto"/>
        </w:rPr>
      </w:pPr>
      <w:r>
        <w:rPr>
          <w:rFonts w:ascii="Arial" w:cs="Arial" w:eastAsia="Arial" w:hAnsi="Arial"/>
          <w:sz w:val="20"/>
          <w:szCs w:val="20"/>
          <w:color w:val="auto"/>
        </w:rPr>
        <w:t>M</w:t>
      </w:r>
      <w:r>
        <w:rPr>
          <w:rFonts w:ascii="Arial" w:cs="Arial" w:eastAsia="Arial" w:hAnsi="Arial"/>
          <w:sz w:val="13"/>
          <w:szCs w:val="13"/>
          <w:color w:val="auto"/>
        </w:rPr>
        <w:t>ANAGING</w:t>
      </w:r>
      <w:r>
        <w:rPr>
          <w:rFonts w:ascii="Arial" w:cs="Arial" w:eastAsia="Arial" w:hAnsi="Arial"/>
          <w:sz w:val="20"/>
          <w:szCs w:val="20"/>
          <w:color w:val="auto"/>
        </w:rPr>
        <w:t xml:space="preserve"> A</w:t>
      </w:r>
      <w:r>
        <w:rPr>
          <w:rFonts w:ascii="Arial" w:cs="Arial" w:eastAsia="Arial" w:hAnsi="Arial"/>
          <w:sz w:val="13"/>
          <w:szCs w:val="13"/>
          <w:color w:val="auto"/>
        </w:rPr>
        <w:t>GENT</w:t>
      </w:r>
      <w:r>
        <w:rPr>
          <w:rFonts w:ascii="Arial" w:cs="Arial" w:eastAsia="Arial" w:hAnsi="Arial"/>
          <w:sz w:val="20"/>
          <w:szCs w:val="20"/>
          <w:color w:val="auto"/>
        </w:rPr>
        <w:t xml:space="preserve"> for the KeyBank Lender Group:</w:t>
      </w:r>
    </w:p>
    <w:p>
      <w:pPr>
        <w:spacing w:after="0" w:line="270"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K</w:t>
      </w:r>
      <w:r>
        <w:rPr>
          <w:rFonts w:ascii="Arial" w:cs="Arial" w:eastAsia="Arial" w:hAnsi="Arial"/>
          <w:sz w:val="14"/>
          <w:szCs w:val="14"/>
          <w:color w:val="auto"/>
        </w:rPr>
        <w:t>EY</w:t>
      </w:r>
      <w:r>
        <w:rPr>
          <w:rFonts w:ascii="Arial" w:cs="Arial" w:eastAsia="Arial" w:hAnsi="Arial"/>
          <w:sz w:val="22"/>
          <w:szCs w:val="22"/>
          <w:color w:val="auto"/>
        </w:rPr>
        <w:t>B</w:t>
      </w:r>
      <w:r>
        <w:rPr>
          <w:rFonts w:ascii="Arial" w:cs="Arial" w:eastAsia="Arial" w:hAnsi="Arial"/>
          <w:sz w:val="14"/>
          <w:szCs w:val="14"/>
          <w:color w:val="auto"/>
        </w:rPr>
        <w:t>ANK</w:t>
      </w:r>
      <w:r>
        <w:rPr>
          <w:rFonts w:ascii="Arial" w:cs="Arial" w:eastAsia="Arial" w:hAnsi="Arial"/>
          <w:sz w:val="22"/>
          <w:szCs w:val="22"/>
          <w:color w:val="auto"/>
        </w:rPr>
        <w:t xml:space="preserve"> N</w:t>
      </w:r>
      <w:r>
        <w:rPr>
          <w:rFonts w:ascii="Arial" w:cs="Arial" w:eastAsia="Arial" w:hAnsi="Arial"/>
          <w:sz w:val="14"/>
          <w:szCs w:val="14"/>
          <w:color w:val="auto"/>
        </w:rPr>
        <w:t>ATIONAL</w:t>
      </w:r>
      <w:r>
        <w:rPr>
          <w:rFonts w:ascii="Arial" w:cs="Arial" w:eastAsia="Arial" w:hAnsi="Arial"/>
          <w:sz w:val="22"/>
          <w:szCs w:val="22"/>
          <w:color w:val="auto"/>
        </w:rPr>
        <w:t xml:space="preserve"> A</w:t>
      </w:r>
      <w:r>
        <w:rPr>
          <w:rFonts w:ascii="Arial" w:cs="Arial" w:eastAsia="Arial" w:hAnsi="Arial"/>
          <w:sz w:val="14"/>
          <w:szCs w:val="14"/>
          <w:color w:val="auto"/>
        </w:rPr>
        <w:t>SSOCIATION</w:t>
      </w:r>
    </w:p>
    <w:p>
      <w:pPr>
        <w:spacing w:after="0" w:line="200" w:lineRule="exact"/>
        <w:rPr>
          <w:sz w:val="20"/>
          <w:szCs w:val="20"/>
          <w:color w:val="auto"/>
        </w:rPr>
      </w:pPr>
    </w:p>
    <w:p>
      <w:pPr>
        <w:spacing w:after="0" w:line="330"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-34925</wp:posOffset>
            </wp:positionV>
            <wp:extent cx="24771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1"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3340100</wp:posOffset>
            </wp:positionH>
            <wp:positionV relativeFrom="paragraph">
              <wp:posOffset>-34925</wp:posOffset>
            </wp:positionV>
            <wp:extent cx="21431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1"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-34925</wp:posOffset>
            </wp:positionV>
            <wp:extent cx="221170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13"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L</w:t>
      </w:r>
      <w:r>
        <w:rPr>
          <w:rFonts w:ascii="Arial" w:cs="Arial" w:eastAsia="Arial" w:hAnsi="Arial"/>
          <w:sz w:val="14"/>
          <w:szCs w:val="14"/>
          <w:color w:val="auto"/>
        </w:rPr>
        <w:t>ENDER</w:t>
      </w:r>
      <w:r>
        <w:rPr>
          <w:rFonts w:ascii="Arial" w:cs="Arial" w:eastAsia="Arial" w:hAnsi="Arial"/>
          <w:sz w:val="22"/>
          <w:szCs w:val="22"/>
          <w:color w:val="auto"/>
        </w:rPr>
        <w:t xml:space="preserve"> for the KeyBank Lender Group:</w:t>
      </w:r>
    </w:p>
    <w:p>
      <w:pPr>
        <w:spacing w:after="0" w:line="247"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K</w:t>
      </w:r>
      <w:r>
        <w:rPr>
          <w:rFonts w:ascii="Arial" w:cs="Arial" w:eastAsia="Arial" w:hAnsi="Arial"/>
          <w:sz w:val="14"/>
          <w:szCs w:val="14"/>
          <w:color w:val="auto"/>
        </w:rPr>
        <w:t>EY</w:t>
      </w:r>
      <w:r>
        <w:rPr>
          <w:rFonts w:ascii="Arial" w:cs="Arial" w:eastAsia="Arial" w:hAnsi="Arial"/>
          <w:sz w:val="22"/>
          <w:szCs w:val="22"/>
          <w:color w:val="auto"/>
        </w:rPr>
        <w:t>B</w:t>
      </w:r>
      <w:r>
        <w:rPr>
          <w:rFonts w:ascii="Arial" w:cs="Arial" w:eastAsia="Arial" w:hAnsi="Arial"/>
          <w:sz w:val="14"/>
          <w:szCs w:val="14"/>
          <w:color w:val="auto"/>
        </w:rPr>
        <w:t>ANK</w:t>
      </w:r>
      <w:r>
        <w:rPr>
          <w:rFonts w:ascii="Arial" w:cs="Arial" w:eastAsia="Arial" w:hAnsi="Arial"/>
          <w:sz w:val="22"/>
          <w:szCs w:val="22"/>
          <w:color w:val="auto"/>
        </w:rPr>
        <w:t xml:space="preserve"> N</w:t>
      </w:r>
      <w:r>
        <w:rPr>
          <w:rFonts w:ascii="Arial" w:cs="Arial" w:eastAsia="Arial" w:hAnsi="Arial"/>
          <w:sz w:val="14"/>
          <w:szCs w:val="14"/>
          <w:color w:val="auto"/>
        </w:rPr>
        <w:t>ATIONAL</w:t>
      </w:r>
      <w:r>
        <w:rPr>
          <w:rFonts w:ascii="Arial" w:cs="Arial" w:eastAsia="Arial" w:hAnsi="Arial"/>
          <w:sz w:val="22"/>
          <w:szCs w:val="22"/>
          <w:color w:val="auto"/>
        </w:rPr>
        <w:t xml:space="preserve"> A</w:t>
      </w:r>
      <w:r>
        <w:rPr>
          <w:rFonts w:ascii="Arial" w:cs="Arial" w:eastAsia="Arial" w:hAnsi="Arial"/>
          <w:sz w:val="14"/>
          <w:szCs w:val="14"/>
          <w:color w:val="auto"/>
        </w:rPr>
        <w:t>SSOCIATION</w:t>
      </w:r>
    </w:p>
    <w:p>
      <w:pPr>
        <w:spacing w:after="0" w:line="200" w:lineRule="exact"/>
        <w:rPr>
          <w:sz w:val="20"/>
          <w:szCs w:val="20"/>
          <w:color w:val="auto"/>
        </w:rPr>
      </w:pPr>
    </w:p>
    <w:p>
      <w:pPr>
        <w:spacing w:after="0" w:line="330"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-34925</wp:posOffset>
            </wp:positionV>
            <wp:extent cx="24771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1"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3340100</wp:posOffset>
            </wp:positionH>
            <wp:positionV relativeFrom="paragraph">
              <wp:posOffset>-34925</wp:posOffset>
            </wp:positionV>
            <wp:extent cx="21431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11"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-34925</wp:posOffset>
            </wp:positionV>
            <wp:extent cx="221170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Fourth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538480</wp:posOffset>
            </wp:positionV>
            <wp:extent cx="545211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5" w:name="page76"/>
    <w:bookmarkEnd w:id="75"/>
    <w:p>
      <w:pPr>
        <w:ind w:left="4420"/>
        <w:spacing w:after="0"/>
        <w:rPr>
          <w:sz w:val="20"/>
          <w:szCs w:val="20"/>
          <w:color w:val="auto"/>
        </w:rPr>
      </w:pPr>
      <w:r>
        <w:rPr>
          <w:rFonts w:ascii="Arial" w:cs="Arial" w:eastAsia="Arial" w:hAnsi="Arial"/>
          <w:sz w:val="22"/>
          <w:szCs w:val="22"/>
          <w:color w:val="auto"/>
        </w:rPr>
        <w:t>A</w:t>
      </w:r>
      <w:r>
        <w:rPr>
          <w:rFonts w:ascii="Arial" w:cs="Arial" w:eastAsia="Arial" w:hAnsi="Arial"/>
          <w:sz w:val="14"/>
          <w:szCs w:val="14"/>
          <w:color w:val="auto"/>
        </w:rPr>
        <w:t>DMINISTRATIVE</w:t>
      </w:r>
      <w:r>
        <w:rPr>
          <w:rFonts w:ascii="Arial" w:cs="Arial" w:eastAsia="Arial" w:hAnsi="Arial"/>
          <w:sz w:val="22"/>
          <w:szCs w:val="22"/>
          <w:color w:val="auto"/>
        </w:rPr>
        <w:t xml:space="preserve"> A</w:t>
      </w:r>
      <w:r>
        <w:rPr>
          <w:rFonts w:ascii="Arial" w:cs="Arial" w:eastAsia="Arial" w:hAnsi="Arial"/>
          <w:sz w:val="14"/>
          <w:szCs w:val="14"/>
          <w:color w:val="auto"/>
        </w:rPr>
        <w:t>GENT</w:t>
      </w:r>
      <w:r>
        <w:rPr>
          <w:rFonts w:ascii="Arial" w:cs="Arial" w:eastAsia="Arial" w:hAnsi="Arial"/>
          <w:sz w:val="22"/>
          <w:szCs w:val="22"/>
          <w:color w:val="auto"/>
        </w:rPr>
        <w:t>:</w:t>
      </w:r>
    </w:p>
    <w:p>
      <w:pPr>
        <w:spacing w:after="0" w:line="247" w:lineRule="exact"/>
        <w:rPr>
          <w:sz w:val="20"/>
          <w:szCs w:val="20"/>
          <w:color w:val="auto"/>
        </w:rPr>
      </w:pPr>
    </w:p>
    <w:p>
      <w:pPr>
        <w:jc w:val="right"/>
        <w:ind w:right="1839"/>
        <w:spacing w:after="0"/>
        <w:rPr>
          <w:sz w:val="20"/>
          <w:szCs w:val="20"/>
          <w:color w:val="auto"/>
        </w:rPr>
      </w:pPr>
      <w:r>
        <w:rPr>
          <w:rFonts w:ascii="Arial" w:cs="Arial" w:eastAsia="Arial" w:hAnsi="Arial"/>
          <w:sz w:val="22"/>
          <w:szCs w:val="22"/>
          <w:color w:val="auto"/>
        </w:rPr>
        <w:t>K</w:t>
      </w:r>
      <w:r>
        <w:rPr>
          <w:rFonts w:ascii="Arial" w:cs="Arial" w:eastAsia="Arial" w:hAnsi="Arial"/>
          <w:sz w:val="14"/>
          <w:szCs w:val="14"/>
          <w:color w:val="auto"/>
        </w:rPr>
        <w:t>EY</w:t>
      </w:r>
      <w:r>
        <w:rPr>
          <w:rFonts w:ascii="Arial" w:cs="Arial" w:eastAsia="Arial" w:hAnsi="Arial"/>
          <w:sz w:val="22"/>
          <w:szCs w:val="22"/>
          <w:color w:val="auto"/>
        </w:rPr>
        <w:t>B</w:t>
      </w:r>
      <w:r>
        <w:rPr>
          <w:rFonts w:ascii="Arial" w:cs="Arial" w:eastAsia="Arial" w:hAnsi="Arial"/>
          <w:sz w:val="14"/>
          <w:szCs w:val="14"/>
          <w:color w:val="auto"/>
        </w:rPr>
        <w:t>ANK</w:t>
      </w:r>
      <w:r>
        <w:rPr>
          <w:rFonts w:ascii="Arial" w:cs="Arial" w:eastAsia="Arial" w:hAnsi="Arial"/>
          <w:sz w:val="22"/>
          <w:szCs w:val="22"/>
          <w:color w:val="auto"/>
        </w:rPr>
        <w:t xml:space="preserve"> N</w:t>
      </w:r>
      <w:r>
        <w:rPr>
          <w:rFonts w:ascii="Arial" w:cs="Arial" w:eastAsia="Arial" w:hAnsi="Arial"/>
          <w:sz w:val="14"/>
          <w:szCs w:val="14"/>
          <w:color w:val="auto"/>
        </w:rPr>
        <w:t>ATIONAL</w:t>
      </w:r>
      <w:r>
        <w:rPr>
          <w:rFonts w:ascii="Arial" w:cs="Arial" w:eastAsia="Arial" w:hAnsi="Arial"/>
          <w:sz w:val="22"/>
          <w:szCs w:val="22"/>
          <w:color w:val="auto"/>
        </w:rPr>
        <w:t xml:space="preserve"> A</w:t>
      </w:r>
      <w:r>
        <w:rPr>
          <w:rFonts w:ascii="Arial" w:cs="Arial" w:eastAsia="Arial" w:hAnsi="Arial"/>
          <w:sz w:val="14"/>
          <w:szCs w:val="14"/>
          <w:color w:val="auto"/>
        </w:rPr>
        <w:t>SSOCIATION</w:t>
      </w:r>
    </w:p>
    <w:p>
      <w:pPr>
        <w:spacing w:after="0" w:line="200" w:lineRule="exact"/>
        <w:rPr>
          <w:sz w:val="20"/>
          <w:szCs w:val="20"/>
          <w:color w:val="auto"/>
        </w:rPr>
      </w:pPr>
    </w:p>
    <w:p>
      <w:pPr>
        <w:spacing w:after="0" w:line="330"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-34925</wp:posOffset>
            </wp:positionV>
            <wp:extent cx="24771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1"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3340100</wp:posOffset>
            </wp:positionH>
            <wp:positionV relativeFrom="paragraph">
              <wp:posOffset>-34925</wp:posOffset>
            </wp:positionV>
            <wp:extent cx="21431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1"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-34925</wp:posOffset>
            </wp:positionV>
            <wp:extent cx="221170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Fourth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538480</wp:posOffset>
            </wp:positionV>
            <wp:extent cx="545211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6" w:name="page77"/>
    <w:bookmarkEnd w:id="76"/>
    <w:p>
      <w:pPr>
        <w:jc w:val="right"/>
        <w:ind w:right="579"/>
        <w:spacing w:after="0"/>
        <w:rPr>
          <w:sz w:val="20"/>
          <w:szCs w:val="20"/>
          <w:color w:val="auto"/>
        </w:rPr>
      </w:pPr>
      <w:r>
        <w:rPr>
          <w:rFonts w:ascii="Arial" w:cs="Arial" w:eastAsia="Arial" w:hAnsi="Arial"/>
          <w:sz w:val="22"/>
          <w:szCs w:val="22"/>
          <w:color w:val="auto"/>
        </w:rPr>
        <w:t>M</w:t>
      </w:r>
      <w:r>
        <w:rPr>
          <w:rFonts w:ascii="Arial" w:cs="Arial" w:eastAsia="Arial" w:hAnsi="Arial"/>
          <w:sz w:val="14"/>
          <w:szCs w:val="14"/>
          <w:color w:val="auto"/>
        </w:rPr>
        <w:t>ANAGING</w:t>
      </w:r>
      <w:r>
        <w:rPr>
          <w:rFonts w:ascii="Arial" w:cs="Arial" w:eastAsia="Arial" w:hAnsi="Arial"/>
          <w:sz w:val="22"/>
          <w:szCs w:val="22"/>
          <w:color w:val="auto"/>
        </w:rPr>
        <w:t xml:space="preserve"> A</w:t>
      </w:r>
      <w:r>
        <w:rPr>
          <w:rFonts w:ascii="Arial" w:cs="Arial" w:eastAsia="Arial" w:hAnsi="Arial"/>
          <w:sz w:val="14"/>
          <w:szCs w:val="14"/>
          <w:color w:val="auto"/>
        </w:rPr>
        <w:t>GENT</w:t>
      </w:r>
      <w:r>
        <w:rPr>
          <w:rFonts w:ascii="Arial" w:cs="Arial" w:eastAsia="Arial" w:hAnsi="Arial"/>
          <w:sz w:val="22"/>
          <w:szCs w:val="22"/>
          <w:color w:val="auto"/>
        </w:rPr>
        <w:t xml:space="preserve"> for the CIBC Bank USA Lender</w:t>
      </w:r>
    </w:p>
    <w:p>
      <w:pPr>
        <w:spacing w:after="0" w:line="8"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Group:</w:t>
      </w:r>
    </w:p>
    <w:p>
      <w:pPr>
        <w:spacing w:after="0" w:line="215"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CIBC B</w:t>
      </w:r>
      <w:r>
        <w:rPr>
          <w:rFonts w:ascii="Arial" w:cs="Arial" w:eastAsia="Arial" w:hAnsi="Arial"/>
          <w:sz w:val="14"/>
          <w:szCs w:val="14"/>
          <w:color w:val="auto"/>
        </w:rPr>
        <w:t>ANK</w:t>
      </w:r>
      <w:r>
        <w:rPr>
          <w:rFonts w:ascii="Arial" w:cs="Arial" w:eastAsia="Arial" w:hAnsi="Arial"/>
          <w:sz w:val="22"/>
          <w:szCs w:val="22"/>
          <w:color w:val="auto"/>
        </w:rPr>
        <w:t xml:space="preserve"> USA</w:t>
      </w:r>
    </w:p>
    <w:p>
      <w:pPr>
        <w:spacing w:after="0" w:line="200" w:lineRule="exact"/>
        <w:rPr>
          <w:sz w:val="20"/>
          <w:szCs w:val="20"/>
          <w:color w:val="auto"/>
        </w:rPr>
      </w:pPr>
    </w:p>
    <w:p>
      <w:pPr>
        <w:spacing w:after="0" w:line="344"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-34925</wp:posOffset>
            </wp:positionV>
            <wp:extent cx="269176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11"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-34925</wp:posOffset>
            </wp:positionV>
            <wp:extent cx="231457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11" w:lineRule="exact"/>
        <w:rPr>
          <w:sz w:val="20"/>
          <w:szCs w:val="20"/>
          <w:color w:val="auto"/>
        </w:rPr>
      </w:pPr>
    </w:p>
    <w:p>
      <w:pPr>
        <w:jc w:val="center"/>
        <w:ind w:right="-2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-34925</wp:posOffset>
            </wp:positionV>
            <wp:extent cx="237426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1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L</w:t>
      </w:r>
      <w:r>
        <w:rPr>
          <w:rFonts w:ascii="Arial" w:cs="Arial" w:eastAsia="Arial" w:hAnsi="Arial"/>
          <w:sz w:val="13"/>
          <w:szCs w:val="13"/>
          <w:color w:val="auto"/>
        </w:rPr>
        <w:t>ENDER</w:t>
      </w:r>
      <w:r>
        <w:rPr>
          <w:rFonts w:ascii="Arial" w:cs="Arial" w:eastAsia="Arial" w:hAnsi="Arial"/>
          <w:sz w:val="20"/>
          <w:szCs w:val="20"/>
          <w:color w:val="auto"/>
        </w:rPr>
        <w:t xml:space="preserve"> for the CIBC BANK USA Lender Group:</w:t>
      </w:r>
    </w:p>
    <w:p>
      <w:pPr>
        <w:spacing w:after="0" w:line="270"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CIBC B</w:t>
      </w:r>
      <w:r>
        <w:rPr>
          <w:rFonts w:ascii="Arial" w:cs="Arial" w:eastAsia="Arial" w:hAnsi="Arial"/>
          <w:sz w:val="14"/>
          <w:szCs w:val="14"/>
          <w:color w:val="auto"/>
        </w:rPr>
        <w:t>ANK</w:t>
      </w:r>
      <w:r>
        <w:rPr>
          <w:rFonts w:ascii="Arial" w:cs="Arial" w:eastAsia="Arial" w:hAnsi="Arial"/>
          <w:sz w:val="22"/>
          <w:szCs w:val="22"/>
          <w:color w:val="auto"/>
        </w:rPr>
        <w:t xml:space="preserve"> USA</w:t>
      </w:r>
    </w:p>
    <w:p>
      <w:pPr>
        <w:spacing w:after="0" w:line="200" w:lineRule="exact"/>
        <w:rPr>
          <w:sz w:val="20"/>
          <w:szCs w:val="20"/>
          <w:color w:val="auto"/>
        </w:rPr>
      </w:pPr>
    </w:p>
    <w:p>
      <w:pPr>
        <w:spacing w:after="0" w:line="330"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-34925</wp:posOffset>
            </wp:positionV>
            <wp:extent cx="269176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11"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-34925</wp:posOffset>
            </wp:positionV>
            <wp:extent cx="236601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1"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-34925</wp:posOffset>
            </wp:positionV>
            <wp:extent cx="24257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Fourth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538480</wp:posOffset>
            </wp:positionV>
            <wp:extent cx="545211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75" w:right="1440" w:bottom="1440" w:gutter="0" w:footer="0" w:header="0"/>
        </w:sectPr>
      </w:pPr>
    </w:p>
    <w:bookmarkStart w:id="77" w:name="page78"/>
    <w:bookmarkEnd w:id="77"/>
    <w:p>
      <w:pPr>
        <w:jc w:val="right"/>
        <w:ind w:right="499"/>
        <w:spacing w:after="0"/>
        <w:rPr>
          <w:sz w:val="20"/>
          <w:szCs w:val="20"/>
          <w:color w:val="auto"/>
        </w:rPr>
      </w:pPr>
      <w:r>
        <w:rPr>
          <w:rFonts w:ascii="Arial" w:cs="Arial" w:eastAsia="Arial" w:hAnsi="Arial"/>
          <w:sz w:val="22"/>
          <w:szCs w:val="22"/>
          <w:color w:val="auto"/>
        </w:rPr>
        <w:t>M</w:t>
      </w:r>
      <w:r>
        <w:rPr>
          <w:rFonts w:ascii="Arial" w:cs="Arial" w:eastAsia="Arial" w:hAnsi="Arial"/>
          <w:sz w:val="14"/>
          <w:szCs w:val="14"/>
          <w:color w:val="auto"/>
        </w:rPr>
        <w:t>ANAGING</w:t>
      </w:r>
      <w:r>
        <w:rPr>
          <w:rFonts w:ascii="Arial" w:cs="Arial" w:eastAsia="Arial" w:hAnsi="Arial"/>
          <w:sz w:val="22"/>
          <w:szCs w:val="22"/>
          <w:color w:val="auto"/>
        </w:rPr>
        <w:t xml:space="preserve"> A</w:t>
      </w:r>
      <w:r>
        <w:rPr>
          <w:rFonts w:ascii="Arial" w:cs="Arial" w:eastAsia="Arial" w:hAnsi="Arial"/>
          <w:sz w:val="14"/>
          <w:szCs w:val="14"/>
          <w:color w:val="auto"/>
        </w:rPr>
        <w:t>GENT</w:t>
      </w:r>
      <w:r>
        <w:rPr>
          <w:rFonts w:ascii="Arial" w:cs="Arial" w:eastAsia="Arial" w:hAnsi="Arial"/>
          <w:sz w:val="22"/>
          <w:szCs w:val="22"/>
          <w:color w:val="auto"/>
        </w:rPr>
        <w:t xml:space="preserve"> for the MUFG Union Bank, N.A.</w:t>
      </w:r>
    </w:p>
    <w:p>
      <w:pPr>
        <w:spacing w:after="0" w:line="8"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Lender Group:</w:t>
      </w:r>
    </w:p>
    <w:p>
      <w:pPr>
        <w:spacing w:after="0" w:line="215"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MUFG U</w:t>
      </w:r>
      <w:r>
        <w:rPr>
          <w:rFonts w:ascii="Arial" w:cs="Arial" w:eastAsia="Arial" w:hAnsi="Arial"/>
          <w:sz w:val="14"/>
          <w:szCs w:val="14"/>
          <w:color w:val="auto"/>
        </w:rPr>
        <w:t>NION</w:t>
      </w:r>
      <w:r>
        <w:rPr>
          <w:rFonts w:ascii="Arial" w:cs="Arial" w:eastAsia="Arial" w:hAnsi="Arial"/>
          <w:sz w:val="22"/>
          <w:szCs w:val="22"/>
          <w:color w:val="auto"/>
        </w:rPr>
        <w:t xml:space="preserve"> B</w:t>
      </w:r>
      <w:r>
        <w:rPr>
          <w:rFonts w:ascii="Arial" w:cs="Arial" w:eastAsia="Arial" w:hAnsi="Arial"/>
          <w:sz w:val="14"/>
          <w:szCs w:val="14"/>
          <w:color w:val="auto"/>
        </w:rPr>
        <w:t>ANK</w:t>
      </w:r>
      <w:r>
        <w:rPr>
          <w:rFonts w:ascii="Arial" w:cs="Arial" w:eastAsia="Arial" w:hAnsi="Arial"/>
          <w:sz w:val="22"/>
          <w:szCs w:val="22"/>
          <w:color w:val="auto"/>
        </w:rPr>
        <w:t>, N.A.</w:t>
      </w:r>
    </w:p>
    <w:p>
      <w:pPr>
        <w:spacing w:after="0" w:line="200" w:lineRule="exact"/>
        <w:rPr>
          <w:sz w:val="20"/>
          <w:szCs w:val="20"/>
          <w:color w:val="auto"/>
        </w:rPr>
      </w:pPr>
    </w:p>
    <w:p>
      <w:pPr>
        <w:spacing w:after="0" w:line="344"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-34925</wp:posOffset>
            </wp:positionV>
            <wp:extent cx="269176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11"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-34925</wp:posOffset>
            </wp:positionV>
            <wp:extent cx="23145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11" w:lineRule="exact"/>
        <w:rPr>
          <w:sz w:val="20"/>
          <w:szCs w:val="20"/>
          <w:color w:val="auto"/>
        </w:rPr>
      </w:pPr>
    </w:p>
    <w:p>
      <w:pPr>
        <w:jc w:val="center"/>
        <w:ind w:right="-2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-34925</wp:posOffset>
            </wp:positionV>
            <wp:extent cx="237426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1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L</w:t>
      </w:r>
      <w:r>
        <w:rPr>
          <w:rFonts w:ascii="Arial" w:cs="Arial" w:eastAsia="Arial" w:hAnsi="Arial"/>
          <w:sz w:val="13"/>
          <w:szCs w:val="13"/>
          <w:color w:val="auto"/>
        </w:rPr>
        <w:t>ENDER</w:t>
      </w:r>
      <w:r>
        <w:rPr>
          <w:rFonts w:ascii="Arial" w:cs="Arial" w:eastAsia="Arial" w:hAnsi="Arial"/>
          <w:sz w:val="20"/>
          <w:szCs w:val="20"/>
          <w:color w:val="auto"/>
        </w:rPr>
        <w:t xml:space="preserve"> for the MUFG Union Bank, N.A. Lender</w:t>
      </w:r>
    </w:p>
    <w:p>
      <w:pPr>
        <w:spacing w:after="0" w:line="31"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Group:</w:t>
      </w:r>
    </w:p>
    <w:p>
      <w:pPr>
        <w:spacing w:after="0" w:line="229"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MUFG U</w:t>
      </w:r>
      <w:r>
        <w:rPr>
          <w:rFonts w:ascii="Arial" w:cs="Arial" w:eastAsia="Arial" w:hAnsi="Arial"/>
          <w:sz w:val="14"/>
          <w:szCs w:val="14"/>
          <w:color w:val="auto"/>
        </w:rPr>
        <w:t>NION</w:t>
      </w:r>
      <w:r>
        <w:rPr>
          <w:rFonts w:ascii="Arial" w:cs="Arial" w:eastAsia="Arial" w:hAnsi="Arial"/>
          <w:sz w:val="22"/>
          <w:szCs w:val="22"/>
          <w:color w:val="auto"/>
        </w:rPr>
        <w:t xml:space="preserve"> B</w:t>
      </w:r>
      <w:r>
        <w:rPr>
          <w:rFonts w:ascii="Arial" w:cs="Arial" w:eastAsia="Arial" w:hAnsi="Arial"/>
          <w:sz w:val="14"/>
          <w:szCs w:val="14"/>
          <w:color w:val="auto"/>
        </w:rPr>
        <w:t>ANK</w:t>
      </w:r>
      <w:r>
        <w:rPr>
          <w:rFonts w:ascii="Arial" w:cs="Arial" w:eastAsia="Arial" w:hAnsi="Arial"/>
          <w:sz w:val="22"/>
          <w:szCs w:val="22"/>
          <w:color w:val="auto"/>
        </w:rPr>
        <w:t>, N.A.</w:t>
      </w:r>
    </w:p>
    <w:p>
      <w:pPr>
        <w:spacing w:after="0" w:line="200" w:lineRule="exact"/>
        <w:rPr>
          <w:sz w:val="20"/>
          <w:szCs w:val="20"/>
          <w:color w:val="auto"/>
        </w:rPr>
      </w:pPr>
    </w:p>
    <w:p>
      <w:pPr>
        <w:spacing w:after="0" w:line="330"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-34925</wp:posOffset>
            </wp:positionV>
            <wp:extent cx="269176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11"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-34925</wp:posOffset>
            </wp:positionV>
            <wp:extent cx="231457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11" w:lineRule="exact"/>
        <w:rPr>
          <w:sz w:val="20"/>
          <w:szCs w:val="20"/>
          <w:color w:val="auto"/>
        </w:rPr>
      </w:pPr>
    </w:p>
    <w:p>
      <w:pPr>
        <w:jc w:val="center"/>
        <w:ind w:right="-2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-34925</wp:posOffset>
            </wp:positionV>
            <wp:extent cx="237426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Fourth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538480</wp:posOffset>
            </wp:positionV>
            <wp:extent cx="545211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75" w:right="1440" w:bottom="1440" w:gutter="0" w:footer="0" w:header="0"/>
        </w:sectPr>
      </w:pPr>
    </w:p>
    <w:bookmarkStart w:id="78" w:name="page79"/>
    <w:bookmarkEnd w:id="78"/>
    <w:p>
      <w:pPr>
        <w:ind w:left="4420"/>
        <w:spacing w:after="0"/>
        <w:rPr>
          <w:sz w:val="20"/>
          <w:szCs w:val="20"/>
          <w:color w:val="auto"/>
        </w:rPr>
      </w:pPr>
      <w:r>
        <w:rPr>
          <w:rFonts w:ascii="Arial" w:cs="Arial" w:eastAsia="Arial" w:hAnsi="Arial"/>
          <w:sz w:val="20"/>
          <w:szCs w:val="20"/>
          <w:color w:val="auto"/>
        </w:rPr>
        <w:t>M</w:t>
      </w:r>
      <w:r>
        <w:rPr>
          <w:rFonts w:ascii="Arial" w:cs="Arial" w:eastAsia="Arial" w:hAnsi="Arial"/>
          <w:sz w:val="13"/>
          <w:szCs w:val="13"/>
          <w:color w:val="auto"/>
        </w:rPr>
        <w:t>ANAGING</w:t>
      </w:r>
      <w:r>
        <w:rPr>
          <w:rFonts w:ascii="Arial" w:cs="Arial" w:eastAsia="Arial" w:hAnsi="Arial"/>
          <w:sz w:val="20"/>
          <w:szCs w:val="20"/>
          <w:color w:val="auto"/>
        </w:rPr>
        <w:t xml:space="preserve"> A</w:t>
      </w:r>
      <w:r>
        <w:rPr>
          <w:rFonts w:ascii="Arial" w:cs="Arial" w:eastAsia="Arial" w:hAnsi="Arial"/>
          <w:sz w:val="13"/>
          <w:szCs w:val="13"/>
          <w:color w:val="auto"/>
        </w:rPr>
        <w:t>GENT</w:t>
      </w:r>
      <w:r>
        <w:rPr>
          <w:rFonts w:ascii="Arial" w:cs="Arial" w:eastAsia="Arial" w:hAnsi="Arial"/>
          <w:sz w:val="20"/>
          <w:szCs w:val="20"/>
          <w:color w:val="auto"/>
        </w:rPr>
        <w:t xml:space="preserve"> for the Bank of Hope Lender</w:t>
      </w:r>
    </w:p>
    <w:p>
      <w:pPr>
        <w:spacing w:after="0" w:line="31"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Group:</w:t>
      </w:r>
    </w:p>
    <w:p>
      <w:pPr>
        <w:spacing w:after="0" w:line="215"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w:t>
      </w:r>
      <w:r>
        <w:rPr>
          <w:rFonts w:ascii="Arial" w:cs="Arial" w:eastAsia="Arial" w:hAnsi="Arial"/>
          <w:sz w:val="14"/>
          <w:szCs w:val="14"/>
          <w:color w:val="auto"/>
        </w:rPr>
        <w:t>ANK OF</w:t>
      </w:r>
      <w:r>
        <w:rPr>
          <w:rFonts w:ascii="Arial" w:cs="Arial" w:eastAsia="Arial" w:hAnsi="Arial"/>
          <w:sz w:val="22"/>
          <w:szCs w:val="22"/>
          <w:color w:val="auto"/>
        </w:rPr>
        <w:t xml:space="preserve"> H</w:t>
      </w:r>
      <w:r>
        <w:rPr>
          <w:rFonts w:ascii="Arial" w:cs="Arial" w:eastAsia="Arial" w:hAnsi="Arial"/>
          <w:sz w:val="14"/>
          <w:szCs w:val="14"/>
          <w:color w:val="auto"/>
        </w:rPr>
        <w:t>OPE</w:t>
      </w:r>
    </w:p>
    <w:p>
      <w:pPr>
        <w:spacing w:after="0" w:line="200" w:lineRule="exact"/>
        <w:rPr>
          <w:sz w:val="20"/>
          <w:szCs w:val="20"/>
          <w:color w:val="auto"/>
        </w:rPr>
      </w:pPr>
    </w:p>
    <w:p>
      <w:pPr>
        <w:spacing w:after="0" w:line="344"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-34925</wp:posOffset>
            </wp:positionV>
            <wp:extent cx="24771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1"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3340100</wp:posOffset>
            </wp:positionH>
            <wp:positionV relativeFrom="paragraph">
              <wp:posOffset>-34925</wp:posOffset>
            </wp:positionV>
            <wp:extent cx="21431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11"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-34925</wp:posOffset>
            </wp:positionV>
            <wp:extent cx="221170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L</w:t>
      </w:r>
      <w:r>
        <w:rPr>
          <w:rFonts w:ascii="Arial" w:cs="Arial" w:eastAsia="Arial" w:hAnsi="Arial"/>
          <w:sz w:val="13"/>
          <w:szCs w:val="13"/>
          <w:color w:val="auto"/>
        </w:rPr>
        <w:t>ENDER</w:t>
      </w:r>
      <w:r>
        <w:rPr>
          <w:rFonts w:ascii="Arial" w:cs="Arial" w:eastAsia="Arial" w:hAnsi="Arial"/>
          <w:sz w:val="20"/>
          <w:szCs w:val="20"/>
          <w:color w:val="auto"/>
        </w:rPr>
        <w:t xml:space="preserve"> for the Bank of Hope Lender Group:</w:t>
      </w:r>
    </w:p>
    <w:p>
      <w:pPr>
        <w:spacing w:after="0" w:line="270"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w:t>
      </w:r>
      <w:r>
        <w:rPr>
          <w:rFonts w:ascii="Arial" w:cs="Arial" w:eastAsia="Arial" w:hAnsi="Arial"/>
          <w:sz w:val="14"/>
          <w:szCs w:val="14"/>
          <w:color w:val="auto"/>
        </w:rPr>
        <w:t>ANK OF</w:t>
      </w:r>
      <w:r>
        <w:rPr>
          <w:rFonts w:ascii="Arial" w:cs="Arial" w:eastAsia="Arial" w:hAnsi="Arial"/>
          <w:sz w:val="22"/>
          <w:szCs w:val="22"/>
          <w:color w:val="auto"/>
        </w:rPr>
        <w:t xml:space="preserve"> H</w:t>
      </w:r>
      <w:r>
        <w:rPr>
          <w:rFonts w:ascii="Arial" w:cs="Arial" w:eastAsia="Arial" w:hAnsi="Arial"/>
          <w:sz w:val="14"/>
          <w:szCs w:val="14"/>
          <w:color w:val="auto"/>
        </w:rPr>
        <w:t>OPE</w:t>
      </w:r>
    </w:p>
    <w:p>
      <w:pPr>
        <w:spacing w:after="0" w:line="200" w:lineRule="exact"/>
        <w:rPr>
          <w:sz w:val="20"/>
          <w:szCs w:val="20"/>
          <w:color w:val="auto"/>
        </w:rPr>
      </w:pPr>
    </w:p>
    <w:p>
      <w:pPr>
        <w:spacing w:after="0" w:line="330"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-34925</wp:posOffset>
            </wp:positionV>
            <wp:extent cx="24771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1"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3340100</wp:posOffset>
            </wp:positionH>
            <wp:positionV relativeFrom="paragraph">
              <wp:posOffset>-34925</wp:posOffset>
            </wp:positionV>
            <wp:extent cx="21431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11"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-34925</wp:posOffset>
            </wp:positionV>
            <wp:extent cx="221170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Fourth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538480</wp:posOffset>
            </wp:positionV>
            <wp:extent cx="545211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75" w:right="1440" w:bottom="1440" w:gutter="0" w:footer="0" w:header="0"/>
        </w:sectPr>
      </w:pPr>
    </w:p>
    <w:bookmarkStart w:id="79" w:name="page80"/>
    <w:bookmarkEnd w:id="79"/>
    <w:p>
      <w:pPr>
        <w:ind w:left="4420"/>
        <w:spacing w:after="0"/>
        <w:rPr>
          <w:sz w:val="20"/>
          <w:szCs w:val="20"/>
          <w:color w:val="auto"/>
        </w:rPr>
      </w:pPr>
      <w:r>
        <w:rPr>
          <w:rFonts w:ascii="Arial" w:cs="Arial" w:eastAsia="Arial" w:hAnsi="Arial"/>
          <w:sz w:val="20"/>
          <w:szCs w:val="20"/>
          <w:color w:val="auto"/>
        </w:rPr>
        <w:t>M</w:t>
      </w:r>
      <w:r>
        <w:rPr>
          <w:rFonts w:ascii="Arial" w:cs="Arial" w:eastAsia="Arial" w:hAnsi="Arial"/>
          <w:sz w:val="13"/>
          <w:szCs w:val="13"/>
          <w:color w:val="auto"/>
        </w:rPr>
        <w:t>ANAGING</w:t>
      </w:r>
      <w:r>
        <w:rPr>
          <w:rFonts w:ascii="Arial" w:cs="Arial" w:eastAsia="Arial" w:hAnsi="Arial"/>
          <w:sz w:val="20"/>
          <w:szCs w:val="20"/>
          <w:color w:val="auto"/>
        </w:rPr>
        <w:t xml:space="preserve"> A</w:t>
      </w:r>
      <w:r>
        <w:rPr>
          <w:rFonts w:ascii="Arial" w:cs="Arial" w:eastAsia="Arial" w:hAnsi="Arial"/>
          <w:sz w:val="13"/>
          <w:szCs w:val="13"/>
          <w:color w:val="auto"/>
        </w:rPr>
        <w:t>GENT</w:t>
      </w:r>
      <w:r>
        <w:rPr>
          <w:rFonts w:ascii="Arial" w:cs="Arial" w:eastAsia="Arial" w:hAnsi="Arial"/>
          <w:sz w:val="20"/>
          <w:szCs w:val="20"/>
          <w:color w:val="auto"/>
        </w:rPr>
        <w:t xml:space="preserve"> for the First Foundation Bank</w:t>
      </w:r>
    </w:p>
    <w:p>
      <w:pPr>
        <w:spacing w:after="0" w:line="31"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Lender Group:</w:t>
      </w:r>
    </w:p>
    <w:p>
      <w:pPr>
        <w:spacing w:after="0" w:line="215"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F</w:t>
      </w:r>
      <w:r>
        <w:rPr>
          <w:rFonts w:ascii="Arial" w:cs="Arial" w:eastAsia="Arial" w:hAnsi="Arial"/>
          <w:sz w:val="14"/>
          <w:szCs w:val="14"/>
          <w:color w:val="auto"/>
        </w:rPr>
        <w:t>IRST</w:t>
      </w:r>
      <w:r>
        <w:rPr>
          <w:rFonts w:ascii="Arial" w:cs="Arial" w:eastAsia="Arial" w:hAnsi="Arial"/>
          <w:sz w:val="22"/>
          <w:szCs w:val="22"/>
          <w:color w:val="auto"/>
        </w:rPr>
        <w:t xml:space="preserve"> F</w:t>
      </w:r>
      <w:r>
        <w:rPr>
          <w:rFonts w:ascii="Arial" w:cs="Arial" w:eastAsia="Arial" w:hAnsi="Arial"/>
          <w:sz w:val="14"/>
          <w:szCs w:val="14"/>
          <w:color w:val="auto"/>
        </w:rPr>
        <w:t>OUNDATION</w:t>
      </w:r>
      <w:r>
        <w:rPr>
          <w:rFonts w:ascii="Arial" w:cs="Arial" w:eastAsia="Arial" w:hAnsi="Arial"/>
          <w:sz w:val="22"/>
          <w:szCs w:val="22"/>
          <w:color w:val="auto"/>
        </w:rPr>
        <w:t xml:space="preserve"> B</w:t>
      </w:r>
      <w:r>
        <w:rPr>
          <w:rFonts w:ascii="Arial" w:cs="Arial" w:eastAsia="Arial" w:hAnsi="Arial"/>
          <w:sz w:val="14"/>
          <w:szCs w:val="14"/>
          <w:color w:val="auto"/>
        </w:rPr>
        <w:t>ANK</w:t>
      </w:r>
    </w:p>
    <w:p>
      <w:pPr>
        <w:spacing w:after="0" w:line="200" w:lineRule="exact"/>
        <w:rPr>
          <w:sz w:val="20"/>
          <w:szCs w:val="20"/>
          <w:color w:val="auto"/>
        </w:rPr>
      </w:pPr>
    </w:p>
    <w:p>
      <w:pPr>
        <w:spacing w:after="0" w:line="344"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-34925</wp:posOffset>
            </wp:positionV>
            <wp:extent cx="24771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11"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3340100</wp:posOffset>
            </wp:positionH>
            <wp:positionV relativeFrom="paragraph">
              <wp:posOffset>-34925</wp:posOffset>
            </wp:positionV>
            <wp:extent cx="21431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11"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-34925</wp:posOffset>
            </wp:positionV>
            <wp:extent cx="221170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13"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L</w:t>
      </w:r>
      <w:r>
        <w:rPr>
          <w:rFonts w:ascii="Arial" w:cs="Arial" w:eastAsia="Arial" w:hAnsi="Arial"/>
          <w:sz w:val="13"/>
          <w:szCs w:val="13"/>
          <w:color w:val="auto"/>
        </w:rPr>
        <w:t>ENDER</w:t>
      </w:r>
      <w:r>
        <w:rPr>
          <w:rFonts w:ascii="Arial" w:cs="Arial" w:eastAsia="Arial" w:hAnsi="Arial"/>
          <w:sz w:val="20"/>
          <w:szCs w:val="20"/>
          <w:color w:val="auto"/>
        </w:rPr>
        <w:t xml:space="preserve"> for the First Foundation Bank Lender</w:t>
      </w:r>
    </w:p>
    <w:p>
      <w:pPr>
        <w:spacing w:after="0" w:line="31"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Group:</w:t>
      </w:r>
    </w:p>
    <w:p>
      <w:pPr>
        <w:spacing w:after="0" w:line="229"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F</w:t>
      </w:r>
      <w:r>
        <w:rPr>
          <w:rFonts w:ascii="Arial" w:cs="Arial" w:eastAsia="Arial" w:hAnsi="Arial"/>
          <w:sz w:val="14"/>
          <w:szCs w:val="14"/>
          <w:color w:val="auto"/>
        </w:rPr>
        <w:t>IRST</w:t>
      </w:r>
      <w:r>
        <w:rPr>
          <w:rFonts w:ascii="Arial" w:cs="Arial" w:eastAsia="Arial" w:hAnsi="Arial"/>
          <w:sz w:val="22"/>
          <w:szCs w:val="22"/>
          <w:color w:val="auto"/>
        </w:rPr>
        <w:t xml:space="preserve"> F</w:t>
      </w:r>
      <w:r>
        <w:rPr>
          <w:rFonts w:ascii="Arial" w:cs="Arial" w:eastAsia="Arial" w:hAnsi="Arial"/>
          <w:sz w:val="14"/>
          <w:szCs w:val="14"/>
          <w:color w:val="auto"/>
        </w:rPr>
        <w:t>OUNDATION</w:t>
      </w:r>
      <w:r>
        <w:rPr>
          <w:rFonts w:ascii="Arial" w:cs="Arial" w:eastAsia="Arial" w:hAnsi="Arial"/>
          <w:sz w:val="22"/>
          <w:szCs w:val="22"/>
          <w:color w:val="auto"/>
        </w:rPr>
        <w:t xml:space="preserve"> B</w:t>
      </w:r>
      <w:r>
        <w:rPr>
          <w:rFonts w:ascii="Arial" w:cs="Arial" w:eastAsia="Arial" w:hAnsi="Arial"/>
          <w:sz w:val="14"/>
          <w:szCs w:val="14"/>
          <w:color w:val="auto"/>
        </w:rPr>
        <w:t>ANK</w:t>
      </w:r>
    </w:p>
    <w:p>
      <w:pPr>
        <w:spacing w:after="0" w:line="200" w:lineRule="exact"/>
        <w:rPr>
          <w:sz w:val="20"/>
          <w:szCs w:val="20"/>
          <w:color w:val="auto"/>
        </w:rPr>
      </w:pPr>
    </w:p>
    <w:p>
      <w:pPr>
        <w:spacing w:after="0" w:line="330"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-34925</wp:posOffset>
            </wp:positionV>
            <wp:extent cx="24771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1"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3340100</wp:posOffset>
            </wp:positionH>
            <wp:positionV relativeFrom="paragraph">
              <wp:posOffset>-34925</wp:posOffset>
            </wp:positionV>
            <wp:extent cx="21431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11"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-34925</wp:posOffset>
            </wp:positionV>
            <wp:extent cx="221170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Fourth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538480</wp:posOffset>
            </wp:positionV>
            <wp:extent cx="545211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75" w:right="1440" w:bottom="1440" w:gutter="0" w:footer="0" w:header="0"/>
        </w:sectPr>
      </w:pPr>
    </w:p>
    <w:bookmarkStart w:id="80" w:name="page81"/>
    <w:bookmarkEnd w:id="80"/>
    <w:p>
      <w:pPr>
        <w:ind w:left="200"/>
        <w:spacing w:after="0"/>
        <w:rPr>
          <w:sz w:val="20"/>
          <w:szCs w:val="20"/>
          <w:color w:val="auto"/>
        </w:rPr>
      </w:pPr>
      <w:r>
        <w:rPr>
          <w:rFonts w:ascii="Arial" w:cs="Arial" w:eastAsia="Arial" w:hAnsi="Arial"/>
          <w:sz w:val="22"/>
          <w:szCs w:val="22"/>
          <w:color w:val="auto"/>
        </w:rPr>
        <w:t>A</w:t>
      </w:r>
      <w:r>
        <w:rPr>
          <w:rFonts w:ascii="Arial" w:cs="Arial" w:eastAsia="Arial" w:hAnsi="Arial"/>
          <w:sz w:val="14"/>
          <w:szCs w:val="14"/>
          <w:color w:val="auto"/>
        </w:rPr>
        <w:t>CKNOWLEDGED AND AGREED</w:t>
      </w:r>
      <w:r>
        <w:rPr>
          <w:rFonts w:ascii="Arial" w:cs="Arial" w:eastAsia="Arial" w:hAnsi="Arial"/>
          <w:sz w:val="22"/>
          <w:szCs w:val="22"/>
          <w:color w:val="auto"/>
        </w:rPr>
        <w:t>:</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22"/>
          <w:szCs w:val="22"/>
          <w:color w:val="auto"/>
        </w:rPr>
        <w:t>P</w:t>
      </w:r>
      <w:r>
        <w:rPr>
          <w:rFonts w:ascii="Arial" w:cs="Arial" w:eastAsia="Arial" w:hAnsi="Arial"/>
          <w:sz w:val="14"/>
          <w:szCs w:val="14"/>
          <w:color w:val="auto"/>
        </w:rPr>
        <w:t>AYING</w:t>
      </w:r>
      <w:r>
        <w:rPr>
          <w:rFonts w:ascii="Arial" w:cs="Arial" w:eastAsia="Arial" w:hAnsi="Arial"/>
          <w:sz w:val="22"/>
          <w:szCs w:val="22"/>
          <w:color w:val="auto"/>
        </w:rPr>
        <w:t xml:space="preserve"> A</w:t>
      </w:r>
      <w:r>
        <w:rPr>
          <w:rFonts w:ascii="Arial" w:cs="Arial" w:eastAsia="Arial" w:hAnsi="Arial"/>
          <w:sz w:val="14"/>
          <w:szCs w:val="14"/>
          <w:color w:val="auto"/>
        </w:rPr>
        <w:t>GENT</w:t>
      </w:r>
      <w:r>
        <w:rPr>
          <w:rFonts w:ascii="Arial" w:cs="Arial" w:eastAsia="Arial" w:hAnsi="Arial"/>
          <w:sz w:val="22"/>
          <w:szCs w:val="22"/>
          <w:color w:val="auto"/>
        </w:rPr>
        <w:t>:</w:t>
      </w:r>
    </w:p>
    <w:p>
      <w:pPr>
        <w:spacing w:after="0" w:line="247" w:lineRule="exact"/>
        <w:rPr>
          <w:sz w:val="20"/>
          <w:szCs w:val="20"/>
          <w:color w:val="auto"/>
        </w:rPr>
      </w:pPr>
    </w:p>
    <w:p>
      <w:pPr>
        <w:ind w:left="200"/>
        <w:spacing w:after="0"/>
        <w:rPr>
          <w:sz w:val="20"/>
          <w:szCs w:val="20"/>
          <w:color w:val="auto"/>
        </w:rPr>
      </w:pPr>
      <w:r>
        <w:rPr>
          <w:rFonts w:ascii="Arial" w:cs="Arial" w:eastAsia="Arial" w:hAnsi="Arial"/>
          <w:sz w:val="22"/>
          <w:szCs w:val="22"/>
          <w:color w:val="auto"/>
        </w:rPr>
        <w:t>U.S. B</w:t>
      </w:r>
      <w:r>
        <w:rPr>
          <w:rFonts w:ascii="Arial" w:cs="Arial" w:eastAsia="Arial" w:hAnsi="Arial"/>
          <w:sz w:val="14"/>
          <w:szCs w:val="14"/>
          <w:color w:val="auto"/>
        </w:rPr>
        <w:t>ANK</w:t>
      </w:r>
      <w:r>
        <w:rPr>
          <w:rFonts w:ascii="Arial" w:cs="Arial" w:eastAsia="Arial" w:hAnsi="Arial"/>
          <w:sz w:val="22"/>
          <w:szCs w:val="22"/>
          <w:color w:val="auto"/>
        </w:rPr>
        <w:t xml:space="preserve"> N</w:t>
      </w:r>
      <w:r>
        <w:rPr>
          <w:rFonts w:ascii="Arial" w:cs="Arial" w:eastAsia="Arial" w:hAnsi="Arial"/>
          <w:sz w:val="14"/>
          <w:szCs w:val="14"/>
          <w:color w:val="auto"/>
        </w:rPr>
        <w:t>ATIONAL</w:t>
      </w:r>
      <w:r>
        <w:rPr>
          <w:rFonts w:ascii="Arial" w:cs="Arial" w:eastAsia="Arial" w:hAnsi="Arial"/>
          <w:sz w:val="22"/>
          <w:szCs w:val="22"/>
          <w:color w:val="auto"/>
        </w:rPr>
        <w:t xml:space="preserve"> A</w:t>
      </w:r>
      <w:r>
        <w:rPr>
          <w:rFonts w:ascii="Arial" w:cs="Arial" w:eastAsia="Arial" w:hAnsi="Arial"/>
          <w:sz w:val="14"/>
          <w:szCs w:val="14"/>
          <w:color w:val="auto"/>
        </w:rPr>
        <w:t>SSOCIATION</w:t>
      </w:r>
    </w:p>
    <w:p>
      <w:pPr>
        <w:spacing w:after="0" w:line="200" w:lineRule="exact"/>
        <w:rPr>
          <w:sz w:val="20"/>
          <w:szCs w:val="20"/>
          <w:color w:val="auto"/>
        </w:rPr>
      </w:pPr>
    </w:p>
    <w:p>
      <w:pPr>
        <w:spacing w:after="0" w:line="330" w:lineRule="exact"/>
        <w:rPr>
          <w:sz w:val="20"/>
          <w:szCs w:val="20"/>
          <w:color w:val="auto"/>
        </w:rPr>
      </w:pPr>
    </w:p>
    <w:p>
      <w:pPr>
        <w:ind w:left="2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-34925</wp:posOffset>
            </wp:positionV>
            <wp:extent cx="18599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1" w:lineRule="exact"/>
        <w:rPr>
          <w:sz w:val="20"/>
          <w:szCs w:val="20"/>
          <w:color w:val="auto"/>
        </w:rPr>
      </w:pPr>
    </w:p>
    <w:p>
      <w:pPr>
        <w:ind w:left="2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-34925</wp:posOffset>
            </wp:positionV>
            <wp:extent cx="169735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-29210</wp:posOffset>
            </wp:positionV>
            <wp:extent cx="16459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Fourth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538480</wp:posOffset>
            </wp:positionV>
            <wp:extent cx="545211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1" w:name="page82"/>
    <w:bookmarkEnd w:id="81"/>
    <w:p>
      <w:pPr>
        <w:jc w:val="right"/>
        <w:ind w:right="219"/>
        <w:spacing w:after="0"/>
        <w:rPr>
          <w:sz w:val="20"/>
          <w:szCs w:val="20"/>
          <w:color w:val="auto"/>
        </w:rPr>
      </w:pPr>
      <w:r>
        <w:rPr>
          <w:rFonts w:ascii="Arial" w:cs="Arial" w:eastAsia="Arial" w:hAnsi="Arial"/>
          <w:sz w:val="22"/>
          <w:szCs w:val="22"/>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AMENDED AND RESTATED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ADMINISTRATION AGREEMENT</w:t>
      </w:r>
    </w:p>
    <w:p>
      <w:pPr>
        <w:spacing w:after="0" w:line="213" w:lineRule="exact"/>
        <w:rPr>
          <w:sz w:val="20"/>
          <w:szCs w:val="20"/>
          <w:color w:val="auto"/>
        </w:rPr>
      </w:pPr>
    </w:p>
    <w:p>
      <w:pPr>
        <w:jc w:val="both"/>
        <w:ind w:left="200" w:right="219" w:firstLine="648"/>
        <w:spacing w:after="0" w:line="246" w:lineRule="auto"/>
        <w:rPr>
          <w:sz w:val="20"/>
          <w:szCs w:val="20"/>
          <w:color w:val="auto"/>
        </w:rPr>
      </w:pPr>
      <w:r>
        <w:rPr>
          <w:rFonts w:ascii="Arial" w:cs="Arial" w:eastAsia="Arial" w:hAnsi="Arial"/>
          <w:sz w:val="20"/>
          <w:szCs w:val="20"/>
          <w:color w:val="auto"/>
        </w:rPr>
        <w:t>This Amended and Restated Administration Agreement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is made as of June 28, 2021 by and between RUNWAY GROWTH CREDIT FUND INC., a Maryland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xml:space="preserve">”), and </w:t>
      </w:r>
      <w:r>
        <w:rPr>
          <w:rFonts w:ascii="Arial" w:cs="Arial" w:eastAsia="Arial" w:hAnsi="Arial"/>
          <w:sz w:val="17"/>
          <w:szCs w:val="17"/>
          <w:color w:val="auto"/>
        </w:rPr>
        <w:t>RUNWAY ADMINISTRATOR SERVICES LLC</w:t>
      </w:r>
      <w:r>
        <w:rPr>
          <w:rFonts w:ascii="Arial" w:cs="Arial" w:eastAsia="Arial" w:hAnsi="Arial"/>
          <w:sz w:val="20"/>
          <w:szCs w:val="20"/>
          <w:color w:val="auto"/>
        </w:rPr>
        <w:t>, a Delaware limited liability company (the “</w:t>
      </w:r>
      <w:r>
        <w:rPr>
          <w:rFonts w:ascii="Arial" w:cs="Arial" w:eastAsia="Arial" w:hAnsi="Arial"/>
          <w:sz w:val="20"/>
          <w:szCs w:val="20"/>
          <w:b w:val="1"/>
          <w:bCs w:val="1"/>
          <w:i w:val="1"/>
          <w:iCs w:val="1"/>
          <w:color w:val="auto"/>
        </w:rPr>
        <w:t>Administrator</w:t>
      </w:r>
      <w:r>
        <w:rPr>
          <w:rFonts w:ascii="Arial" w:cs="Arial" w:eastAsia="Arial" w:hAnsi="Arial"/>
          <w:sz w:val="20"/>
          <w:szCs w:val="20"/>
          <w:color w:val="auto"/>
        </w:rPr>
        <w:t>”).</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WITNESSETH:</w:t>
      </w:r>
    </w:p>
    <w:p>
      <w:pPr>
        <w:spacing w:after="0" w:line="235" w:lineRule="exact"/>
        <w:rPr>
          <w:sz w:val="20"/>
          <w:szCs w:val="20"/>
          <w:color w:val="auto"/>
        </w:rPr>
      </w:pPr>
    </w:p>
    <w:p>
      <w:pPr>
        <w:jc w:val="both"/>
        <w:ind w:left="200" w:right="219" w:firstLine="648"/>
        <w:spacing w:after="0" w:line="287" w:lineRule="auto"/>
        <w:rPr>
          <w:sz w:val="20"/>
          <w:szCs w:val="20"/>
          <w:color w:val="auto"/>
        </w:rPr>
      </w:pPr>
      <w:r>
        <w:rPr>
          <w:rFonts w:ascii="Arial" w:cs="Arial" w:eastAsia="Arial" w:hAnsi="Arial"/>
          <w:sz w:val="19"/>
          <w:szCs w:val="19"/>
          <w:color w:val="auto"/>
        </w:rPr>
        <w:t>WHEREAS, the Company has elected to be regulated as a business development company under the Investment Company Act of 1940, as amended (the “</w:t>
      </w:r>
      <w:r>
        <w:rPr>
          <w:rFonts w:ascii="Arial" w:cs="Arial" w:eastAsia="Arial" w:hAnsi="Arial"/>
          <w:sz w:val="19"/>
          <w:szCs w:val="19"/>
          <w:b w:val="1"/>
          <w:bCs w:val="1"/>
          <w:i w:val="1"/>
          <w:iCs w:val="1"/>
          <w:color w:val="auto"/>
        </w:rPr>
        <w:t>Investment Company Act</w:t>
      </w:r>
      <w:r>
        <w:rPr>
          <w:rFonts w:ascii="Arial" w:cs="Arial" w:eastAsia="Arial" w:hAnsi="Arial"/>
          <w:sz w:val="19"/>
          <w:szCs w:val="19"/>
          <w:color w:val="auto"/>
        </w:rPr>
        <w:t xml:space="preserve">”); </w:t>
      </w:r>
      <w:r>
        <w:rPr>
          <w:rFonts w:ascii="Arial" w:cs="Arial" w:eastAsia="Arial" w:hAnsi="Arial"/>
          <w:sz w:val="19"/>
          <w:szCs w:val="19"/>
          <w:u w:val="single" w:color="auto"/>
          <w:color w:val="auto"/>
        </w:rPr>
        <w:t>and</w:t>
      </w:r>
    </w:p>
    <w:p>
      <w:pPr>
        <w:spacing w:after="0" w:line="166" w:lineRule="exact"/>
        <w:rPr>
          <w:sz w:val="20"/>
          <w:szCs w:val="20"/>
          <w:color w:val="auto"/>
        </w:rPr>
      </w:pPr>
    </w:p>
    <w:p>
      <w:pPr>
        <w:jc w:val="both"/>
        <w:ind w:left="200" w:right="219" w:firstLine="648"/>
        <w:spacing w:after="0" w:line="316" w:lineRule="auto"/>
        <w:rPr>
          <w:sz w:val="20"/>
          <w:szCs w:val="20"/>
          <w:color w:val="auto"/>
        </w:rPr>
      </w:pPr>
      <w:r>
        <w:rPr>
          <w:rFonts w:ascii="Arial" w:cs="Arial" w:eastAsia="Arial" w:hAnsi="Arial"/>
          <w:sz w:val="18"/>
          <w:szCs w:val="18"/>
          <w:color w:val="auto"/>
        </w:rPr>
        <w:t>WHEREAS, the Company and the Administrator are parties to the administration agreement, dated December 15, 2016, by and between the Company and the Administrator (the “</w:t>
      </w:r>
      <w:r>
        <w:rPr>
          <w:rFonts w:ascii="Arial" w:cs="Arial" w:eastAsia="Arial" w:hAnsi="Arial"/>
          <w:sz w:val="18"/>
          <w:szCs w:val="18"/>
          <w:b w:val="1"/>
          <w:bCs w:val="1"/>
          <w:i w:val="1"/>
          <w:iCs w:val="1"/>
          <w:color w:val="auto"/>
        </w:rPr>
        <w:t>Prior Agreement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w:t>
      </w:r>
    </w:p>
    <w:p>
      <w:pPr>
        <w:spacing w:after="0" w:line="143" w:lineRule="exact"/>
        <w:rPr>
          <w:sz w:val="20"/>
          <w:szCs w:val="20"/>
          <w:color w:val="auto"/>
        </w:rPr>
      </w:pPr>
    </w:p>
    <w:p>
      <w:pPr>
        <w:jc w:val="both"/>
        <w:ind w:left="200" w:right="239" w:firstLine="648"/>
        <w:spacing w:after="0" w:line="260" w:lineRule="auto"/>
        <w:rPr>
          <w:sz w:val="20"/>
          <w:szCs w:val="20"/>
          <w:color w:val="auto"/>
        </w:rPr>
      </w:pPr>
      <w:r>
        <w:rPr>
          <w:rFonts w:ascii="Arial" w:cs="Arial" w:eastAsia="Arial" w:hAnsi="Arial"/>
          <w:sz w:val="20"/>
          <w:szCs w:val="20"/>
          <w:color w:val="auto"/>
        </w:rPr>
        <w:t>WHEREAS, the Company and the Administrator wish to amend and restate the Prior Agreement on the terms and conditions hereinafter set forth.</w:t>
      </w:r>
    </w:p>
    <w:p>
      <w:pPr>
        <w:spacing w:after="0" w:line="190"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0"/>
          <w:szCs w:val="20"/>
          <w:color w:val="auto"/>
        </w:rPr>
        <w:t>NOW, THEREFORE, in consideration of the premises and the covenants hereinafter contained and for other good and valuable consideration, the receipt and adequacy of which is hereby acknowledged, the Company and the Administrator hereby agree as follows:</w:t>
      </w:r>
    </w:p>
    <w:p>
      <w:pPr>
        <w:spacing w:after="0" w:line="193" w:lineRule="exact"/>
        <w:rPr>
          <w:sz w:val="20"/>
          <w:szCs w:val="20"/>
          <w:color w:val="auto"/>
        </w:rPr>
      </w:pPr>
    </w:p>
    <w:p>
      <w:pPr>
        <w:ind w:left="1180" w:hanging="647"/>
        <w:spacing w:after="0"/>
        <w:tabs>
          <w:tab w:leader="none" w:pos="1180"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Duties of the Administrator</w:t>
      </w:r>
    </w:p>
    <w:p>
      <w:pPr>
        <w:spacing w:after="0" w:line="235" w:lineRule="exact"/>
        <w:rPr>
          <w:rFonts w:ascii="Arial" w:cs="Arial" w:eastAsia="Arial" w:hAnsi="Arial"/>
          <w:sz w:val="20"/>
          <w:szCs w:val="20"/>
          <w:b w:val="1"/>
          <w:bCs w:val="1"/>
          <w:color w:val="auto"/>
        </w:rPr>
      </w:pPr>
    </w:p>
    <w:p>
      <w:pPr>
        <w:jc w:val="both"/>
        <w:ind w:left="200" w:right="219" w:firstLine="1305"/>
        <w:spacing w:after="0" w:line="255" w:lineRule="auto"/>
        <w:tabs>
          <w:tab w:leader="none" w:pos="1779" w:val="left"/>
        </w:tabs>
        <w:numPr>
          <w:ilvl w:val="1"/>
          <w:numId w:val="44"/>
        </w:numPr>
        <w:rPr>
          <w:rFonts w:ascii="Arial" w:cs="Arial" w:eastAsia="Arial" w:hAnsi="Arial"/>
          <w:sz w:val="19"/>
          <w:szCs w:val="19"/>
          <w:color w:val="auto"/>
        </w:rPr>
      </w:pPr>
      <w:r>
        <w:rPr>
          <w:rFonts w:ascii="Arial" w:cs="Arial" w:eastAsia="Arial" w:hAnsi="Arial"/>
          <w:sz w:val="19"/>
          <w:szCs w:val="19"/>
          <w:u w:val="single" w:color="auto"/>
          <w:color w:val="auto"/>
        </w:rPr>
        <w:t>Employment of Administrator.</w:t>
      </w:r>
      <w:r>
        <w:rPr>
          <w:rFonts w:ascii="Arial" w:cs="Arial" w:eastAsia="Arial" w:hAnsi="Arial"/>
          <w:sz w:val="19"/>
          <w:szCs w:val="19"/>
          <w:color w:val="auto"/>
        </w:rPr>
        <w:t xml:space="preserve"> The Company hereby employs the Administrator to act as administrator of the Company, and to furnish, or arrange for others to furnish, the administrative services, personnel and facilities described below, subject to review by and the overall control of the Board of Directors of the Company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for the period and on the terms and conditions set forth in this Agreement. The Administrator hereby accepts such employment and agrees during such period to render, or arrange for the rendering of, such services and to assume the obligations herein set forth subject to the reimbursement of costs and expenses provided for below. The Administrator and such others shall for all purposes herein be deemed to be independent contractors and shall, unless otherwise expressly provided or authorized herein, have no authority to act for or represent the Company in any way or otherwise be deemed agents of the Company.</w:t>
      </w:r>
    </w:p>
    <w:p>
      <w:pPr>
        <w:spacing w:after="0" w:line="203" w:lineRule="exact"/>
        <w:rPr>
          <w:rFonts w:ascii="Arial" w:cs="Arial" w:eastAsia="Arial" w:hAnsi="Arial"/>
          <w:sz w:val="19"/>
          <w:szCs w:val="19"/>
          <w:color w:val="auto"/>
        </w:rPr>
      </w:pPr>
    </w:p>
    <w:p>
      <w:pPr>
        <w:jc w:val="both"/>
        <w:ind w:left="200" w:right="219" w:firstLine="1305"/>
        <w:spacing w:after="0" w:line="270" w:lineRule="auto"/>
        <w:tabs>
          <w:tab w:leader="none" w:pos="1790"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Services.</w:t>
      </w:r>
      <w:r>
        <w:rPr>
          <w:rFonts w:ascii="Arial" w:cs="Arial" w:eastAsia="Arial" w:hAnsi="Arial"/>
          <w:sz w:val="18"/>
          <w:szCs w:val="18"/>
          <w:color w:val="auto"/>
        </w:rPr>
        <w:t xml:space="preserve"> The Administrator shall perform (or oversee, or arrange for, the performance of) the administrative services necessary for the operation of the Company. Without limiting the generality of the foregoing, the Administrator shall provide the Company with office facilities, equipment, clerical, bookkeeping and record-keeping services at such facilities and such other services as the Administrator, subject to review by the Board, shall from time to time determine to be necessary or useful to perform its obligations under this Agreement. The Administrator shall also, on behalf of the Company, conduct relations with custodians, depositories, transfer agents, dividend disbursing agents, other stockholder servicing agents, accountants, attorneys, underwriters, brokers and dealers, corporate fiduciaries, insurers, banks and such other persons in any such other capacity deemed to be necessary or desirable. The Administrator shall make reports to the Board of its performance of obligations hereunder and furnish advice and recommendations with respect to such other aspects of the business and affairs of the Company as it shall determine to be desirable; provided that nothing herein shall be construed to require the Administrator to, and the Administrator shall not, provide any advice or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325755</wp:posOffset>
            </wp:positionV>
            <wp:extent cx="545211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82" w:name="page83"/>
    <w:bookmarkEnd w:id="82"/>
    <w:p>
      <w:pPr>
        <w:jc w:val="both"/>
        <w:ind w:left="200" w:right="219"/>
        <w:spacing w:after="0" w:line="255" w:lineRule="auto"/>
        <w:rPr>
          <w:sz w:val="20"/>
          <w:szCs w:val="20"/>
          <w:color w:val="auto"/>
        </w:rPr>
      </w:pPr>
      <w:r>
        <w:rPr>
          <w:rFonts w:ascii="Arial" w:cs="Arial" w:eastAsia="Arial" w:hAnsi="Arial"/>
          <w:sz w:val="19"/>
          <w:szCs w:val="19"/>
          <w:color w:val="auto"/>
        </w:rPr>
        <w:t>relating to the securities and other assets that the Company should purchase, retain or sell or any other investment advisory services to the Company. The Administrator shall be responsible for the financial and other records that the Company is required to maintain, and under the Investment Company Act, shall prepare, print and disseminate reports to stockholders, and reports and other materials filed with the Securities and Exchange Commission (the “</w:t>
      </w:r>
      <w:r>
        <w:rPr>
          <w:rFonts w:ascii="Arial" w:cs="Arial" w:eastAsia="Arial" w:hAnsi="Arial"/>
          <w:sz w:val="19"/>
          <w:szCs w:val="19"/>
          <w:b w:val="1"/>
          <w:bCs w:val="1"/>
          <w:i w:val="1"/>
          <w:iCs w:val="1"/>
          <w:color w:val="auto"/>
        </w:rPr>
        <w:t>SEC</w:t>
      </w:r>
      <w:r>
        <w:rPr>
          <w:rFonts w:ascii="Arial" w:cs="Arial" w:eastAsia="Arial" w:hAnsi="Arial"/>
          <w:sz w:val="19"/>
          <w:szCs w:val="19"/>
          <w:color w:val="auto"/>
        </w:rPr>
        <w:t>”). The Administrator will provide on the Company’s behalf significant managerial assistance to those portfolio companies to which the Company is required to provide such assistance. In addition, the Administrator will assist the Company in determining and publishing the Company’s net asset value, overseeing the preparation and filing of the Company’s tax returns and the printing and dissemination of reports to the Company’s stockholders, and generally overseeing the payment of the Company’s expenses and the performance of administrative and professional services rendered to the Company by others.</w:t>
      </w:r>
    </w:p>
    <w:p>
      <w:pPr>
        <w:spacing w:after="0" w:line="196" w:lineRule="exact"/>
        <w:rPr>
          <w:sz w:val="20"/>
          <w:szCs w:val="20"/>
          <w:color w:val="auto"/>
        </w:rPr>
      </w:pPr>
    </w:p>
    <w:p>
      <w:pPr>
        <w:ind w:left="1180" w:hanging="647"/>
        <w:spacing w:after="0"/>
        <w:tabs>
          <w:tab w:leader="none" w:pos="1180" w:val="left"/>
        </w:tabs>
        <w:numPr>
          <w:ilvl w:val="0"/>
          <w:numId w:val="4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Records</w:t>
      </w:r>
    </w:p>
    <w:p>
      <w:pPr>
        <w:spacing w:after="0" w:line="235" w:lineRule="exact"/>
        <w:rPr>
          <w:sz w:val="20"/>
          <w:szCs w:val="20"/>
          <w:color w:val="auto"/>
        </w:rPr>
      </w:pPr>
    </w:p>
    <w:p>
      <w:pPr>
        <w:jc w:val="both"/>
        <w:ind w:left="200" w:right="219" w:firstLine="648"/>
        <w:spacing w:after="0" w:line="255" w:lineRule="auto"/>
        <w:rPr>
          <w:sz w:val="20"/>
          <w:szCs w:val="20"/>
          <w:color w:val="auto"/>
        </w:rPr>
      </w:pPr>
      <w:r>
        <w:rPr>
          <w:rFonts w:ascii="Arial" w:cs="Arial" w:eastAsia="Arial" w:hAnsi="Arial"/>
          <w:sz w:val="19"/>
          <w:szCs w:val="19"/>
          <w:color w:val="auto"/>
        </w:rPr>
        <w:t>The Administrator agrees to maintain and keep all books, accounts and other records of the Company that relate to activities performed by the Administrator hereunder and will maintain and keep such books, accounts and records in accordance with the Investment Company Act. In compliance with the requirements of Rule 31a-3 under the Investment Company Act, the Administrator agrees that all records which it maintains for the Company shall at all times remain the property of the Company, shall be readily accessible during normal business hours, and shall be promptly surrendered upon the termination of the Agreement or otherwise on written request. The Administrator further agrees that all records which it maintains for the Company pursuant to Rule 31a-1 under the Investment Company Act will be preserved for the periods prescribed by Rule 31a-2 under the Investment Company Act unless any such records are earlier surrendered as provided above. Records shall be surrendered in usable machine-readable form. The Administrator shall have the right to retain copies of such records subject to observance of its confidentiality obligations under this Agreement.</w:t>
      </w:r>
    </w:p>
    <w:p>
      <w:pPr>
        <w:spacing w:after="0" w:line="192" w:lineRule="exact"/>
        <w:rPr>
          <w:sz w:val="20"/>
          <w:szCs w:val="20"/>
          <w:color w:val="auto"/>
        </w:rPr>
      </w:pPr>
    </w:p>
    <w:p>
      <w:pPr>
        <w:ind w:left="1180" w:hanging="647"/>
        <w:spacing w:after="0"/>
        <w:tabs>
          <w:tab w:leader="none" w:pos="1180"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Confidentiality</w:t>
      </w:r>
    </w:p>
    <w:p>
      <w:pPr>
        <w:spacing w:after="0" w:line="235" w:lineRule="exact"/>
        <w:rPr>
          <w:sz w:val="20"/>
          <w:szCs w:val="20"/>
          <w:color w:val="auto"/>
        </w:rPr>
      </w:pPr>
    </w:p>
    <w:p>
      <w:pPr>
        <w:jc w:val="both"/>
        <w:ind w:left="200" w:right="219" w:firstLine="648"/>
        <w:spacing w:after="0" w:line="271" w:lineRule="auto"/>
        <w:rPr>
          <w:sz w:val="20"/>
          <w:szCs w:val="20"/>
          <w:color w:val="auto"/>
        </w:rPr>
      </w:pPr>
      <w:r>
        <w:rPr>
          <w:rFonts w:ascii="Arial" w:cs="Arial" w:eastAsia="Arial" w:hAnsi="Arial"/>
          <w:sz w:val="18"/>
          <w:szCs w:val="18"/>
          <w:color w:val="auto"/>
        </w:rPr>
        <w:t>The parties hereto agree that each shall treat confidentially the terms and conditions of this Agreement and all information provided by each party to the other regarding its business and operations. All confidential information provided by a party hereto, including nonpublic personal information (regulated pursuant to Regulation S-P and S-AM), shall be used by any other party hereto solely for the purpose of rendering services pursuant to this Agreement and, except as may be required in carrying out this Agreement, shall not be disclosed to any third party, without the prior consent of such providing party. The foregoing shall not be applicable to any information that is publicly available when provided or thereafter becomes publicly available other than through a breach of this Agreement, or that is required to be disclosed by any regulatory authority, any authority or legal counsel of the parties hereto, by judicial or administrative process or otherwise by applicable law or regulation.</w:t>
      </w:r>
    </w:p>
    <w:p>
      <w:pPr>
        <w:spacing w:after="0" w:line="181" w:lineRule="exact"/>
        <w:rPr>
          <w:sz w:val="20"/>
          <w:szCs w:val="20"/>
          <w:color w:val="auto"/>
        </w:rPr>
      </w:pPr>
    </w:p>
    <w:p>
      <w:pPr>
        <w:ind w:left="1180" w:hanging="647"/>
        <w:spacing w:after="0"/>
        <w:tabs>
          <w:tab w:leader="none" w:pos="1180" w:val="left"/>
        </w:tabs>
        <w:numPr>
          <w:ilvl w:val="0"/>
          <w:numId w:val="4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Compensation; Allocation of Costs and Expenses</w:t>
      </w:r>
    </w:p>
    <w:p>
      <w:pPr>
        <w:spacing w:after="0" w:line="235" w:lineRule="exact"/>
        <w:rPr>
          <w:sz w:val="20"/>
          <w:szCs w:val="20"/>
          <w:color w:val="auto"/>
        </w:rPr>
      </w:pPr>
    </w:p>
    <w:p>
      <w:pPr>
        <w:jc w:val="both"/>
        <w:ind w:left="200" w:right="219" w:firstLine="648"/>
        <w:spacing w:after="0" w:line="272" w:lineRule="auto"/>
        <w:rPr>
          <w:sz w:val="20"/>
          <w:szCs w:val="20"/>
          <w:color w:val="auto"/>
        </w:rPr>
      </w:pPr>
      <w:r>
        <w:rPr>
          <w:rFonts w:ascii="Arial" w:cs="Arial" w:eastAsia="Arial" w:hAnsi="Arial"/>
          <w:sz w:val="18"/>
          <w:szCs w:val="18"/>
          <w:color w:val="auto"/>
        </w:rPr>
        <w:t>In full consideration of the provision of the services of the Administrator, the Company shall reimburse the Administrator for the costs and expenses incurred by the Administrator in performing its obligations and providing personnel and facilities hereunder. The amount and nature of such reimbursements shall be presented for review, on not less than a quarterly basis, to the members of the audit committee of the Board, or in lieu thereof, to a committee of the Board, all of the members of which are not “interested persons” of the Company, as such term is defined under the Investment Company Act. The Company will bear all costs and expenses that are incurred in its operation, administration and transactions and not specifically assumed by Runway Growth Credit LLC (the “</w:t>
      </w:r>
      <w:r>
        <w:rPr>
          <w:rFonts w:ascii="Arial" w:cs="Arial" w:eastAsia="Arial" w:hAnsi="Arial"/>
          <w:sz w:val="18"/>
          <w:szCs w:val="18"/>
          <w:b w:val="1"/>
          <w:bCs w:val="1"/>
          <w:i w:val="1"/>
          <w:iCs w:val="1"/>
          <w:color w:val="auto"/>
        </w:rPr>
        <w:t>Adviser</w:t>
      </w:r>
      <w:r>
        <w:rPr>
          <w:rFonts w:ascii="Arial" w:cs="Arial" w:eastAsia="Arial" w:hAnsi="Arial"/>
          <w:sz w:val="18"/>
          <w:szCs w:val="18"/>
          <w:color w:val="auto"/>
        </w:rPr>
        <w:t>”), pursuant to that certain Second Amended and Restated Investment Advisory Agreement, dated as of May 27, 2021 by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455930</wp:posOffset>
            </wp:positionV>
            <wp:extent cx="545211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3" w:name="page84"/>
    <w:bookmarkEnd w:id="83"/>
    <w:p>
      <w:pPr>
        <w:jc w:val="both"/>
        <w:ind w:left="200" w:right="219"/>
        <w:spacing w:after="0" w:line="265" w:lineRule="auto"/>
        <w:rPr>
          <w:sz w:val="20"/>
          <w:szCs w:val="20"/>
          <w:color w:val="auto"/>
        </w:rPr>
      </w:pPr>
      <w:r>
        <w:rPr>
          <w:rFonts w:ascii="Arial" w:cs="Arial" w:eastAsia="Arial" w:hAnsi="Arial"/>
          <w:sz w:val="19"/>
          <w:szCs w:val="19"/>
          <w:color w:val="auto"/>
        </w:rPr>
        <w:t xml:space="preserve">and between the Company and the Adviser (as the same shall be amended from time to time). Costs and expenses to be borne by the Company include, but are not limited to, those relating to: the Company’s pro-rata portion of fees and expenses related to an </w:t>
      </w:r>
      <w:r>
        <w:rPr>
          <w:rFonts w:ascii="Arial" w:cs="Arial" w:eastAsia="Arial" w:hAnsi="Arial"/>
          <w:sz w:val="16"/>
          <w:szCs w:val="16"/>
          <w:color w:val="auto"/>
        </w:rPr>
        <w:t>initial public offering of the Public Fund in connection with a Spin-Off transaction (as defined below)</w:t>
      </w:r>
      <w:r>
        <w:rPr>
          <w:rFonts w:ascii="Arial" w:cs="Arial" w:eastAsia="Arial" w:hAnsi="Arial"/>
          <w:sz w:val="18"/>
          <w:szCs w:val="18"/>
          <w:color w:val="auto"/>
        </w:rPr>
        <w:t>; fees and expenses related to public and private offerings, sales and</w:t>
      </w:r>
      <w:r>
        <w:rPr>
          <w:rFonts w:ascii="Arial" w:cs="Arial" w:eastAsia="Arial" w:hAnsi="Arial"/>
          <w:sz w:val="16"/>
          <w:szCs w:val="16"/>
          <w:color w:val="auto"/>
        </w:rPr>
        <w:t xml:space="preserve"> </w:t>
      </w:r>
      <w:r>
        <w:rPr>
          <w:rFonts w:ascii="Arial" w:cs="Arial" w:eastAsia="Arial" w:hAnsi="Arial"/>
          <w:sz w:val="18"/>
          <w:szCs w:val="18"/>
          <w:color w:val="auto"/>
        </w:rPr>
        <w:t>repurchases of the Company’s securities; calculating the Company’s net asset value (including the cost and expenses of any independent valuation firm); fees and expenses payable to third parties, including agents, consultants or other advisors, in connection with monitoring financial and legal affairs for the Company and in providing administrative services, monitoring the Company’s investments and performing due diligence on the Company’s prospective portfolio companies or otherwise relating to, or associated with, evaluating and making investments; interest payable on debt, if any, incurred to finance the Company’s investments; sales and purchases of shares of the Company’s common stock and other securities; investment advisory and management fees; administration fees, if any, payable under this Agreement; transfer agent and custodial fees; federal and state registration fees; all costs of registration and listing the Company’s securities on any securities exchange; U.S. federal, state and local taxes; fees and expenses of directors who are not parties to this Agreement or “interested persons” (as such term is defined in Section 2(a)(19) of the Investment Company Act) of any such party or an affiliate thereof (the “</w:t>
      </w:r>
      <w:r>
        <w:rPr>
          <w:rFonts w:ascii="Arial" w:cs="Arial" w:eastAsia="Arial" w:hAnsi="Arial"/>
          <w:sz w:val="18"/>
          <w:szCs w:val="18"/>
          <w:b w:val="1"/>
          <w:bCs w:val="1"/>
          <w:i w:val="1"/>
          <w:iCs w:val="1"/>
          <w:color w:val="auto"/>
        </w:rPr>
        <w:t>Independent Directors</w:t>
      </w:r>
      <w:r>
        <w:rPr>
          <w:rFonts w:ascii="Arial" w:cs="Arial" w:eastAsia="Arial" w:hAnsi="Arial"/>
          <w:sz w:val="18"/>
          <w:szCs w:val="18"/>
          <w:color w:val="auto"/>
        </w:rPr>
        <w:t>”); costs of preparing and filing reports or other documents required by the SEC, the Financial Industry Regulatory Authority or other regulators; costs of any reports, proxy statements or other notices to stockholders, including printing costs; the Company’s allocable portion of the fidelity bond, directors and officers/errors and omissions liability insurance, and any other insurance premiums; direct costs and expenses of administration, including printing, mailing, long distance telephone, copying, secretarial and other staff, independent auditors and outside legal costs; and all other expenses incurred by the Company or the Administrator in connection with administering the Company’s business, including payments under this Agreement based upon the Company’s allocable portion of the Administrator’s overhead in performing its obligations under the Agreement, including rent and the allocable portion of the cost of the Company’s chief compliance officer and chief financial officer and their respective staffs.</w:t>
      </w:r>
    </w:p>
    <w:p>
      <w:pPr>
        <w:spacing w:after="0" w:line="205" w:lineRule="exact"/>
        <w:rPr>
          <w:sz w:val="20"/>
          <w:szCs w:val="20"/>
          <w:color w:val="auto"/>
        </w:rPr>
      </w:pPr>
    </w:p>
    <w:p>
      <w:pPr>
        <w:jc w:val="both"/>
        <w:ind w:left="200" w:right="219" w:firstLine="648"/>
        <w:spacing w:after="0" w:line="243" w:lineRule="auto"/>
        <w:rPr>
          <w:sz w:val="20"/>
          <w:szCs w:val="20"/>
          <w:color w:val="auto"/>
        </w:rPr>
      </w:pPr>
      <w:r>
        <w:rPr>
          <w:rFonts w:ascii="Arial" w:cs="Arial" w:eastAsia="Arial" w:hAnsi="Arial"/>
          <w:sz w:val="20"/>
          <w:szCs w:val="20"/>
          <w:color w:val="auto"/>
        </w:rPr>
        <w:t>For purposes of this Agreement, a “</w:t>
      </w:r>
      <w:r>
        <w:rPr>
          <w:rFonts w:ascii="Arial" w:cs="Arial" w:eastAsia="Arial" w:hAnsi="Arial"/>
          <w:sz w:val="20"/>
          <w:szCs w:val="20"/>
          <w:b w:val="1"/>
          <w:bCs w:val="1"/>
          <w:i w:val="1"/>
          <w:iCs w:val="1"/>
          <w:color w:val="auto"/>
        </w:rPr>
        <w:t>Spin-Off transaction</w:t>
      </w:r>
      <w:r>
        <w:rPr>
          <w:rFonts w:ascii="Arial" w:cs="Arial" w:eastAsia="Arial" w:hAnsi="Arial"/>
          <w:sz w:val="20"/>
          <w:szCs w:val="20"/>
          <w:color w:val="auto"/>
        </w:rPr>
        <w:t>” includes either a transaction whereby (a) the Company offers its stockholders the option to elect to either (i) retain their ownership of shares of the Company’s common stock, or (ii) exchange their shares of the Company’s common stock for shares of common stock in a newly formed entity (the “</w:t>
      </w:r>
      <w:r>
        <w:rPr>
          <w:rFonts w:ascii="Arial" w:cs="Arial" w:eastAsia="Arial" w:hAnsi="Arial"/>
          <w:sz w:val="20"/>
          <w:szCs w:val="20"/>
          <w:b w:val="1"/>
          <w:bCs w:val="1"/>
          <w:i w:val="1"/>
          <w:iCs w:val="1"/>
          <w:color w:val="auto"/>
        </w:rPr>
        <w:t>Public Fund</w:t>
      </w:r>
      <w:r>
        <w:rPr>
          <w:rFonts w:ascii="Arial" w:cs="Arial" w:eastAsia="Arial" w:hAnsi="Arial"/>
          <w:sz w:val="20"/>
          <w:szCs w:val="20"/>
          <w:color w:val="auto"/>
        </w:rPr>
        <w:t>”) that shall elect to be regulated as a BDC under the Investment Company Act and treated as a regulated investment company under Subchapter M of the Internal Revenue Code of 1986, as amended (the “</w:t>
      </w:r>
      <w:r>
        <w:rPr>
          <w:rFonts w:ascii="Arial" w:cs="Arial" w:eastAsia="Arial" w:hAnsi="Arial"/>
          <w:sz w:val="20"/>
          <w:szCs w:val="20"/>
          <w:b w:val="1"/>
          <w:bCs w:val="1"/>
          <w:i w:val="1"/>
          <w:iCs w:val="1"/>
          <w:color w:val="auto"/>
        </w:rPr>
        <w:t>Public Fund Spin-Off</w:t>
      </w:r>
      <w:r>
        <w:rPr>
          <w:rFonts w:ascii="Arial" w:cs="Arial" w:eastAsia="Arial" w:hAnsi="Arial"/>
          <w:sz w:val="20"/>
          <w:szCs w:val="20"/>
          <w:color w:val="auto"/>
        </w:rPr>
        <w:t>”); or (b) the Company completes an Exchange Listing.</w:t>
      </w:r>
    </w:p>
    <w:p>
      <w:pPr>
        <w:spacing w:after="0" w:line="200" w:lineRule="exact"/>
        <w:rPr>
          <w:sz w:val="20"/>
          <w:szCs w:val="20"/>
          <w:color w:val="auto"/>
        </w:rPr>
      </w:pPr>
    </w:p>
    <w:p>
      <w:pPr>
        <w:spacing w:after="0" w:line="230" w:lineRule="exact"/>
        <w:rPr>
          <w:sz w:val="20"/>
          <w:szCs w:val="20"/>
          <w:color w:val="auto"/>
        </w:rPr>
      </w:pPr>
    </w:p>
    <w:p>
      <w:pPr>
        <w:ind w:left="1180" w:hanging="647"/>
        <w:spacing w:after="0"/>
        <w:tabs>
          <w:tab w:leader="none" w:pos="1180"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Limitation of Liability of the Administrator; Indemnification</w:t>
      </w:r>
    </w:p>
    <w:p>
      <w:pPr>
        <w:spacing w:after="0" w:line="235" w:lineRule="exact"/>
        <w:rPr>
          <w:sz w:val="20"/>
          <w:szCs w:val="20"/>
          <w:color w:val="auto"/>
        </w:rPr>
      </w:pPr>
    </w:p>
    <w:p>
      <w:pPr>
        <w:jc w:val="both"/>
        <w:ind w:left="200" w:right="219" w:firstLine="648"/>
        <w:spacing w:after="0" w:line="270" w:lineRule="auto"/>
        <w:rPr>
          <w:sz w:val="20"/>
          <w:szCs w:val="20"/>
          <w:color w:val="auto"/>
        </w:rPr>
      </w:pPr>
      <w:r>
        <w:rPr>
          <w:rFonts w:ascii="Arial" w:cs="Arial" w:eastAsia="Arial" w:hAnsi="Arial"/>
          <w:sz w:val="18"/>
          <w:szCs w:val="18"/>
          <w:color w:val="auto"/>
        </w:rPr>
        <w:t>The Administrator (and its officers, managers, partners, agents, employees, controlling persons, members, and any other person or entity affiliated with the Administrator, including without limitation its managing member, the Adviser to the extent that they are providing services for or otherwise acting on behalf of the Administrator, Adviser or the Company) shall not be liable to the Company for any action taken or omitted to be taken by the Administrator in connection with the performance of any of its duties or obligations under this Agreement or otherwise as administrator for the Company, and the Company shall indemnify, defend and protect the Administrator (and its officers, managers, partners, agents, employees, controlling persons, members, and any other person or entity affiliated with the Administrator, including without limitation the Adviser, each of whom shall be deemed a third-party beneficiary hereof) (collectively, the “</w:t>
      </w:r>
      <w:r>
        <w:rPr>
          <w:rFonts w:ascii="Arial" w:cs="Arial" w:eastAsia="Arial" w:hAnsi="Arial"/>
          <w:sz w:val="18"/>
          <w:szCs w:val="18"/>
          <w:b w:val="1"/>
          <w:bCs w:val="1"/>
          <w:i w:val="1"/>
          <w:iCs w:val="1"/>
          <w:color w:val="auto"/>
        </w:rPr>
        <w:t>Indemnified Parties</w:t>
      </w:r>
      <w:r>
        <w:rPr>
          <w:rFonts w:ascii="Arial" w:cs="Arial" w:eastAsia="Arial" w:hAnsi="Arial"/>
          <w:sz w:val="18"/>
          <w:szCs w:val="18"/>
          <w:color w:val="auto"/>
        </w:rPr>
        <w:t>”) and hold them harmless from and against all damages, liabilities, costs and expenses (including reasonable attorneys’ fees and amounts reasonably paid in settlement) incurred by the Indemnified Parties in or by reason of any pending, threatened or completed action, suit, investigation or other proceeding (including an action or suit by or in the right of</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455930</wp:posOffset>
            </wp:positionV>
            <wp:extent cx="545211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4" w:name="page85"/>
    <w:bookmarkEnd w:id="84"/>
    <w:p>
      <w:pPr>
        <w:jc w:val="both"/>
        <w:ind w:left="200" w:right="219"/>
        <w:spacing w:after="0" w:line="256" w:lineRule="auto"/>
        <w:rPr>
          <w:sz w:val="20"/>
          <w:szCs w:val="20"/>
          <w:color w:val="auto"/>
        </w:rPr>
      </w:pPr>
      <w:r>
        <w:rPr>
          <w:rFonts w:ascii="Arial" w:cs="Arial" w:eastAsia="Arial" w:hAnsi="Arial"/>
          <w:sz w:val="19"/>
          <w:szCs w:val="19"/>
          <w:color w:val="auto"/>
        </w:rPr>
        <w:t>the Company or its security holders) arising out of or otherwise based upon the performance of any of the Administrator’s duties or obligations under this Agreement or otherwise as administrator for the Company. Notwithstanding the preceding sentence of this Section 5 to the contrary, nothing contained herein shall protect or be deemed to protect the Indemnified Parties against or entitle or be deemed to entitle the Indemnified Parties to indemnification in respect of, any liability to the Company or its security holders to which the Indemnified Parties would otherwise be subject by reason of criminal conduct, willful misfeasance, bad faith or gross negligence in the performance of the Administrator’s duties or by reason of the reckless disregard of the Administrator’s duties and obligations under this Agreement (to the extent applicable, as the same shall be determined in accordance with the Investment Company Act and any interpretations or guidance by the SEC or its staff thereunder).</w:t>
      </w:r>
    </w:p>
    <w:p>
      <w:pPr>
        <w:spacing w:after="0" w:line="189" w:lineRule="exact"/>
        <w:rPr>
          <w:sz w:val="20"/>
          <w:szCs w:val="20"/>
          <w:color w:val="auto"/>
        </w:rPr>
      </w:pPr>
    </w:p>
    <w:p>
      <w:pPr>
        <w:ind w:left="1180" w:hanging="647"/>
        <w:spacing w:after="0"/>
        <w:tabs>
          <w:tab w:leader="none" w:pos="1180"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Activities of the Administrator</w:t>
      </w:r>
    </w:p>
    <w:p>
      <w:pPr>
        <w:spacing w:after="0" w:line="235" w:lineRule="exact"/>
        <w:rPr>
          <w:sz w:val="20"/>
          <w:szCs w:val="20"/>
          <w:color w:val="auto"/>
        </w:rPr>
      </w:pPr>
    </w:p>
    <w:p>
      <w:pPr>
        <w:jc w:val="both"/>
        <w:ind w:left="200" w:right="219" w:firstLine="648"/>
        <w:spacing w:after="0" w:line="243" w:lineRule="auto"/>
        <w:rPr>
          <w:sz w:val="20"/>
          <w:szCs w:val="20"/>
          <w:color w:val="auto"/>
        </w:rPr>
      </w:pPr>
      <w:r>
        <w:rPr>
          <w:rFonts w:ascii="Arial" w:cs="Arial" w:eastAsia="Arial" w:hAnsi="Arial"/>
          <w:sz w:val="20"/>
          <w:szCs w:val="20"/>
          <w:color w:val="auto"/>
        </w:rPr>
        <w:t>The services of the Administrator to the Company are not to be deemed to be exclusive, and the Administrator and each affiliate is free to render services to others. It is understood that directors, officers, employees and stockholders of the Company are or may become interested in the Administrator and its affiliates, as directors, officers, members, managers, employees, partners, stockholders or otherwise, and that the Administrator and directors, officers, members, managers, employees, partners and stockholders of the Administrator and its affiliates are or may become similarly interested in the Company as stockholders or otherwise.</w:t>
      </w:r>
    </w:p>
    <w:p>
      <w:pPr>
        <w:spacing w:after="0" w:line="200" w:lineRule="exact"/>
        <w:rPr>
          <w:sz w:val="20"/>
          <w:szCs w:val="20"/>
          <w:color w:val="auto"/>
        </w:rPr>
      </w:pPr>
    </w:p>
    <w:p>
      <w:pPr>
        <w:ind w:left="1180" w:hanging="647"/>
        <w:spacing w:after="0"/>
        <w:tabs>
          <w:tab w:leader="none" w:pos="1180"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Duration and Termination of this Agreement</w:t>
      </w:r>
    </w:p>
    <w:p>
      <w:pPr>
        <w:spacing w:after="0" w:line="235" w:lineRule="exact"/>
        <w:rPr>
          <w:rFonts w:ascii="Arial" w:cs="Arial" w:eastAsia="Arial" w:hAnsi="Arial"/>
          <w:sz w:val="20"/>
          <w:szCs w:val="20"/>
          <w:b w:val="1"/>
          <w:bCs w:val="1"/>
          <w:color w:val="auto"/>
        </w:rPr>
      </w:pPr>
    </w:p>
    <w:p>
      <w:pPr>
        <w:jc w:val="both"/>
        <w:ind w:left="200" w:right="219" w:firstLine="1305"/>
        <w:spacing w:after="0" w:line="273" w:lineRule="auto"/>
        <w:tabs>
          <w:tab w:leader="none" w:pos="1768"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This Agreement shall become effective as of the first date above written. The provisions of Section 5 of this Agreement shall remain in full force and effect, and the Administrator and its representatives, as and to the extent applicable, shall remain entitled to the benefits thereof, notwithstanding any termination or expiration of this Agreement. Further, notwithstanding the termination or expiration of this Agreement as aforesaid, the Administrator shall be entitled to any amounts owed under Section 4 through the date of termination or expiration. This Agreement shall continue in effect for two years from the date hereof and thereafter shall continue automatically for successive annual periods, provided that such continuance is specifically approved at least annually by:</w:t>
      </w:r>
    </w:p>
    <w:p>
      <w:pPr>
        <w:spacing w:after="0" w:line="181" w:lineRule="exact"/>
        <w:rPr>
          <w:rFonts w:ascii="Arial" w:cs="Arial" w:eastAsia="Arial" w:hAnsi="Arial"/>
          <w:sz w:val="18"/>
          <w:szCs w:val="18"/>
          <w:color w:val="auto"/>
        </w:rPr>
      </w:pPr>
    </w:p>
    <w:p>
      <w:pPr>
        <w:ind w:left="200" w:right="219" w:firstLine="1953"/>
        <w:spacing w:after="0" w:line="260" w:lineRule="auto"/>
        <w:tabs>
          <w:tab w:leader="none" w:pos="2397" w:val="left"/>
        </w:tabs>
        <w:numPr>
          <w:ilvl w:val="2"/>
          <w:numId w:val="50"/>
        </w:numPr>
        <w:rPr>
          <w:rFonts w:ascii="Arial" w:cs="Arial" w:eastAsia="Arial" w:hAnsi="Arial"/>
          <w:sz w:val="20"/>
          <w:szCs w:val="20"/>
          <w:color w:val="auto"/>
        </w:rPr>
      </w:pPr>
      <w:r>
        <w:rPr>
          <w:rFonts w:ascii="Arial" w:cs="Arial" w:eastAsia="Arial" w:hAnsi="Arial"/>
          <w:sz w:val="20"/>
          <w:szCs w:val="20"/>
          <w:color w:val="auto"/>
        </w:rPr>
        <w:t>the affirmative vote of a majority of the Board, or by the affirmative vote of a majority of the outstanding voting securities of the Company; and</w:t>
      </w:r>
    </w:p>
    <w:p>
      <w:pPr>
        <w:spacing w:after="0" w:line="190" w:lineRule="exact"/>
        <w:rPr>
          <w:rFonts w:ascii="Arial" w:cs="Arial" w:eastAsia="Arial" w:hAnsi="Arial"/>
          <w:sz w:val="20"/>
          <w:szCs w:val="20"/>
          <w:color w:val="auto"/>
        </w:rPr>
      </w:pPr>
    </w:p>
    <w:p>
      <w:pPr>
        <w:ind w:left="200" w:right="219" w:firstLine="1953"/>
        <w:spacing w:after="0" w:line="260" w:lineRule="auto"/>
        <w:tabs>
          <w:tab w:leader="none" w:pos="2452" w:val="left"/>
        </w:tabs>
        <w:numPr>
          <w:ilvl w:val="2"/>
          <w:numId w:val="50"/>
        </w:numPr>
        <w:rPr>
          <w:rFonts w:ascii="Arial" w:cs="Arial" w:eastAsia="Arial" w:hAnsi="Arial"/>
          <w:sz w:val="20"/>
          <w:szCs w:val="20"/>
          <w:color w:val="auto"/>
        </w:rPr>
      </w:pPr>
      <w:r>
        <w:rPr>
          <w:rFonts w:ascii="Arial" w:cs="Arial" w:eastAsia="Arial" w:hAnsi="Arial"/>
          <w:sz w:val="20"/>
          <w:szCs w:val="20"/>
          <w:color w:val="auto"/>
        </w:rPr>
        <w:t>the affirmative vote of a majority of the Company’s Independent Directors, in accordance with the requirements of the Investment Company Act.</w:t>
      </w:r>
    </w:p>
    <w:p>
      <w:pPr>
        <w:spacing w:after="0" w:line="190" w:lineRule="exact"/>
        <w:rPr>
          <w:rFonts w:ascii="Arial" w:cs="Arial" w:eastAsia="Arial" w:hAnsi="Arial"/>
          <w:sz w:val="20"/>
          <w:szCs w:val="20"/>
          <w:color w:val="auto"/>
        </w:rPr>
      </w:pPr>
    </w:p>
    <w:p>
      <w:pPr>
        <w:jc w:val="both"/>
        <w:ind w:left="200" w:right="219" w:firstLine="1305"/>
        <w:spacing w:after="0" w:line="246" w:lineRule="auto"/>
        <w:tabs>
          <w:tab w:leader="none" w:pos="1803" w:val="left"/>
        </w:tabs>
        <w:numPr>
          <w:ilvl w:val="1"/>
          <w:numId w:val="50"/>
        </w:numPr>
        <w:rPr>
          <w:rFonts w:ascii="Arial" w:cs="Arial" w:eastAsia="Arial" w:hAnsi="Arial"/>
          <w:sz w:val="20"/>
          <w:szCs w:val="20"/>
          <w:color w:val="auto"/>
        </w:rPr>
      </w:pPr>
      <w:r>
        <w:rPr>
          <w:rFonts w:ascii="Arial" w:cs="Arial" w:eastAsia="Arial" w:hAnsi="Arial"/>
          <w:sz w:val="20"/>
          <w:szCs w:val="20"/>
          <w:color w:val="auto"/>
        </w:rPr>
        <w:t>The Agreement may be terminated at any time, without the payment of any penalty, upon not more than 60 days’ written notice, by: (i) the affirmative vote of a majority of the outstanding voting securities of the Company, (ii) the affirmative vote of a majority of the Board, including a majority of the Independent Directors, or (iii) the Administrator.</w:t>
      </w:r>
    </w:p>
    <w:p>
      <w:pPr>
        <w:spacing w:after="0" w:line="204" w:lineRule="exact"/>
        <w:rPr>
          <w:rFonts w:ascii="Arial" w:cs="Arial" w:eastAsia="Arial" w:hAnsi="Arial"/>
          <w:sz w:val="20"/>
          <w:szCs w:val="20"/>
          <w:color w:val="auto"/>
        </w:rPr>
      </w:pPr>
    </w:p>
    <w:p>
      <w:pPr>
        <w:jc w:val="both"/>
        <w:ind w:left="200" w:right="219" w:firstLine="1305"/>
        <w:spacing w:after="0" w:line="291" w:lineRule="auto"/>
        <w:tabs>
          <w:tab w:leader="none" w:pos="1777"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This Agreement may not be assigned by a party without the consent of the other party. The provisions of Section 5 of this Agreement shall remain in full force and effect, and the Administrator shall remain entitled to the benefits thereof, notwithstanding any termination of this Agreement.</w:t>
      </w:r>
    </w:p>
    <w:p>
      <w:pPr>
        <w:spacing w:after="0" w:line="159" w:lineRule="exact"/>
        <w:rPr>
          <w:rFonts w:ascii="Arial" w:cs="Arial" w:eastAsia="Arial" w:hAnsi="Arial"/>
          <w:sz w:val="18"/>
          <w:szCs w:val="18"/>
          <w:color w:val="auto"/>
        </w:rPr>
      </w:pPr>
    </w:p>
    <w:p>
      <w:pPr>
        <w:ind w:left="1180" w:hanging="647"/>
        <w:spacing w:after="0"/>
        <w:tabs>
          <w:tab w:leader="none" w:pos="1180"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Amendments of this Agreement</w:t>
      </w:r>
    </w:p>
    <w:p>
      <w:pPr>
        <w:spacing w:after="0" w:line="23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This Agreement may be amended pursuant to a written instrument by mutual consent of the parties.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455930</wp:posOffset>
            </wp:positionV>
            <wp:extent cx="545211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5" w:name="page86"/>
    <w:bookmarkEnd w:id="85"/>
    <w:p>
      <w:pPr>
        <w:ind w:left="1180" w:hanging="647"/>
        <w:spacing w:after="0"/>
        <w:tabs>
          <w:tab w:leader="none" w:pos="1180"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Governing Law</w:t>
      </w:r>
    </w:p>
    <w:p>
      <w:pPr>
        <w:spacing w:after="0" w:line="235" w:lineRule="exact"/>
        <w:rPr>
          <w:sz w:val="20"/>
          <w:szCs w:val="20"/>
          <w:color w:val="auto"/>
        </w:rPr>
      </w:pPr>
    </w:p>
    <w:p>
      <w:pPr>
        <w:jc w:val="both"/>
        <w:ind w:left="200" w:right="219" w:firstLine="648"/>
        <w:spacing w:after="0" w:line="246" w:lineRule="auto"/>
        <w:rPr>
          <w:sz w:val="20"/>
          <w:szCs w:val="20"/>
          <w:color w:val="auto"/>
        </w:rPr>
      </w:pPr>
      <w:r>
        <w:rPr>
          <w:rFonts w:ascii="Arial" w:cs="Arial" w:eastAsia="Arial" w:hAnsi="Arial"/>
          <w:sz w:val="20"/>
          <w:szCs w:val="20"/>
          <w:color w:val="auto"/>
        </w:rPr>
        <w:t>This Agreement shall be construed in accordance with the laws of the State of New York and the applicable provisions of the Investment Company Act. To the extent the applicable laws of the State of New York, or any of the provisions herein, conflict with the provisions of the Investment Company Act, the latter shall control.</w:t>
      </w:r>
    </w:p>
    <w:p>
      <w:pPr>
        <w:spacing w:after="0" w:line="199" w:lineRule="exact"/>
        <w:rPr>
          <w:sz w:val="20"/>
          <w:szCs w:val="20"/>
          <w:color w:val="auto"/>
        </w:rPr>
      </w:pPr>
    </w:p>
    <w:p>
      <w:pPr>
        <w:ind w:left="1180" w:hanging="647"/>
        <w:spacing w:after="0"/>
        <w:tabs>
          <w:tab w:leader="none" w:pos="1180"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Entire Agreement</w:t>
      </w:r>
    </w:p>
    <w:p>
      <w:pPr>
        <w:spacing w:after="0" w:line="235" w:lineRule="exact"/>
        <w:rPr>
          <w:sz w:val="20"/>
          <w:szCs w:val="20"/>
          <w:color w:val="auto"/>
        </w:rPr>
      </w:pPr>
    </w:p>
    <w:p>
      <w:pPr>
        <w:ind w:left="200" w:right="219" w:firstLine="648"/>
        <w:spacing w:after="0" w:line="260" w:lineRule="auto"/>
        <w:rPr>
          <w:sz w:val="20"/>
          <w:szCs w:val="20"/>
          <w:color w:val="auto"/>
        </w:rPr>
      </w:pPr>
      <w:r>
        <w:rPr>
          <w:rFonts w:ascii="Arial" w:cs="Arial" w:eastAsia="Arial" w:hAnsi="Arial"/>
          <w:sz w:val="20"/>
          <w:szCs w:val="20"/>
          <w:color w:val="auto"/>
        </w:rPr>
        <w:t>This Agreement contains the entire agreement of the parties and supersedes all prior agreements, understandings and arrangements with respect to the subject matter hereof.</w:t>
      </w:r>
    </w:p>
    <w:p>
      <w:pPr>
        <w:spacing w:after="0" w:line="184" w:lineRule="exact"/>
        <w:rPr>
          <w:sz w:val="20"/>
          <w:szCs w:val="20"/>
          <w:color w:val="auto"/>
        </w:rPr>
      </w:pPr>
    </w:p>
    <w:p>
      <w:pPr>
        <w:ind w:left="1180" w:hanging="647"/>
        <w:spacing w:after="0"/>
        <w:tabs>
          <w:tab w:leader="none" w:pos="1180" w:val="left"/>
        </w:tabs>
        <w:numPr>
          <w:ilvl w:val="0"/>
          <w:numId w:val="5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Notices</w:t>
      </w:r>
    </w:p>
    <w:p>
      <w:pPr>
        <w:spacing w:after="0" w:line="235" w:lineRule="exact"/>
        <w:rPr>
          <w:sz w:val="20"/>
          <w:szCs w:val="20"/>
          <w:color w:val="auto"/>
        </w:rPr>
      </w:pPr>
    </w:p>
    <w:p>
      <w:pPr>
        <w:ind w:left="200" w:right="219" w:firstLine="648"/>
        <w:spacing w:after="0" w:line="260" w:lineRule="auto"/>
        <w:rPr>
          <w:sz w:val="20"/>
          <w:szCs w:val="20"/>
          <w:color w:val="auto"/>
        </w:rPr>
      </w:pPr>
      <w:r>
        <w:rPr>
          <w:rFonts w:ascii="Arial" w:cs="Arial" w:eastAsia="Arial" w:hAnsi="Arial"/>
          <w:sz w:val="20"/>
          <w:szCs w:val="20"/>
          <w:color w:val="auto"/>
        </w:rPr>
        <w:t>Any notice under this Agreement shall be given in writing, addressed and delivered or mailed, postage prepaid, to the other party at its principal office.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[Remainder of Page Intentionally Left Blank]</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455930</wp:posOffset>
            </wp:positionV>
            <wp:extent cx="545211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86" w:name="page87"/>
    <w:bookmarkEnd w:id="86"/>
    <w:p>
      <w:pPr>
        <w:ind w:left="200" w:right="319" w:firstLine="648"/>
        <w:spacing w:after="0" w:line="260" w:lineRule="auto"/>
        <w:rPr>
          <w:sz w:val="20"/>
          <w:szCs w:val="20"/>
          <w:color w:val="auto"/>
        </w:rPr>
      </w:pPr>
      <w:r>
        <w:rPr>
          <w:rFonts w:ascii="Arial" w:cs="Arial" w:eastAsia="Arial" w:hAnsi="Arial"/>
          <w:sz w:val="20"/>
          <w:szCs w:val="20"/>
          <w:color w:val="auto"/>
        </w:rPr>
        <w:t>IN WITNESS WHEREOF, the parties hereto have executed and delivered this Agreement as of the date first above written.</w:t>
      </w:r>
    </w:p>
    <w:p>
      <w:pPr>
        <w:spacing w:after="0" w:line="184" w:lineRule="exact"/>
        <w:rPr>
          <w:sz w:val="20"/>
          <w:szCs w:val="20"/>
          <w:color w:val="auto"/>
        </w:rPr>
      </w:pPr>
    </w:p>
    <w:p>
      <w:pPr>
        <w:ind w:left="4580"/>
        <w:spacing w:after="0"/>
        <w:rPr>
          <w:sz w:val="20"/>
          <w:szCs w:val="20"/>
          <w:color w:val="auto"/>
        </w:rPr>
      </w:pPr>
      <w:r>
        <w:rPr>
          <w:rFonts w:ascii="Arial" w:cs="Arial" w:eastAsia="Arial" w:hAnsi="Arial"/>
          <w:sz w:val="20"/>
          <w:szCs w:val="20"/>
          <w:b w:val="1"/>
          <w:bCs w:val="1"/>
          <w:color w:val="auto"/>
        </w:rPr>
        <w:t>RUNWAY GROWTH CREDIT FUND INC.</w:t>
      </w:r>
    </w:p>
    <w:p>
      <w:pPr>
        <w:spacing w:after="0" w:line="200" w:lineRule="exact"/>
        <w:rPr>
          <w:sz w:val="20"/>
          <w:szCs w:val="20"/>
          <w:color w:val="auto"/>
        </w:rPr>
      </w:pPr>
    </w:p>
    <w:p>
      <w:pPr>
        <w:spacing w:after="0" w:line="265" w:lineRule="exact"/>
        <w:rPr>
          <w:sz w:val="20"/>
          <w:szCs w:val="20"/>
          <w:color w:val="auto"/>
        </w:rPr>
      </w:pPr>
    </w:p>
    <w:p>
      <w:pPr>
        <w:ind w:left="4580"/>
        <w:spacing w:after="0"/>
        <w:tabs>
          <w:tab w:leader="none" w:pos="5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10160</wp:posOffset>
            </wp:positionV>
            <wp:extent cx="229743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ind w:left="5180"/>
        <w:spacing w:after="0"/>
        <w:rPr>
          <w:sz w:val="20"/>
          <w:szCs w:val="20"/>
          <w:color w:val="auto"/>
        </w:rPr>
      </w:pPr>
      <w:r>
        <w:rPr>
          <w:rFonts w:ascii="Arial" w:cs="Arial" w:eastAsia="Arial" w:hAnsi="Arial"/>
          <w:sz w:val="20"/>
          <w:szCs w:val="20"/>
          <w:color w:val="auto"/>
        </w:rPr>
        <w:t>Name: R. David Spreng</w:t>
      </w:r>
    </w:p>
    <w:p>
      <w:pPr>
        <w:spacing w:after="0" w:line="8"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259"/>
        <w:spacing w:after="0"/>
        <w:rPr>
          <w:sz w:val="20"/>
          <w:szCs w:val="20"/>
          <w:color w:val="auto"/>
        </w:rPr>
      </w:pPr>
      <w:r>
        <w:rPr>
          <w:rFonts w:ascii="Arial" w:cs="Arial" w:eastAsia="Arial" w:hAnsi="Arial"/>
          <w:sz w:val="20"/>
          <w:szCs w:val="20"/>
          <w:b w:val="1"/>
          <w:bCs w:val="1"/>
          <w:color w:val="auto"/>
        </w:rPr>
        <w:t>RUNWAY ADMINISTRATOR SERVICES, LLC</w:t>
      </w:r>
    </w:p>
    <w:p>
      <w:pPr>
        <w:spacing w:after="0" w:line="200" w:lineRule="exact"/>
        <w:rPr>
          <w:sz w:val="20"/>
          <w:szCs w:val="20"/>
          <w:color w:val="auto"/>
        </w:rPr>
      </w:pPr>
    </w:p>
    <w:p>
      <w:pPr>
        <w:spacing w:after="0" w:line="265" w:lineRule="exact"/>
        <w:rPr>
          <w:sz w:val="20"/>
          <w:szCs w:val="20"/>
          <w:color w:val="auto"/>
        </w:rPr>
      </w:pPr>
    </w:p>
    <w:p>
      <w:pPr>
        <w:ind w:left="4580"/>
        <w:spacing w:after="0"/>
        <w:tabs>
          <w:tab w:leader="none" w:pos="5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10160</wp:posOffset>
            </wp:positionV>
            <wp:extent cx="229743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ind w:left="5180"/>
        <w:spacing w:after="0"/>
        <w:rPr>
          <w:sz w:val="20"/>
          <w:szCs w:val="20"/>
          <w:color w:val="auto"/>
        </w:rPr>
      </w:pPr>
      <w:r>
        <w:rPr>
          <w:rFonts w:ascii="Arial" w:cs="Arial" w:eastAsia="Arial" w:hAnsi="Arial"/>
          <w:sz w:val="20"/>
          <w:szCs w:val="20"/>
          <w:color w:val="auto"/>
        </w:rPr>
        <w:t>Name: R. David Spreng</w:t>
      </w:r>
    </w:p>
    <w:p>
      <w:pPr>
        <w:spacing w:after="0" w:line="8"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Title: Chief Executive Officer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Administration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452120</wp:posOffset>
            </wp:positionV>
            <wp:extent cx="545211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9" w:right="1440" w:bottom="1440" w:gutter="0" w:footer="0" w:header="0"/>
        </w:sectPr>
      </w:pPr>
    </w:p>
    <w:bookmarkStart w:id="87" w:name="page88"/>
    <w:bookmarkEnd w:id="87"/>
    <w:p>
      <w:pPr>
        <w:ind w:left="7560"/>
        <w:spacing w:after="0"/>
        <w:rPr>
          <w:sz w:val="20"/>
          <w:szCs w:val="20"/>
          <w:color w:val="auto"/>
        </w:rPr>
      </w:pPr>
      <w:r>
        <w:rPr>
          <w:rFonts w:ascii="Arial" w:cs="Arial" w:eastAsia="Arial" w:hAnsi="Arial"/>
          <w:sz w:val="18"/>
          <w:szCs w:val="18"/>
          <w:b w:val="1"/>
          <w:bCs w:val="1"/>
          <w:color w:val="auto"/>
        </w:rPr>
        <w:t>Exhibit 14.1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500"/>
        <w:spacing w:after="0"/>
        <w:rPr>
          <w:sz w:val="20"/>
          <w:szCs w:val="20"/>
          <w:color w:val="auto"/>
        </w:rPr>
      </w:pPr>
      <w:r>
        <w:rPr>
          <w:rFonts w:ascii="Arial" w:cs="Arial" w:eastAsia="Arial" w:hAnsi="Arial"/>
          <w:sz w:val="20"/>
          <w:szCs w:val="20"/>
          <w:b w:val="1"/>
          <w:bCs w:val="1"/>
          <w:color w:val="auto"/>
        </w:rPr>
        <w:t>CODE OF ETHICS</w:t>
      </w:r>
    </w:p>
    <w:p>
      <w:pPr>
        <w:spacing w:after="0" w:line="26" w:lineRule="exact"/>
        <w:rPr>
          <w:sz w:val="20"/>
          <w:szCs w:val="20"/>
          <w:color w:val="auto"/>
        </w:rPr>
      </w:pPr>
    </w:p>
    <w:p>
      <w:pPr>
        <w:ind w:left="4120"/>
        <w:spacing w:after="0"/>
        <w:rPr>
          <w:sz w:val="20"/>
          <w:szCs w:val="20"/>
          <w:color w:val="auto"/>
        </w:rPr>
      </w:pPr>
      <w:r>
        <w:rPr>
          <w:rFonts w:ascii="Arial" w:cs="Arial" w:eastAsia="Arial" w:hAnsi="Arial"/>
          <w:sz w:val="20"/>
          <w:szCs w:val="20"/>
          <w:b w:val="1"/>
          <w:bCs w:val="1"/>
          <w:color w:val="auto"/>
        </w:rPr>
        <w:t>FOR</w:t>
      </w:r>
    </w:p>
    <w:p>
      <w:pPr>
        <w:spacing w:after="0" w:line="8"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RUNWAY GROWTH CREDIT FUND INC.,</w:t>
      </w:r>
    </w:p>
    <w:p>
      <w:pPr>
        <w:jc w:val="center"/>
        <w:ind w:right="339"/>
        <w:spacing w:after="0"/>
        <w:rPr>
          <w:sz w:val="20"/>
          <w:szCs w:val="20"/>
          <w:color w:val="auto"/>
        </w:rPr>
      </w:pPr>
      <w:r>
        <w:rPr>
          <w:rFonts w:ascii="Arial" w:cs="Arial" w:eastAsia="Arial" w:hAnsi="Arial"/>
          <w:sz w:val="20"/>
          <w:szCs w:val="20"/>
          <w:b w:val="1"/>
          <w:bCs w:val="1"/>
          <w:color w:val="auto"/>
        </w:rPr>
        <w:t>RUNWAY GROWTH CAPITAL LLC,</w:t>
      </w:r>
    </w:p>
    <w:p>
      <w:pPr>
        <w:jc w:val="center"/>
        <w:ind w:right="339"/>
        <w:spacing w:after="0"/>
        <w:rPr>
          <w:sz w:val="20"/>
          <w:szCs w:val="20"/>
          <w:color w:val="auto"/>
        </w:rPr>
      </w:pPr>
      <w:r>
        <w:rPr>
          <w:rFonts w:ascii="Arial" w:cs="Arial" w:eastAsia="Arial" w:hAnsi="Arial"/>
          <w:sz w:val="20"/>
          <w:szCs w:val="20"/>
          <w:b w:val="1"/>
          <w:bCs w:val="1"/>
          <w:color w:val="auto"/>
        </w:rPr>
        <w:t>AND</w:t>
      </w:r>
    </w:p>
    <w:p>
      <w:pPr>
        <w:jc w:val="center"/>
        <w:ind w:right="339"/>
        <w:spacing w:after="0"/>
        <w:rPr>
          <w:sz w:val="20"/>
          <w:szCs w:val="20"/>
          <w:color w:val="auto"/>
        </w:rPr>
      </w:pPr>
      <w:r>
        <w:rPr>
          <w:rFonts w:ascii="Arial" w:cs="Arial" w:eastAsia="Arial" w:hAnsi="Arial"/>
          <w:sz w:val="20"/>
          <w:szCs w:val="20"/>
          <w:b w:val="1"/>
          <w:bCs w:val="1"/>
          <w:color w:val="auto"/>
        </w:rPr>
        <w:t>RUNWAY ADMINISTRATOR SERVICES LLC</w:t>
      </w:r>
    </w:p>
    <w:p>
      <w:pPr>
        <w:spacing w:after="0" w:line="369" w:lineRule="exact"/>
        <w:rPr>
          <w:sz w:val="20"/>
          <w:szCs w:val="20"/>
          <w:color w:val="auto"/>
        </w:rPr>
      </w:pPr>
    </w:p>
    <w:p>
      <w:pPr>
        <w:ind w:left="180"/>
        <w:spacing w:after="0"/>
        <w:tabs>
          <w:tab w:leader="none" w:pos="1480" w:val="left"/>
        </w:tabs>
        <w:rPr>
          <w:sz w:val="20"/>
          <w:szCs w:val="20"/>
          <w:color w:val="auto"/>
        </w:rPr>
      </w:pPr>
      <w:r>
        <w:rPr>
          <w:rFonts w:ascii="Arial" w:cs="Arial" w:eastAsia="Arial" w:hAnsi="Arial"/>
          <w:sz w:val="20"/>
          <w:szCs w:val="20"/>
          <w:b w:val="1"/>
          <w:bCs w:val="1"/>
          <w:color w:val="auto"/>
        </w:rPr>
        <w:t>Section I.</w:t>
      </w:r>
      <w:r>
        <w:rPr>
          <w:sz w:val="20"/>
          <w:szCs w:val="20"/>
          <w:color w:val="auto"/>
        </w:rPr>
        <w:tab/>
      </w:r>
      <w:r>
        <w:rPr>
          <w:rFonts w:ascii="Arial" w:cs="Arial" w:eastAsia="Arial" w:hAnsi="Arial"/>
          <w:sz w:val="18"/>
          <w:szCs w:val="18"/>
          <w:b w:val="1"/>
          <w:bCs w:val="1"/>
          <w:color w:val="auto"/>
        </w:rPr>
        <w:t>Statement of General Fiduciary Principles</w:t>
      </w:r>
    </w:p>
    <w:p>
      <w:pPr>
        <w:spacing w:after="0" w:line="114" w:lineRule="exact"/>
        <w:rPr>
          <w:sz w:val="20"/>
          <w:szCs w:val="20"/>
          <w:color w:val="auto"/>
        </w:rPr>
      </w:pPr>
    </w:p>
    <w:p>
      <w:pPr>
        <w:jc w:val="both"/>
        <w:ind w:left="200" w:right="419" w:firstLine="540"/>
        <w:spacing w:after="0" w:line="271" w:lineRule="auto"/>
        <w:rPr>
          <w:sz w:val="20"/>
          <w:szCs w:val="20"/>
          <w:color w:val="auto"/>
        </w:rPr>
      </w:pPr>
      <w:r>
        <w:rPr>
          <w:rFonts w:ascii="Arial" w:cs="Arial" w:eastAsia="Arial" w:hAnsi="Arial"/>
          <w:sz w:val="18"/>
          <w:szCs w:val="18"/>
          <w:color w:val="auto"/>
        </w:rPr>
        <w:t>This Code of Ethics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has been adopted by each of Runway Growth Credit Fund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Runway Growth Capital LLC (the “</w:t>
      </w:r>
      <w:r>
        <w:rPr>
          <w:rFonts w:ascii="Arial" w:cs="Arial" w:eastAsia="Arial" w:hAnsi="Arial"/>
          <w:sz w:val="18"/>
          <w:szCs w:val="18"/>
          <w:b w:val="1"/>
          <w:bCs w:val="1"/>
          <w:i w:val="1"/>
          <w:iCs w:val="1"/>
          <w:color w:val="auto"/>
        </w:rPr>
        <w:t>Adviser</w:t>
      </w:r>
      <w:r>
        <w:rPr>
          <w:rFonts w:ascii="Arial" w:cs="Arial" w:eastAsia="Arial" w:hAnsi="Arial"/>
          <w:sz w:val="18"/>
          <w:szCs w:val="18"/>
          <w:color w:val="auto"/>
        </w:rPr>
        <w:t>”), in compliance with Rule 17j-1 under the Investment Company Act of 1940, as amended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and, in the case of the Adviser, Rule 204A-1 of the Investment Advisers Act of 1940, as amended (the “</w:t>
      </w:r>
      <w:r>
        <w:rPr>
          <w:rFonts w:ascii="Arial" w:cs="Arial" w:eastAsia="Arial" w:hAnsi="Arial"/>
          <w:sz w:val="18"/>
          <w:szCs w:val="18"/>
          <w:b w:val="1"/>
          <w:bCs w:val="1"/>
          <w:i w:val="1"/>
          <w:iCs w:val="1"/>
          <w:color w:val="auto"/>
        </w:rPr>
        <w:t>Advisers Act</w:t>
      </w:r>
      <w:r>
        <w:rPr>
          <w:rFonts w:ascii="Arial" w:cs="Arial" w:eastAsia="Arial" w:hAnsi="Arial"/>
          <w:sz w:val="18"/>
          <w:szCs w:val="18"/>
          <w:color w:val="auto"/>
        </w:rPr>
        <w:t>”). The purpose of the Code is to establish standards and procedures for the detection and prevention of activities by which persons having knowledge of the investments and investment intentions of the Company may abuse their fiduciary duty to the Company, and otherwise to deal with the types of conflict of interest situations to which Rule 17j-1 under the Act (“</w:t>
      </w:r>
      <w:r>
        <w:rPr>
          <w:rFonts w:ascii="Arial" w:cs="Arial" w:eastAsia="Arial" w:hAnsi="Arial"/>
          <w:sz w:val="18"/>
          <w:szCs w:val="18"/>
          <w:b w:val="1"/>
          <w:bCs w:val="1"/>
          <w:i w:val="1"/>
          <w:iCs w:val="1"/>
          <w:color w:val="auto"/>
        </w:rPr>
        <w:t>Rule 17j-1</w:t>
      </w:r>
      <w:r>
        <w:rPr>
          <w:rFonts w:ascii="Arial" w:cs="Arial" w:eastAsia="Arial" w:hAnsi="Arial"/>
          <w:sz w:val="18"/>
          <w:szCs w:val="18"/>
          <w:color w:val="auto"/>
        </w:rPr>
        <w:t>”) and Rule 204A-1 under the Advisers Act (“</w:t>
      </w:r>
      <w:r>
        <w:rPr>
          <w:rFonts w:ascii="Arial" w:cs="Arial" w:eastAsia="Arial" w:hAnsi="Arial"/>
          <w:sz w:val="18"/>
          <w:szCs w:val="18"/>
          <w:b w:val="1"/>
          <w:bCs w:val="1"/>
          <w:i w:val="1"/>
          <w:iCs w:val="1"/>
          <w:color w:val="auto"/>
        </w:rPr>
        <w:t>Rule 204A-1</w:t>
      </w:r>
      <w:r>
        <w:rPr>
          <w:rFonts w:ascii="Arial" w:cs="Arial" w:eastAsia="Arial" w:hAnsi="Arial"/>
          <w:sz w:val="18"/>
          <w:szCs w:val="18"/>
          <w:color w:val="auto"/>
        </w:rPr>
        <w:t>”), as applicable, are addressed. The Adviser is the Company’s investment adviser and Runway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Administrator Services LLC is the Company’s administrator (the “</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 xml:space="preserve">”). Collectively, the Company, the Adviser and the Administrator are referred to herein as the </w:t>
      </w:r>
      <w:r>
        <w:rPr>
          <w:rFonts w:ascii="Arial" w:cs="Arial" w:eastAsia="Arial" w:hAnsi="Arial"/>
          <w:sz w:val="18"/>
          <w:szCs w:val="18"/>
          <w:b w:val="1"/>
          <w:bCs w:val="1"/>
          <w:i w:val="1"/>
          <w:iCs w:val="1"/>
          <w:color w:val="auto"/>
        </w:rPr>
        <w:t>“Runway Entities.”</w:t>
      </w:r>
    </w:p>
    <w:p>
      <w:pPr>
        <w:spacing w:after="0" w:line="278" w:lineRule="exact"/>
        <w:rPr>
          <w:sz w:val="20"/>
          <w:szCs w:val="20"/>
          <w:color w:val="auto"/>
        </w:rPr>
      </w:pPr>
    </w:p>
    <w:p>
      <w:pPr>
        <w:jc w:val="both"/>
        <w:ind w:left="200" w:right="419" w:firstLine="540"/>
        <w:spacing w:after="0" w:line="271" w:lineRule="auto"/>
        <w:rPr>
          <w:sz w:val="20"/>
          <w:szCs w:val="20"/>
          <w:color w:val="auto"/>
        </w:rPr>
      </w:pPr>
      <w:r>
        <w:rPr>
          <w:rFonts w:ascii="Arial" w:cs="Arial" w:eastAsia="Arial" w:hAnsi="Arial"/>
          <w:sz w:val="18"/>
          <w:szCs w:val="18"/>
          <w:color w:val="auto"/>
        </w:rPr>
        <w:t>The Code is based on the principle that the directors and officers of the Company, and the managers, officers and employees of the Adviser and the Administrator, who provide services to the Company, owe a fiduciary duty to the Company to conduct their personal securities transactions in a manner that does not interfere with the Company’s transactions or otherwise take unfair advantage of their relationship with the Company. All directors, managers, officers and employees of the Company, the Adviser, and the Administrator (“</w:t>
      </w:r>
      <w:r>
        <w:rPr>
          <w:rFonts w:ascii="Arial" w:cs="Arial" w:eastAsia="Arial" w:hAnsi="Arial"/>
          <w:sz w:val="18"/>
          <w:szCs w:val="18"/>
          <w:b w:val="1"/>
          <w:bCs w:val="1"/>
          <w:i w:val="1"/>
          <w:iCs w:val="1"/>
          <w:color w:val="auto"/>
        </w:rPr>
        <w:t>Covered Persons</w:t>
      </w:r>
      <w:r>
        <w:rPr>
          <w:rFonts w:ascii="Arial" w:cs="Arial" w:eastAsia="Arial" w:hAnsi="Arial"/>
          <w:sz w:val="18"/>
          <w:szCs w:val="18"/>
          <w:color w:val="auto"/>
        </w:rPr>
        <w:t>”) are expected to adhere to this general principle as well as to comply with all of the specific provisions of this Code applicable to them. In addition, all Covered Persons must comply with applicable federal securities laws and must report violations of the Code to the Company’s or the Adviser’s Chief Compliance Officer (“</w:t>
      </w:r>
      <w:r>
        <w:rPr>
          <w:rFonts w:ascii="Arial" w:cs="Arial" w:eastAsia="Arial" w:hAnsi="Arial"/>
          <w:sz w:val="18"/>
          <w:szCs w:val="18"/>
          <w:b w:val="1"/>
          <w:bCs w:val="1"/>
          <w:i w:val="1"/>
          <w:iCs w:val="1"/>
          <w:color w:val="auto"/>
        </w:rPr>
        <w:t>CCO</w:t>
      </w:r>
      <w:r>
        <w:rPr>
          <w:rFonts w:ascii="Arial" w:cs="Arial" w:eastAsia="Arial" w:hAnsi="Arial"/>
          <w:sz w:val="18"/>
          <w:szCs w:val="18"/>
          <w:color w:val="auto"/>
        </w:rPr>
        <w:t>”). Any Covered Persons affiliated with another entity that is a registered investment adviser is, in addition, expected to comply with the provisions of the code of ethics that has been adopted by such other investment adviser.</w:t>
      </w:r>
    </w:p>
    <w:p>
      <w:pPr>
        <w:spacing w:after="0" w:line="278" w:lineRule="exact"/>
        <w:rPr>
          <w:sz w:val="20"/>
          <w:szCs w:val="20"/>
          <w:color w:val="auto"/>
        </w:rPr>
      </w:pPr>
    </w:p>
    <w:p>
      <w:pPr>
        <w:jc w:val="both"/>
        <w:ind w:left="200" w:right="419" w:firstLine="540"/>
        <w:spacing w:after="0" w:line="243" w:lineRule="auto"/>
        <w:rPr>
          <w:sz w:val="20"/>
          <w:szCs w:val="20"/>
          <w:color w:val="auto"/>
        </w:rPr>
      </w:pPr>
      <w:r>
        <w:rPr>
          <w:rFonts w:ascii="Arial" w:cs="Arial" w:eastAsia="Arial" w:hAnsi="Arial"/>
          <w:sz w:val="20"/>
          <w:szCs w:val="20"/>
          <w:color w:val="auto"/>
        </w:rPr>
        <w:t>Technical compliance with the Code will not automatically insulate any Covered Person from scrutiny of transactions that show a pattern of compromise or abuse of the individual’s fiduciary duty to the Company. Accordingly, all Covered Persons must seek to avoid any actual or potential conflicts between their personal interests and the interests of the Company and its stockholders. In sum, all Covered Persons shall place the interests of the Company and its investors before their own personal interests.</w:t>
      </w:r>
    </w:p>
    <w:p>
      <w:pPr>
        <w:spacing w:after="0" w:line="317" w:lineRule="exact"/>
        <w:rPr>
          <w:sz w:val="20"/>
          <w:szCs w:val="20"/>
          <w:color w:val="auto"/>
        </w:rPr>
      </w:pPr>
    </w:p>
    <w:p>
      <w:pPr>
        <w:ind w:left="740"/>
        <w:spacing w:after="0"/>
        <w:rPr>
          <w:sz w:val="20"/>
          <w:szCs w:val="20"/>
          <w:color w:val="auto"/>
        </w:rPr>
      </w:pPr>
      <w:r>
        <w:rPr>
          <w:rFonts w:ascii="Arial" w:cs="Arial" w:eastAsia="Arial" w:hAnsi="Arial"/>
          <w:sz w:val="20"/>
          <w:szCs w:val="20"/>
          <w:color w:val="auto"/>
        </w:rPr>
        <w:t>All Covered Persons must read and retain this Code.</w:t>
      </w:r>
    </w:p>
    <w:p>
      <w:pPr>
        <w:spacing w:after="0" w:line="318" w:lineRule="exact"/>
        <w:rPr>
          <w:sz w:val="20"/>
          <w:szCs w:val="20"/>
          <w:color w:val="auto"/>
        </w:rPr>
      </w:pPr>
    </w:p>
    <w:p>
      <w:pPr>
        <w:ind w:left="200"/>
        <w:spacing w:after="0"/>
        <w:tabs>
          <w:tab w:leader="none" w:pos="1460" w:val="left"/>
        </w:tabs>
        <w:rPr>
          <w:sz w:val="20"/>
          <w:szCs w:val="20"/>
          <w:color w:val="auto"/>
        </w:rPr>
      </w:pPr>
      <w:r>
        <w:rPr>
          <w:rFonts w:ascii="Arial" w:cs="Arial" w:eastAsia="Arial" w:hAnsi="Arial"/>
          <w:sz w:val="20"/>
          <w:szCs w:val="20"/>
          <w:b w:val="1"/>
          <w:bCs w:val="1"/>
          <w:color w:val="auto"/>
        </w:rPr>
        <w:t>Section II.</w:t>
      </w:r>
      <w:r>
        <w:rPr>
          <w:sz w:val="20"/>
          <w:szCs w:val="20"/>
          <w:color w:val="auto"/>
        </w:rPr>
        <w:tab/>
      </w:r>
      <w:r>
        <w:rPr>
          <w:rFonts w:ascii="Arial" w:cs="Arial" w:eastAsia="Arial" w:hAnsi="Arial"/>
          <w:sz w:val="16"/>
          <w:szCs w:val="16"/>
          <w:b w:val="1"/>
          <w:bCs w:val="1"/>
          <w:color w:val="auto"/>
        </w:rPr>
        <w:t>Definitions</w:t>
      </w:r>
    </w:p>
    <w:p>
      <w:pPr>
        <w:spacing w:after="0" w:line="330" w:lineRule="exact"/>
        <w:rPr>
          <w:sz w:val="20"/>
          <w:szCs w:val="20"/>
          <w:color w:val="auto"/>
        </w:rPr>
      </w:pPr>
    </w:p>
    <w:p>
      <w:pPr>
        <w:ind w:left="580" w:right="459" w:hanging="373"/>
        <w:spacing w:after="0" w:line="260" w:lineRule="auto"/>
        <w:tabs>
          <w:tab w:leader="none" w:pos="5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Access Person</w:t>
      </w:r>
      <w:r>
        <w:rPr>
          <w:rFonts w:ascii="Arial" w:cs="Arial" w:eastAsia="Arial" w:hAnsi="Arial"/>
          <w:sz w:val="20"/>
          <w:szCs w:val="20"/>
          <w:color w:val="auto"/>
        </w:rPr>
        <w:t>” means any director, employee, officer or Advisory Person (as defined below) of the Company, the Adviser, or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500380</wp:posOffset>
            </wp:positionV>
            <wp:extent cx="5383530"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5383530" cy="25400"/>
                    </a:xfrm>
                    <a:prstGeom prst="rect">
                      <a:avLst/>
                    </a:prstGeom>
                    <a:noFill/>
                  </pic:spPr>
                </pic:pic>
              </a:graphicData>
            </a:graphic>
          </wp:anchor>
        </w:drawing>
      </w:r>
    </w:p>
    <w:p>
      <w:pPr>
        <w:sectPr>
          <w:pgSz w:w="11900" w:h="16838" w:orient="portrait"/>
          <w:cols w:equalWidth="0" w:num="1">
            <w:col w:w="9019"/>
          </w:cols>
          <w:pgMar w:left="1440" w:top="805" w:right="1440" w:bottom="1440" w:gutter="0" w:footer="0" w:header="0"/>
        </w:sectPr>
      </w:pPr>
    </w:p>
    <w:bookmarkStart w:id="88" w:name="page89"/>
    <w:bookmarkEnd w:id="88"/>
    <w:p>
      <w:pPr>
        <w:jc w:val="both"/>
        <w:ind w:left="580" w:right="439" w:hanging="373"/>
        <w:spacing w:after="0" w:line="269" w:lineRule="auto"/>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b w:val="1"/>
          <w:bCs w:val="1"/>
          <w:i w:val="1"/>
          <w:iCs w:val="1"/>
          <w:color w:val="auto"/>
        </w:rPr>
        <w:t>Advisory Person</w:t>
      </w:r>
      <w:r>
        <w:rPr>
          <w:rFonts w:ascii="Arial" w:cs="Arial" w:eastAsia="Arial" w:hAnsi="Arial"/>
          <w:sz w:val="18"/>
          <w:szCs w:val="18"/>
          <w:color w:val="auto"/>
        </w:rPr>
        <w:t>” of the Company, the Adviser, or the Administrator means: (i) any director, officer or employee of the Company, the Adviser, or the Administrator, or any company in a Control (as defined below) relationship to the Company, the Adviser, or the Administrator who in connection with his or her regular functions or duties makes, participates in, or obtains information regarding the purchase or sale of any Covered Security (as defined below) by the Company, or whose functions relate to the making of any recommendation with respect to such purchases or sales; and</w:t>
      </w:r>
    </w:p>
    <w:p>
      <w:pPr>
        <w:spacing w:after="0" w:line="1" w:lineRule="exact"/>
        <w:rPr>
          <w:rFonts w:ascii="Arial" w:cs="Arial" w:eastAsia="Arial" w:hAnsi="Arial"/>
          <w:sz w:val="18"/>
          <w:szCs w:val="18"/>
          <w:color w:val="auto"/>
        </w:rPr>
      </w:pPr>
    </w:p>
    <w:p>
      <w:pPr>
        <w:jc w:val="both"/>
        <w:ind w:left="580" w:right="439" w:firstLine="5"/>
        <w:spacing w:after="0" w:line="241" w:lineRule="auto"/>
        <w:tabs>
          <w:tab w:leader="none" w:pos="886" w:val="left"/>
        </w:tabs>
        <w:numPr>
          <w:ilvl w:val="1"/>
          <w:numId w:val="55"/>
        </w:numPr>
        <w:rPr>
          <w:rFonts w:ascii="Arial" w:cs="Arial" w:eastAsia="Arial" w:hAnsi="Arial"/>
          <w:sz w:val="20"/>
          <w:szCs w:val="20"/>
          <w:color w:val="auto"/>
        </w:rPr>
      </w:pPr>
      <w:r>
        <w:rPr>
          <w:rFonts w:ascii="Arial" w:cs="Arial" w:eastAsia="Arial" w:hAnsi="Arial"/>
          <w:sz w:val="20"/>
          <w:szCs w:val="20"/>
          <w:color w:val="auto"/>
        </w:rPr>
        <w:t>any natural person in a Control relationship to the Company, the Adviser, or the Administrator who obtains information concerning recommendations made to the Company with regard to the purchase or sale of any Covered Security by the Company.</w:t>
      </w:r>
    </w:p>
    <w:p>
      <w:pPr>
        <w:spacing w:after="0" w:line="249" w:lineRule="exact"/>
        <w:rPr>
          <w:rFonts w:ascii="Arial" w:cs="Arial" w:eastAsia="Arial" w:hAnsi="Arial"/>
          <w:sz w:val="20"/>
          <w:szCs w:val="20"/>
          <w:color w:val="auto"/>
        </w:rPr>
      </w:pPr>
    </w:p>
    <w:p>
      <w:pPr>
        <w:jc w:val="both"/>
        <w:ind w:left="580" w:right="439" w:hanging="373"/>
        <w:spacing w:after="0" w:line="246" w:lineRule="auto"/>
        <w:tabs>
          <w:tab w:leader="none" w:pos="580" w:val="left"/>
        </w:tabs>
        <w:numPr>
          <w:ilvl w:val="0"/>
          <w:numId w:val="5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Beneficial Ownership</w:t>
      </w:r>
      <w:r>
        <w:rPr>
          <w:rFonts w:ascii="Arial" w:cs="Arial" w:eastAsia="Arial" w:hAnsi="Arial"/>
          <w:sz w:val="20"/>
          <w:szCs w:val="20"/>
          <w:color w:val="auto"/>
        </w:rPr>
        <w:t>” is interpreted in the same manner as it would be under Rule 16a-1(a)(2) under the Securities Exchange Act of 1934, as amended (the “</w:t>
      </w:r>
      <w:r>
        <w:rPr>
          <w:rFonts w:ascii="Arial" w:cs="Arial" w:eastAsia="Arial" w:hAnsi="Arial"/>
          <w:sz w:val="20"/>
          <w:szCs w:val="20"/>
          <w:b w:val="1"/>
          <w:bCs w:val="1"/>
          <w:i w:val="1"/>
          <w:iCs w:val="1"/>
          <w:color w:val="auto"/>
        </w:rPr>
        <w:t>Exchange Act</w:t>
      </w:r>
      <w:r>
        <w:rPr>
          <w:rFonts w:ascii="Arial" w:cs="Arial" w:eastAsia="Arial" w:hAnsi="Arial"/>
          <w:sz w:val="20"/>
          <w:szCs w:val="20"/>
          <w:color w:val="auto"/>
        </w:rPr>
        <w:t>”), in determining whether a person is a beneficial owner of a security for purposes of Section 16 of the Exchange Act and the rules and regulations thereunder.</w:t>
      </w:r>
    </w:p>
    <w:p>
      <w:pPr>
        <w:spacing w:after="0" w:line="245" w:lineRule="exact"/>
        <w:rPr>
          <w:rFonts w:ascii="Arial" w:cs="Arial" w:eastAsia="Arial" w:hAnsi="Arial"/>
          <w:sz w:val="20"/>
          <w:szCs w:val="20"/>
          <w:color w:val="auto"/>
        </w:rPr>
      </w:pPr>
    </w:p>
    <w:p>
      <w:pPr>
        <w:ind w:left="580" w:right="459" w:hanging="373"/>
        <w:spacing w:after="0" w:line="260" w:lineRule="auto"/>
        <w:tabs>
          <w:tab w:leader="none" w:pos="580" w:val="left"/>
        </w:tabs>
        <w:numPr>
          <w:ilvl w:val="0"/>
          <w:numId w:val="5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CCO</w:t>
      </w:r>
      <w:r>
        <w:rPr>
          <w:rFonts w:ascii="Arial" w:cs="Arial" w:eastAsia="Arial" w:hAnsi="Arial"/>
          <w:sz w:val="20"/>
          <w:szCs w:val="20"/>
          <w:color w:val="auto"/>
        </w:rPr>
        <w:t>” means the Chief Compliance Officer of the Company and / or the Adviser, as the context requires.</w:t>
      </w:r>
    </w:p>
    <w:p>
      <w:pPr>
        <w:spacing w:after="0" w:line="230" w:lineRule="exact"/>
        <w:rPr>
          <w:rFonts w:ascii="Arial" w:cs="Arial" w:eastAsia="Arial" w:hAnsi="Arial"/>
          <w:sz w:val="20"/>
          <w:szCs w:val="20"/>
          <w:color w:val="auto"/>
        </w:rPr>
      </w:pPr>
    </w:p>
    <w:p>
      <w:pPr>
        <w:jc w:val="both"/>
        <w:ind w:left="580" w:right="459" w:hanging="373"/>
        <w:spacing w:after="0" w:line="269" w:lineRule="auto"/>
        <w:tabs>
          <w:tab w:leader="none" w:pos="580" w:val="left"/>
        </w:tabs>
        <w:numPr>
          <w:ilvl w:val="0"/>
          <w:numId w:val="5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Control</w:t>
      </w:r>
      <w:r>
        <w:rPr>
          <w:rFonts w:ascii="Arial" w:cs="Arial" w:eastAsia="Arial" w:hAnsi="Arial"/>
          <w:sz w:val="19"/>
          <w:szCs w:val="19"/>
          <w:color w:val="auto"/>
        </w:rPr>
        <w:t>” shall have the same meaning as that set forth in Section 2(a)(9) of the Act, and generally means the power to exercise a controlling influence over the management or policies of a company, unless such power is solely the result of an official position with such company.</w:t>
      </w:r>
    </w:p>
    <w:p>
      <w:pPr>
        <w:spacing w:after="0" w:line="223" w:lineRule="exact"/>
        <w:rPr>
          <w:rFonts w:ascii="Arial" w:cs="Arial" w:eastAsia="Arial" w:hAnsi="Arial"/>
          <w:sz w:val="19"/>
          <w:szCs w:val="19"/>
          <w:color w:val="auto"/>
        </w:rPr>
      </w:pPr>
    </w:p>
    <w:p>
      <w:pPr>
        <w:jc w:val="both"/>
        <w:ind w:left="580" w:right="439" w:hanging="373"/>
        <w:spacing w:after="0" w:line="246" w:lineRule="auto"/>
        <w:tabs>
          <w:tab w:leader="none" w:pos="580" w:val="left"/>
        </w:tabs>
        <w:numPr>
          <w:ilvl w:val="0"/>
          <w:numId w:val="5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Covered Person</w:t>
      </w:r>
      <w:r>
        <w:rPr>
          <w:rFonts w:ascii="Arial" w:cs="Arial" w:eastAsia="Arial" w:hAnsi="Arial"/>
          <w:sz w:val="20"/>
          <w:szCs w:val="20"/>
          <w:color w:val="auto"/>
        </w:rPr>
        <w:t>” means any director, officer or employee (including a temporary employee) of the Company, the Adviser, or the Administrator, or of any of their affiliates or subsidiaries, and any other persons designated by the CCO. All Supervised Persons are Covered Persons for purposes of this Code.</w:t>
      </w:r>
    </w:p>
    <w:p>
      <w:pPr>
        <w:spacing w:after="0" w:line="245" w:lineRule="exact"/>
        <w:rPr>
          <w:rFonts w:ascii="Arial" w:cs="Arial" w:eastAsia="Arial" w:hAnsi="Arial"/>
          <w:sz w:val="20"/>
          <w:szCs w:val="20"/>
          <w:color w:val="auto"/>
        </w:rPr>
      </w:pPr>
    </w:p>
    <w:p>
      <w:pPr>
        <w:jc w:val="both"/>
        <w:ind w:left="580" w:right="439" w:hanging="373"/>
        <w:spacing w:after="0" w:line="271" w:lineRule="auto"/>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Covered Security</w:t>
      </w:r>
      <w:r>
        <w:rPr>
          <w:rFonts w:ascii="Arial" w:cs="Arial" w:eastAsia="Arial" w:hAnsi="Arial"/>
          <w:sz w:val="18"/>
          <w:szCs w:val="18"/>
          <w:color w:val="auto"/>
        </w:rPr>
        <w:t>” means a security as defined in Section 2(a)(36) of the Act, including: any note, stock, treasury stock, security future, bond, debenture, evidence of indebtedness, certificate of interest or participation in any profit-sharing agreement, collateral-trust certificate, preorganization certificate or subscription, transferable share, investment contract, voting-trust certificate, certificate of deposit for a security, fractional undivided interest in oil, gas, or other mineral rights, any put, call, straddle, option, or privilege on any security (including a certificate of deposit) or on any group or index of securities (including any interest therein or based on the value thereof), or any put, call, straddle, option, or privilege entered into on a national securities exchange relating to foreign currency, or, in general, any interest or instrument commonly known as a “security,” or any certificate of interest or participation in, temporary or interim certificate for, receipt for, guarantee of, or warrant or right to subscribe to or purchase, any of the foregoing.</w:t>
      </w:r>
    </w:p>
    <w:p>
      <w:pPr>
        <w:spacing w:after="0" w:line="223"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Covered Security</w:t>
      </w:r>
      <w:r>
        <w:rPr>
          <w:rFonts w:ascii="Arial" w:cs="Arial" w:eastAsia="Arial" w:hAnsi="Arial"/>
          <w:sz w:val="18"/>
          <w:szCs w:val="18"/>
          <w:color w:val="auto"/>
        </w:rPr>
        <w:t>” does not include: (i) direct obligations of the Government of the United States;</w:t>
      </w:r>
    </w:p>
    <w:p>
      <w:pPr>
        <w:spacing w:after="0" w:line="38" w:lineRule="exact"/>
        <w:rPr>
          <w:rFonts w:ascii="Arial" w:cs="Arial" w:eastAsia="Arial" w:hAnsi="Arial"/>
          <w:sz w:val="18"/>
          <w:szCs w:val="18"/>
          <w:color w:val="auto"/>
        </w:rPr>
      </w:pPr>
    </w:p>
    <w:p>
      <w:pPr>
        <w:jc w:val="both"/>
        <w:ind w:left="600" w:right="419" w:hanging="9"/>
        <w:spacing w:after="0" w:line="242" w:lineRule="auto"/>
        <w:tabs>
          <w:tab w:leader="none" w:pos="891" w:val="left"/>
        </w:tabs>
        <w:numPr>
          <w:ilvl w:val="1"/>
          <w:numId w:val="55"/>
        </w:numPr>
        <w:rPr>
          <w:rFonts w:ascii="Arial" w:cs="Arial" w:eastAsia="Arial" w:hAnsi="Arial"/>
          <w:sz w:val="18"/>
          <w:szCs w:val="18"/>
          <w:color w:val="auto"/>
        </w:rPr>
      </w:pPr>
      <w:r>
        <w:rPr>
          <w:rFonts w:ascii="Arial" w:cs="Arial" w:eastAsia="Arial" w:hAnsi="Arial"/>
          <w:sz w:val="18"/>
          <w:szCs w:val="18"/>
          <w:color w:val="auto"/>
        </w:rPr>
        <w:t>bankers’ acceptances, bank certificates of deposit, commercial paper and high quality short-term debt instruments, including repurchase agreements; and (iii) shares issued by open-end investment companies registered under the Act. References to a Covered Security in this Code (</w:t>
      </w:r>
      <w:r>
        <w:rPr>
          <w:rFonts w:ascii="Arial" w:cs="Arial" w:eastAsia="Arial" w:hAnsi="Arial"/>
          <w:sz w:val="18"/>
          <w:szCs w:val="18"/>
          <w:i w:val="1"/>
          <w:iCs w:val="1"/>
          <w:color w:val="auto"/>
        </w:rPr>
        <w:t>e.g.</w:t>
      </w:r>
      <w:r>
        <w:rPr>
          <w:rFonts w:ascii="Arial" w:cs="Arial" w:eastAsia="Arial" w:hAnsi="Arial"/>
          <w:sz w:val="18"/>
          <w:szCs w:val="18"/>
          <w:color w:val="auto"/>
        </w:rPr>
        <w:t>, a prohibition or requirement applicable to the purchase or sale of a Covered Security) shall be deemed to refer to and to include any warrant for, option in, or security immediately convertible into that Covered Security, and shall also include any instrument that has an investment return or value that is based, in whole or in part, on that Covered Security (collectively, “</w:t>
      </w:r>
      <w:r>
        <w:rPr>
          <w:rFonts w:ascii="Arial" w:cs="Arial" w:eastAsia="Arial" w:hAnsi="Arial"/>
          <w:sz w:val="18"/>
          <w:szCs w:val="18"/>
          <w:b w:val="1"/>
          <w:bCs w:val="1"/>
          <w:i w:val="1"/>
          <w:iCs w:val="1"/>
          <w:color w:val="auto"/>
        </w:rPr>
        <w:t>Derivatives</w:t>
      </w:r>
      <w:r>
        <w:rPr>
          <w:rFonts w:ascii="Arial" w:cs="Arial" w:eastAsia="Arial" w:hAnsi="Arial"/>
          <w:sz w:val="18"/>
          <w:szCs w:val="18"/>
          <w:color w:val="auto"/>
        </w:rPr>
        <w:t>”). Therefore, except as otherwise specifically provided by this Code:</w:t>
      </w:r>
      <w:r>
        <w:rPr>
          <w:rFonts w:ascii="Arial" w:cs="Arial" w:eastAsia="Arial" w:hAnsi="Arial"/>
          <w:sz w:val="38"/>
          <w:szCs w:val="38"/>
          <w:color w:val="auto"/>
          <w:vertAlign w:val="subscript"/>
        </w:rPr>
        <w:t>2</w:t>
      </w:r>
      <w:r>
        <w:rPr>
          <w:rFonts w:ascii="Arial" w:cs="Arial" w:eastAsia="Arial" w:hAnsi="Arial"/>
          <w:sz w:val="18"/>
          <w:szCs w:val="18"/>
          <w:color w:val="auto"/>
        </w:rPr>
        <w:t>(i) any prohibition or requirement of this Code applicable to the purchase or sale of a Covered Security shall also be applicable to the purchase or sale of a Derivative relating to that Covered Security; and (ii) any prohibition or requirement of this Code applicable to the purchase or sale of a Derivative shall also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495935</wp:posOffset>
            </wp:positionV>
            <wp:extent cx="538353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5383530" cy="25400"/>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89" w:name="page90"/>
    <w:bookmarkEnd w:id="89"/>
    <w:p>
      <w:pPr>
        <w:ind w:left="600"/>
        <w:spacing w:after="0"/>
        <w:rPr>
          <w:sz w:val="20"/>
          <w:szCs w:val="20"/>
          <w:color w:val="auto"/>
        </w:rPr>
      </w:pPr>
      <w:r>
        <w:rPr>
          <w:rFonts w:ascii="Arial" w:cs="Arial" w:eastAsia="Arial" w:hAnsi="Arial"/>
          <w:sz w:val="20"/>
          <w:szCs w:val="20"/>
          <w:color w:val="auto"/>
        </w:rPr>
        <w:t>be applicable to the purchase or sale of a Covered Security relating to that Derivative.</w:t>
      </w:r>
    </w:p>
    <w:p>
      <w:pPr>
        <w:spacing w:after="0" w:line="270" w:lineRule="exact"/>
        <w:rPr>
          <w:sz w:val="20"/>
          <w:szCs w:val="20"/>
          <w:color w:val="auto"/>
        </w:rPr>
      </w:pPr>
    </w:p>
    <w:p>
      <w:pPr>
        <w:ind w:left="580" w:right="459" w:hanging="373"/>
        <w:spacing w:after="0" w:line="260" w:lineRule="auto"/>
        <w:tabs>
          <w:tab w:leader="none" w:pos="580" w:val="left"/>
        </w:tabs>
        <w:numPr>
          <w:ilvl w:val="0"/>
          <w:numId w:val="5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Independent Director</w:t>
      </w:r>
      <w:r>
        <w:rPr>
          <w:rFonts w:ascii="Arial" w:cs="Arial" w:eastAsia="Arial" w:hAnsi="Arial"/>
          <w:sz w:val="20"/>
          <w:szCs w:val="20"/>
          <w:color w:val="auto"/>
        </w:rPr>
        <w:t>” means a director of the Company who is not an “interested person” of the Company within the meaning of Section 2(a)(19) of the Act.</w:t>
      </w:r>
    </w:p>
    <w:p>
      <w:pPr>
        <w:spacing w:after="0" w:line="230" w:lineRule="exact"/>
        <w:rPr>
          <w:rFonts w:ascii="Arial" w:cs="Arial" w:eastAsia="Arial" w:hAnsi="Arial"/>
          <w:sz w:val="20"/>
          <w:szCs w:val="20"/>
          <w:color w:val="auto"/>
        </w:rPr>
      </w:pPr>
    </w:p>
    <w:p>
      <w:pPr>
        <w:jc w:val="both"/>
        <w:ind w:left="580" w:right="439" w:hanging="373"/>
        <w:spacing w:after="0" w:line="269" w:lineRule="auto"/>
        <w:tabs>
          <w:tab w:leader="none" w:pos="580" w:val="left"/>
        </w:tabs>
        <w:numPr>
          <w:ilvl w:val="0"/>
          <w:numId w:val="5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Initial Public Offering</w:t>
      </w:r>
      <w:r>
        <w:rPr>
          <w:rFonts w:ascii="Arial" w:cs="Arial" w:eastAsia="Arial" w:hAnsi="Arial"/>
          <w:sz w:val="19"/>
          <w:szCs w:val="19"/>
          <w:color w:val="auto"/>
        </w:rPr>
        <w:t>” means an offering of securities registered under the Securities Act of 1933, as amended (the “</w:t>
      </w:r>
      <w:r>
        <w:rPr>
          <w:rFonts w:ascii="Arial" w:cs="Arial" w:eastAsia="Arial" w:hAnsi="Arial"/>
          <w:sz w:val="19"/>
          <w:szCs w:val="19"/>
          <w:b w:val="1"/>
          <w:bCs w:val="1"/>
          <w:i w:val="1"/>
          <w:iCs w:val="1"/>
          <w:color w:val="auto"/>
        </w:rPr>
        <w:t>1933 Act</w:t>
      </w:r>
      <w:r>
        <w:rPr>
          <w:rFonts w:ascii="Arial" w:cs="Arial" w:eastAsia="Arial" w:hAnsi="Arial"/>
          <w:sz w:val="19"/>
          <w:szCs w:val="19"/>
          <w:color w:val="auto"/>
        </w:rPr>
        <w:t>”), the issuer of which, immediately before the registration, was not subject to the reporting requirements of Sections 13 or 15(d) of the Exchange Act.</w:t>
      </w:r>
    </w:p>
    <w:p>
      <w:pPr>
        <w:spacing w:after="0" w:line="223" w:lineRule="exact"/>
        <w:rPr>
          <w:rFonts w:ascii="Arial" w:cs="Arial" w:eastAsia="Arial" w:hAnsi="Arial"/>
          <w:sz w:val="19"/>
          <w:szCs w:val="19"/>
          <w:color w:val="auto"/>
        </w:rPr>
      </w:pPr>
    </w:p>
    <w:p>
      <w:pPr>
        <w:jc w:val="both"/>
        <w:ind w:left="580" w:right="439" w:hanging="373"/>
        <w:spacing w:after="0" w:line="274"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Investment Persons</w:t>
      </w:r>
      <w:r>
        <w:rPr>
          <w:rFonts w:ascii="Arial" w:cs="Arial" w:eastAsia="Arial" w:hAnsi="Arial"/>
          <w:sz w:val="18"/>
          <w:szCs w:val="18"/>
          <w:color w:val="auto"/>
        </w:rPr>
        <w:t>” of the Company, the Adviser, or the Administrator means: (i) any employee of the Company, the Adviser, or the Administrator (or of any company in a Control relationship to the Company, the Adviser, or the Administrator) who, in connection with his or her regular functions or duties, makes or participates in making recommendations regarding the purchase or sale of securities by the Company; and (ii) any natural person who controls the Company, the Adviser, or the Administrator and who obtains information concerning recommendations made to the Company regarding the purchase or sale of securities by the Company.</w:t>
      </w:r>
    </w:p>
    <w:p>
      <w:pPr>
        <w:spacing w:after="0" w:line="222" w:lineRule="exact"/>
        <w:rPr>
          <w:rFonts w:ascii="Arial" w:cs="Arial" w:eastAsia="Arial" w:hAnsi="Arial"/>
          <w:sz w:val="18"/>
          <w:szCs w:val="18"/>
          <w:color w:val="auto"/>
        </w:rPr>
      </w:pPr>
    </w:p>
    <w:p>
      <w:pPr>
        <w:ind w:left="580" w:right="439" w:hanging="373"/>
        <w:spacing w:after="0" w:line="316"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Limited Offering</w:t>
      </w:r>
      <w:r>
        <w:rPr>
          <w:rFonts w:ascii="Arial" w:cs="Arial" w:eastAsia="Arial" w:hAnsi="Arial"/>
          <w:sz w:val="18"/>
          <w:szCs w:val="18"/>
          <w:color w:val="auto"/>
        </w:rPr>
        <w:t>” means an offering that is exempt from registration under the 1933 Act pursuant to Section 4(2) or Section 4(6) thereof or pursuant to Rule 504, Rule 505, or Rule 506 thereunder.</w:t>
      </w:r>
    </w:p>
    <w:p>
      <w:pPr>
        <w:spacing w:after="0" w:line="183" w:lineRule="exact"/>
        <w:rPr>
          <w:rFonts w:ascii="Arial" w:cs="Arial" w:eastAsia="Arial" w:hAnsi="Arial"/>
          <w:sz w:val="18"/>
          <w:szCs w:val="18"/>
          <w:color w:val="auto"/>
        </w:rPr>
      </w:pPr>
    </w:p>
    <w:p>
      <w:pPr>
        <w:ind w:left="580" w:hanging="373"/>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Security Held or to be Acquired</w:t>
      </w:r>
      <w:r>
        <w:rPr>
          <w:rFonts w:ascii="Arial" w:cs="Arial" w:eastAsia="Arial" w:hAnsi="Arial"/>
          <w:sz w:val="18"/>
          <w:szCs w:val="18"/>
          <w:color w:val="auto"/>
        </w:rPr>
        <w:t>” by the Company means: (i) any Covered Security which, within</w:t>
      </w:r>
    </w:p>
    <w:p>
      <w:pPr>
        <w:spacing w:after="0" w:line="38" w:lineRule="exact"/>
        <w:rPr>
          <w:rFonts w:ascii="Arial" w:cs="Arial" w:eastAsia="Arial" w:hAnsi="Arial"/>
          <w:sz w:val="18"/>
          <w:szCs w:val="18"/>
          <w:color w:val="auto"/>
        </w:rPr>
      </w:pPr>
    </w:p>
    <w:p>
      <w:pPr>
        <w:jc w:val="both"/>
        <w:ind w:left="580" w:right="439"/>
        <w:spacing w:after="0" w:line="241" w:lineRule="auto"/>
        <w:rPr>
          <w:rFonts w:ascii="Arial" w:cs="Arial" w:eastAsia="Arial" w:hAnsi="Arial"/>
          <w:sz w:val="18"/>
          <w:szCs w:val="18"/>
          <w:color w:val="auto"/>
        </w:rPr>
      </w:pPr>
      <w:r>
        <w:rPr>
          <w:rFonts w:ascii="Arial" w:cs="Arial" w:eastAsia="Arial" w:hAnsi="Arial"/>
          <w:sz w:val="20"/>
          <w:szCs w:val="20"/>
          <w:color w:val="auto"/>
        </w:rPr>
        <w:t>the most recent 15 days: (A) is or has been held by the Company; or (B) is being or has been considered by the Company or the Adviser for purchase by the Company; and (ii) any option to purchase or sell, and any security convertible into or exchangeable for, a Covered Security described in Section II (L)(i) above.</w:t>
      </w:r>
    </w:p>
    <w:p>
      <w:pPr>
        <w:spacing w:after="0" w:line="248" w:lineRule="exact"/>
        <w:rPr>
          <w:rFonts w:ascii="Arial" w:cs="Arial" w:eastAsia="Arial" w:hAnsi="Arial"/>
          <w:sz w:val="18"/>
          <w:szCs w:val="18"/>
          <w:color w:val="auto"/>
        </w:rPr>
      </w:pPr>
    </w:p>
    <w:p>
      <w:pPr>
        <w:jc w:val="both"/>
        <w:ind w:left="580" w:right="439" w:hanging="373"/>
        <w:spacing w:after="0" w:line="274"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List</w:t>
      </w:r>
      <w:r>
        <w:rPr>
          <w:rFonts w:ascii="Arial" w:cs="Arial" w:eastAsia="Arial" w:hAnsi="Arial"/>
          <w:sz w:val="18"/>
          <w:szCs w:val="18"/>
          <w:color w:val="auto"/>
        </w:rPr>
        <w:t>” means the list promulgated and periodically updated by the CCO, in consultation with the Adviser’s Chief Investment Officer (“</w:t>
      </w:r>
      <w:r>
        <w:rPr>
          <w:rFonts w:ascii="Arial" w:cs="Arial" w:eastAsia="Arial" w:hAnsi="Arial"/>
          <w:sz w:val="18"/>
          <w:szCs w:val="18"/>
          <w:b w:val="1"/>
          <w:bCs w:val="1"/>
          <w:i w:val="1"/>
          <w:iCs w:val="1"/>
          <w:color w:val="auto"/>
        </w:rPr>
        <w:t>CIO</w:t>
      </w:r>
      <w:r>
        <w:rPr>
          <w:rFonts w:ascii="Arial" w:cs="Arial" w:eastAsia="Arial" w:hAnsi="Arial"/>
          <w:sz w:val="18"/>
          <w:szCs w:val="18"/>
          <w:color w:val="auto"/>
        </w:rPr>
        <w:t>”) or his/her designee, which lists the names of all issuers of publicly traded securities as to which the CIO and/or the CCO have determined that the Company, the Adviser and/or the Administrator (collectively, the “</w:t>
      </w:r>
      <w:r>
        <w:rPr>
          <w:rFonts w:ascii="Arial" w:cs="Arial" w:eastAsia="Arial" w:hAnsi="Arial"/>
          <w:sz w:val="18"/>
          <w:szCs w:val="18"/>
          <w:b w:val="1"/>
          <w:bCs w:val="1"/>
          <w:i w:val="1"/>
          <w:iCs w:val="1"/>
          <w:color w:val="auto"/>
        </w:rPr>
        <w:t>Runway Entities</w:t>
      </w:r>
      <w:r>
        <w:rPr>
          <w:rFonts w:ascii="Arial" w:cs="Arial" w:eastAsia="Arial" w:hAnsi="Arial"/>
          <w:sz w:val="18"/>
          <w:szCs w:val="18"/>
          <w:color w:val="auto"/>
        </w:rPr>
        <w:t xml:space="preserve">”), or any one or more Covered Persons, may be in possession of material non-public information concerning the issuer, or the trading markets for its securities, within the purview of the </w:t>
      </w:r>
      <w:r>
        <w:rPr>
          <w:rFonts w:ascii="Arial" w:cs="Arial" w:eastAsia="Arial" w:hAnsi="Arial"/>
          <w:sz w:val="18"/>
          <w:szCs w:val="18"/>
          <w:u w:val="single" w:color="auto"/>
          <w:color w:val="auto"/>
        </w:rPr>
        <w:t>Insider Trading Policies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Procedures</w:t>
      </w:r>
      <w:r>
        <w:rPr>
          <w:rFonts w:ascii="Arial" w:cs="Arial" w:eastAsia="Arial" w:hAnsi="Arial"/>
          <w:sz w:val="18"/>
          <w:szCs w:val="18"/>
          <w:color w:val="auto"/>
        </w:rPr>
        <w:t xml:space="preserve"> as have been jointly adopted by the Runway Entities.</w:t>
      </w:r>
    </w:p>
    <w:p>
      <w:pPr>
        <w:spacing w:after="0" w:line="222" w:lineRule="exact"/>
        <w:rPr>
          <w:rFonts w:ascii="Arial" w:cs="Arial" w:eastAsia="Arial" w:hAnsi="Arial"/>
          <w:sz w:val="18"/>
          <w:szCs w:val="18"/>
          <w:color w:val="auto"/>
        </w:rPr>
      </w:pPr>
    </w:p>
    <w:p>
      <w:pPr>
        <w:jc w:val="both"/>
        <w:ind w:left="580" w:right="439" w:hanging="373"/>
        <w:spacing w:after="0" w:line="259" w:lineRule="auto"/>
        <w:tabs>
          <w:tab w:leader="none" w:pos="580" w:val="left"/>
        </w:tabs>
        <w:numPr>
          <w:ilvl w:val="0"/>
          <w:numId w:val="5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Supervised Person</w:t>
      </w:r>
      <w:r>
        <w:rPr>
          <w:rFonts w:ascii="Arial" w:cs="Arial" w:eastAsia="Arial" w:hAnsi="Arial"/>
          <w:sz w:val="19"/>
          <w:szCs w:val="19"/>
          <w:color w:val="auto"/>
        </w:rPr>
        <w:t>” means any partner, officer, director (or other person occupying a similar status or performing similar functions), or employee of the Adviser, or other person who provides investment advice on behalf of the Adviser and is subject to the supervision and control of the Adviser. For purposes of this Code, all employees and “Associated Persons” (as defined in Section 202(a)(17) of the Advisers Act) of the Adviser as well as any other person designated by the CCO as a Supervised Person are deemed to be Supervised Persons.</w:t>
      </w:r>
    </w:p>
    <w:p>
      <w:pPr>
        <w:spacing w:after="0" w:line="334"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0"/>
          <w:szCs w:val="20"/>
          <w:b w:val="1"/>
          <w:bCs w:val="1"/>
          <w:color w:val="auto"/>
        </w:rPr>
        <w:t>Section III.</w:t>
      </w:r>
      <w:r>
        <w:rPr>
          <w:sz w:val="20"/>
          <w:szCs w:val="20"/>
          <w:color w:val="auto"/>
        </w:rPr>
        <w:tab/>
      </w:r>
      <w:r>
        <w:rPr>
          <w:rFonts w:ascii="Arial" w:cs="Arial" w:eastAsia="Arial" w:hAnsi="Arial"/>
          <w:sz w:val="16"/>
          <w:szCs w:val="16"/>
          <w:b w:val="1"/>
          <w:bCs w:val="1"/>
          <w:color w:val="auto"/>
        </w:rPr>
        <w:t>Objective and General Prohibitions</w:t>
      </w:r>
    </w:p>
    <w:p>
      <w:pPr>
        <w:spacing w:after="0" w:line="330" w:lineRule="exact"/>
        <w:rPr>
          <w:sz w:val="20"/>
          <w:szCs w:val="20"/>
          <w:color w:val="auto"/>
        </w:rPr>
      </w:pPr>
    </w:p>
    <w:p>
      <w:pPr>
        <w:jc w:val="both"/>
        <w:ind w:left="200" w:right="419" w:firstLine="540"/>
        <w:spacing w:after="0" w:line="272" w:lineRule="auto"/>
        <w:rPr>
          <w:sz w:val="20"/>
          <w:szCs w:val="20"/>
          <w:color w:val="auto"/>
        </w:rPr>
      </w:pPr>
      <w:r>
        <w:rPr>
          <w:rFonts w:ascii="Arial" w:cs="Arial" w:eastAsia="Arial" w:hAnsi="Arial"/>
          <w:sz w:val="18"/>
          <w:szCs w:val="18"/>
          <w:color w:val="auto"/>
        </w:rPr>
        <w:t>Covered Persons may not engage in any investment transaction under circumstances in which the Covered Person benefits from or interferes with the purchase or sale of investments by the Company. In addition, Covered Persons may not use information concerning the investments or investment intentions</w:t>
      </w:r>
    </w:p>
    <w:p>
      <w:pPr>
        <w:spacing w:after="0" w:line="1" w:lineRule="exact"/>
        <w:rPr>
          <w:sz w:val="20"/>
          <w:szCs w:val="20"/>
          <w:color w:val="auto"/>
        </w:rPr>
      </w:pPr>
    </w:p>
    <w:p>
      <w:pPr>
        <w:jc w:val="both"/>
        <w:ind w:left="4560" w:right="419" w:hanging="4361"/>
        <w:spacing w:after="0"/>
        <w:rPr>
          <w:sz w:val="20"/>
          <w:szCs w:val="20"/>
          <w:color w:val="auto"/>
        </w:rPr>
      </w:pPr>
      <w:r>
        <w:rPr>
          <w:rFonts w:ascii="Arial" w:cs="Arial" w:eastAsia="Arial" w:hAnsi="Arial"/>
          <w:sz w:val="18"/>
          <w:szCs w:val="18"/>
          <w:color w:val="auto"/>
        </w:rPr>
        <w:t xml:space="preserve">of the Company, or their ability to influence such investment intentions, for personal gain or in a manner </w:t>
      </w:r>
      <w:r>
        <w:rPr>
          <w:rFonts w:ascii="Arial" w:cs="Arial" w:eastAsia="Arial" w:hAnsi="Arial"/>
          <w:sz w:val="19"/>
          <w:szCs w:val="19"/>
          <w:color w:val="auto"/>
        </w:rPr>
        <w:t>3</w:t>
      </w:r>
    </w:p>
    <w:p>
      <w:pPr>
        <w:spacing w:after="0" w:line="11" w:lineRule="exact"/>
        <w:rPr>
          <w:sz w:val="20"/>
          <w:szCs w:val="20"/>
          <w:color w:val="auto"/>
        </w:rPr>
      </w:pPr>
    </w:p>
    <w:p>
      <w:pPr>
        <w:jc w:val="both"/>
        <w:ind w:left="200" w:right="419"/>
        <w:spacing w:after="0" w:line="241" w:lineRule="auto"/>
        <w:rPr>
          <w:sz w:val="20"/>
          <w:szCs w:val="20"/>
          <w:color w:val="auto"/>
        </w:rPr>
      </w:pPr>
      <w:r>
        <w:rPr>
          <w:rFonts w:ascii="Arial" w:cs="Arial" w:eastAsia="Arial" w:hAnsi="Arial"/>
          <w:sz w:val="20"/>
          <w:szCs w:val="20"/>
          <w:color w:val="auto"/>
        </w:rPr>
        <w:t>detrimental to the interests of the Company. This prohibition includes, but is not limited to, a prohibition on using information concerning investments, potential investments or investment intentions of the Company for personal gain through transacting (including,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495300</wp:posOffset>
            </wp:positionV>
            <wp:extent cx="538353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5383530" cy="1714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90" w:name="page91"/>
    <w:bookmarkEnd w:id="90"/>
    <w:p>
      <w:pPr>
        <w:jc w:val="both"/>
        <w:ind w:left="200" w:right="419"/>
        <w:spacing w:after="0" w:line="250" w:lineRule="auto"/>
        <w:rPr>
          <w:sz w:val="20"/>
          <w:szCs w:val="20"/>
          <w:color w:val="auto"/>
        </w:rPr>
      </w:pPr>
      <w:r>
        <w:rPr>
          <w:rFonts w:ascii="Arial" w:cs="Arial" w:eastAsia="Arial" w:hAnsi="Arial"/>
          <w:sz w:val="20"/>
          <w:szCs w:val="20"/>
          <w:color w:val="auto"/>
        </w:rPr>
        <w:t>limitation, via activities on virtual marketplaces such as SharesPost or similar platforms, or otherwise) in Covered Securities of companies in which the Company has made or is considering making (or divesting of) an investment.</w:t>
      </w:r>
    </w:p>
    <w:p>
      <w:pPr>
        <w:spacing w:after="0" w:line="294" w:lineRule="exact"/>
        <w:rPr>
          <w:sz w:val="20"/>
          <w:szCs w:val="20"/>
          <w:color w:val="auto"/>
        </w:rPr>
      </w:pPr>
    </w:p>
    <w:p>
      <w:pPr>
        <w:jc w:val="both"/>
        <w:ind w:left="200" w:right="419" w:firstLine="540"/>
        <w:spacing w:after="0" w:line="243" w:lineRule="auto"/>
        <w:rPr>
          <w:sz w:val="20"/>
          <w:szCs w:val="20"/>
          <w:color w:val="auto"/>
        </w:rPr>
      </w:pPr>
      <w:r>
        <w:rPr>
          <w:rFonts w:ascii="Arial" w:cs="Arial" w:eastAsia="Arial" w:hAnsi="Arial"/>
          <w:sz w:val="20"/>
          <w:szCs w:val="20"/>
          <w:color w:val="auto"/>
        </w:rPr>
        <w:t>Covered Persons may not engage in conduct that is deceitful, fraudulent or manipulative, or that involves false or misleading statements, in connection with the purchase or sale of investments by the Company. In this regard, Covered Persons should recognize that Rule 17j-1 makes it unlawful for any affiliated person of the Company, or any affiliated person of an investment adviser for the Company, in connection with the purchase or sale, directly or indirectly, by the person of a Security Held or to be Acquired by the Company, to:</w:t>
      </w:r>
    </w:p>
    <w:p>
      <w:pPr>
        <w:spacing w:after="0" w:line="304" w:lineRule="exact"/>
        <w:rPr>
          <w:sz w:val="20"/>
          <w:szCs w:val="20"/>
          <w:color w:val="auto"/>
        </w:rPr>
      </w:pPr>
    </w:p>
    <w:p>
      <w:pPr>
        <w:ind w:left="860" w:hanging="653"/>
        <w:spacing w:after="0"/>
        <w:tabs>
          <w:tab w:leader="none" w:pos="8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employ any device, scheme or artifice to defraud the Company or its investors;</w:t>
      </w:r>
    </w:p>
    <w:p>
      <w:pPr>
        <w:spacing w:after="0" w:line="269" w:lineRule="exact"/>
        <w:rPr>
          <w:rFonts w:ascii="Arial" w:cs="Arial" w:eastAsia="Arial" w:hAnsi="Arial"/>
          <w:sz w:val="20"/>
          <w:szCs w:val="20"/>
          <w:color w:val="auto"/>
        </w:rPr>
      </w:pPr>
    </w:p>
    <w:p>
      <w:pPr>
        <w:jc w:val="both"/>
        <w:ind w:left="860" w:right="459" w:hanging="653"/>
        <w:spacing w:after="0" w:line="269" w:lineRule="auto"/>
        <w:tabs>
          <w:tab w:leader="none" w:pos="860" w:val="left"/>
        </w:tabs>
        <w:numPr>
          <w:ilvl w:val="0"/>
          <w:numId w:val="57"/>
        </w:numPr>
        <w:rPr>
          <w:rFonts w:ascii="Arial" w:cs="Arial" w:eastAsia="Arial" w:hAnsi="Arial"/>
          <w:sz w:val="19"/>
          <w:szCs w:val="19"/>
          <w:color w:val="auto"/>
        </w:rPr>
      </w:pPr>
      <w:r>
        <w:rPr>
          <w:rFonts w:ascii="Arial" w:cs="Arial" w:eastAsia="Arial" w:hAnsi="Arial"/>
          <w:sz w:val="19"/>
          <w:szCs w:val="19"/>
          <w:color w:val="auto"/>
        </w:rPr>
        <w:t>make any untrue statement of a material fact to the Company or its investors or omit to state to the Company or its investors a material fact necessary in order to make the statements made, in light of the circumstances under which they are made, not misleading;</w:t>
      </w:r>
    </w:p>
    <w:p>
      <w:pPr>
        <w:spacing w:after="0" w:line="223" w:lineRule="exact"/>
        <w:rPr>
          <w:rFonts w:ascii="Arial" w:cs="Arial" w:eastAsia="Arial" w:hAnsi="Arial"/>
          <w:sz w:val="19"/>
          <w:szCs w:val="19"/>
          <w:color w:val="auto"/>
        </w:rPr>
      </w:pPr>
    </w:p>
    <w:p>
      <w:pPr>
        <w:ind w:left="860" w:right="459" w:hanging="653"/>
        <w:spacing w:after="0" w:line="260" w:lineRule="auto"/>
        <w:tabs>
          <w:tab w:leader="none" w:pos="8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engage in any act, practice or course of business that operates or would operate as a fraud or deceit upon the Company or its investors; or</w:t>
      </w:r>
    </w:p>
    <w:p>
      <w:pPr>
        <w:spacing w:after="0" w:line="230" w:lineRule="exact"/>
        <w:rPr>
          <w:rFonts w:ascii="Arial" w:cs="Arial" w:eastAsia="Arial" w:hAnsi="Arial"/>
          <w:sz w:val="20"/>
          <w:szCs w:val="20"/>
          <w:color w:val="auto"/>
        </w:rPr>
      </w:pPr>
    </w:p>
    <w:p>
      <w:pPr>
        <w:ind w:left="860" w:hanging="653"/>
        <w:spacing w:after="0"/>
        <w:tabs>
          <w:tab w:leader="none" w:pos="8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engage in any manipulative practice with respect to the Company or its investors.</w:t>
      </w:r>
    </w:p>
    <w:p>
      <w:pPr>
        <w:spacing w:after="0" w:line="324" w:lineRule="exact"/>
        <w:rPr>
          <w:sz w:val="20"/>
          <w:szCs w:val="20"/>
          <w:color w:val="auto"/>
        </w:rPr>
      </w:pPr>
    </w:p>
    <w:p>
      <w:pPr>
        <w:jc w:val="both"/>
        <w:ind w:left="200" w:right="419" w:firstLine="540"/>
        <w:spacing w:after="0" w:line="250" w:lineRule="auto"/>
        <w:rPr>
          <w:sz w:val="20"/>
          <w:szCs w:val="20"/>
          <w:color w:val="auto"/>
        </w:rPr>
      </w:pPr>
      <w:r>
        <w:rPr>
          <w:rFonts w:ascii="Arial" w:cs="Arial" w:eastAsia="Arial" w:hAnsi="Arial"/>
          <w:sz w:val="20"/>
          <w:szCs w:val="20"/>
          <w:color w:val="auto"/>
        </w:rPr>
        <w:t>Covered Persons should also recognize that a violation of this Code or of Rule 17j-1 may result in the imposition of: (1) sanctions as provided by Section VIII below; or (2) administrative, civil and, in certain cases, criminal fines, sanctions or penalties.</w:t>
      </w:r>
    </w:p>
    <w:p>
      <w:pPr>
        <w:spacing w:after="0" w:line="29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Covered Persons are required to comply with applicable federal securities laws.</w:t>
      </w:r>
    </w:p>
    <w:p>
      <w:pPr>
        <w:spacing w:after="0" w:line="318" w:lineRule="exact"/>
        <w:rPr>
          <w:sz w:val="20"/>
          <w:szCs w:val="20"/>
          <w:color w:val="auto"/>
        </w:rPr>
      </w:pPr>
    </w:p>
    <w:p>
      <w:pPr>
        <w:ind w:left="200"/>
        <w:spacing w:after="0"/>
        <w:tabs>
          <w:tab w:leader="none" w:pos="1460" w:val="left"/>
        </w:tabs>
        <w:rPr>
          <w:sz w:val="20"/>
          <w:szCs w:val="20"/>
          <w:color w:val="auto"/>
        </w:rPr>
      </w:pPr>
      <w:r>
        <w:rPr>
          <w:rFonts w:ascii="Arial" w:cs="Arial" w:eastAsia="Arial" w:hAnsi="Arial"/>
          <w:sz w:val="20"/>
          <w:szCs w:val="20"/>
          <w:b w:val="1"/>
          <w:bCs w:val="1"/>
          <w:color w:val="auto"/>
        </w:rPr>
        <w:t>Section IV.</w:t>
      </w:r>
      <w:r>
        <w:rPr>
          <w:sz w:val="20"/>
          <w:szCs w:val="20"/>
          <w:color w:val="auto"/>
        </w:rPr>
        <w:tab/>
      </w:r>
      <w:r>
        <w:rPr>
          <w:rFonts w:ascii="Arial" w:cs="Arial" w:eastAsia="Arial" w:hAnsi="Arial"/>
          <w:sz w:val="16"/>
          <w:szCs w:val="16"/>
          <w:b w:val="1"/>
          <w:bCs w:val="1"/>
          <w:color w:val="auto"/>
        </w:rPr>
        <w:t>Prohibited Transactions</w:t>
      </w:r>
    </w:p>
    <w:p>
      <w:pPr>
        <w:spacing w:after="0" w:line="330" w:lineRule="exact"/>
        <w:rPr>
          <w:sz w:val="20"/>
          <w:szCs w:val="20"/>
          <w:color w:val="auto"/>
        </w:rPr>
      </w:pPr>
    </w:p>
    <w:p>
      <w:pPr>
        <w:jc w:val="both"/>
        <w:ind w:left="740" w:right="439" w:hanging="539"/>
        <w:spacing w:after="0" w:line="244" w:lineRule="auto"/>
        <w:tabs>
          <w:tab w:leader="none" w:pos="720" w:val="left"/>
        </w:tabs>
        <w:rPr>
          <w:sz w:val="20"/>
          <w:szCs w:val="20"/>
          <w:color w:val="auto"/>
        </w:rPr>
      </w:pPr>
      <w:r>
        <w:rPr>
          <w:rFonts w:ascii="Arial" w:cs="Arial" w:eastAsia="Arial" w:hAnsi="Arial"/>
          <w:sz w:val="20"/>
          <w:szCs w:val="20"/>
          <w:color w:val="auto"/>
        </w:rPr>
        <w:t>(A)</w:t>
        <w:tab/>
        <w:t>An Access Person may not purchase or otherwise acquire direct or indirect Beneficial Ownership, and without pre-clearance approval may not sell or otherwise dispose of direct or indirect Beneficial Ownership, of any security on the Restricted List, or in any Covered Security concerning which he or she has material non-public information, whether or not that security is on the Restricted List.</w:t>
      </w:r>
    </w:p>
    <w:p>
      <w:pPr>
        <w:spacing w:after="0" w:line="248" w:lineRule="exact"/>
        <w:rPr>
          <w:sz w:val="20"/>
          <w:szCs w:val="20"/>
          <w:color w:val="auto"/>
        </w:rPr>
      </w:pPr>
    </w:p>
    <w:p>
      <w:pPr>
        <w:jc w:val="both"/>
        <w:ind w:left="740" w:right="439" w:hanging="539"/>
        <w:spacing w:after="0" w:line="260" w:lineRule="auto"/>
        <w:tabs>
          <w:tab w:leader="none" w:pos="720" w:val="left"/>
        </w:tabs>
        <w:rPr>
          <w:sz w:val="20"/>
          <w:szCs w:val="20"/>
          <w:color w:val="auto"/>
        </w:rPr>
      </w:pPr>
      <w:r>
        <w:rPr>
          <w:rFonts w:ascii="Arial" w:cs="Arial" w:eastAsia="Arial" w:hAnsi="Arial"/>
          <w:sz w:val="19"/>
          <w:szCs w:val="19"/>
          <w:color w:val="auto"/>
        </w:rPr>
        <w:t>(B)</w:t>
        <w:tab/>
        <w:t>An Access Person may not purchase or otherwise acquire or sell or otherwise dispose of any direct or indirect Beneficial Ownership of the Company’s securities without pre-clearance approval by the CCO. (Use the “Pre-Clearance Request” form attached as Schedule A or any available online personal securities trade reporting and monitoring system that is monitored and overseen by the CCO or his designee(s) (the “</w:t>
      </w:r>
      <w:r>
        <w:rPr>
          <w:rFonts w:ascii="Arial" w:cs="Arial" w:eastAsia="Arial" w:hAnsi="Arial"/>
          <w:sz w:val="19"/>
          <w:szCs w:val="19"/>
          <w:b w:val="1"/>
          <w:bCs w:val="1"/>
          <w:i w:val="1"/>
          <w:iCs w:val="1"/>
          <w:color w:val="auto"/>
        </w:rPr>
        <w:t>PST System</w:t>
      </w:r>
      <w:r>
        <w:rPr>
          <w:rFonts w:ascii="Arial" w:cs="Arial" w:eastAsia="Arial" w:hAnsi="Arial"/>
          <w:sz w:val="19"/>
          <w:szCs w:val="19"/>
          <w:color w:val="auto"/>
        </w:rPr>
        <w:t>”)).</w:t>
      </w:r>
    </w:p>
    <w:p>
      <w:pPr>
        <w:spacing w:after="0" w:line="234" w:lineRule="exact"/>
        <w:rPr>
          <w:sz w:val="20"/>
          <w:szCs w:val="20"/>
          <w:color w:val="auto"/>
        </w:rPr>
      </w:pPr>
    </w:p>
    <w:p>
      <w:pPr>
        <w:jc w:val="both"/>
        <w:ind w:left="740" w:right="439" w:hanging="539"/>
        <w:spacing w:after="0" w:line="219" w:lineRule="auto"/>
        <w:tabs>
          <w:tab w:leader="none" w:pos="720" w:val="left"/>
        </w:tabs>
        <w:rPr>
          <w:sz w:val="20"/>
          <w:szCs w:val="20"/>
          <w:color w:val="auto"/>
        </w:rPr>
      </w:pPr>
      <w:r>
        <w:rPr>
          <w:rFonts w:ascii="Arial" w:cs="Arial" w:eastAsia="Arial" w:hAnsi="Arial"/>
          <w:sz w:val="18"/>
          <w:szCs w:val="18"/>
          <w:color w:val="auto"/>
        </w:rPr>
        <w:t>(C)</w:t>
        <w:tab/>
        <w:t>Investment Persons of the Company, the Adviser, or the Administrator must obtain pre-approval from the Company, the Adviser, or the Administrator, as the case may be, before directly or indirectly acquiring Beneficial Ownership in any Covered Securities in an Initial Public Offering or in a Limited Offering. Such approval must be obtained from the Adviser’s CCO, unless he is</w:t>
      </w:r>
    </w:p>
    <w:p>
      <w:pPr>
        <w:jc w:val="center"/>
        <w:ind w:right="-220"/>
        <w:spacing w:after="0" w:line="196" w:lineRule="auto"/>
        <w:rPr>
          <w:sz w:val="20"/>
          <w:szCs w:val="20"/>
          <w:color w:val="auto"/>
        </w:rPr>
      </w:pPr>
      <w:r>
        <w:rPr>
          <w:rFonts w:ascii="Arial" w:cs="Arial" w:eastAsia="Arial" w:hAnsi="Arial"/>
          <w:sz w:val="19"/>
          <w:szCs w:val="19"/>
          <w:color w:val="auto"/>
        </w:rPr>
        <w:t>4</w:t>
      </w:r>
    </w:p>
    <w:p>
      <w:pPr>
        <w:ind w:left="740" w:right="459"/>
        <w:spacing w:after="0" w:line="269" w:lineRule="auto"/>
        <w:rPr>
          <w:sz w:val="20"/>
          <w:szCs w:val="20"/>
          <w:color w:val="auto"/>
        </w:rPr>
      </w:pPr>
      <w:r>
        <w:rPr>
          <w:rFonts w:ascii="Arial" w:cs="Arial" w:eastAsia="Arial" w:hAnsi="Arial"/>
          <w:sz w:val="19"/>
          <w:szCs w:val="19"/>
          <w:color w:val="auto"/>
        </w:rPr>
        <w:t>the person seeking such approval, in which case it must be obtained from the Adviser’s Chief Executive Officer. (Use the “Pre-Clearance Request” form attached as Schedule A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478155</wp:posOffset>
            </wp:positionV>
            <wp:extent cx="5383530"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5383530" cy="25400"/>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91" w:name="page92"/>
    <w:bookmarkEnd w:id="91"/>
    <w:p>
      <w:pPr>
        <w:ind w:left="740"/>
        <w:spacing w:after="0"/>
        <w:rPr>
          <w:rFonts w:ascii="Arial" w:cs="Arial" w:eastAsia="Arial" w:hAnsi="Arial"/>
          <w:sz w:val="20"/>
          <w:szCs w:val="20"/>
          <w:color w:val="auto"/>
        </w:rPr>
      </w:pPr>
      <w:r>
        <w:rPr>
          <w:rFonts w:ascii="Arial" w:cs="Arial" w:eastAsia="Arial" w:hAnsi="Arial"/>
          <w:sz w:val="20"/>
          <w:szCs w:val="20"/>
          <w:color w:val="auto"/>
        </w:rPr>
        <w:t>available online PST System).</w:t>
      </w:r>
      <w:hyperlink w:anchor="page92">
        <w:r>
          <w:rPr>
            <w:rFonts w:ascii="Arial" w:cs="Arial" w:eastAsia="Arial" w:hAnsi="Arial"/>
            <w:sz w:val="29"/>
            <w:szCs w:val="29"/>
            <w:u w:val="single" w:color="auto"/>
            <w:color w:val="0000EE"/>
            <w:vertAlign w:val="superscript"/>
          </w:rPr>
          <w:t>1</w:t>
        </w:r>
      </w:hyperlink>
    </w:p>
    <w:p>
      <w:pPr>
        <w:spacing w:after="0" w:line="172" w:lineRule="exact"/>
        <w:rPr>
          <w:sz w:val="20"/>
          <w:szCs w:val="20"/>
          <w:color w:val="auto"/>
        </w:rPr>
      </w:pPr>
    </w:p>
    <w:p>
      <w:pPr>
        <w:jc w:val="both"/>
        <w:ind w:left="740" w:right="439" w:hanging="533"/>
        <w:spacing w:after="0" w:line="257" w:lineRule="auto"/>
        <w:tabs>
          <w:tab w:leader="none" w:pos="7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No Access Person shall recommend any transaction in any Covered Securities by the Company without having disclosed to the Company’s CCO his or her interest, if any, in such Covered Securities or the issuer thereof, including: the Access Person’s Beneficial Ownership of any Covered Securities of such issuer; any contemplated transaction by the Access Person in such Covered Securities; any position the Access Person (or any person to whom the Access Person is related, by blood or marriage, and is known) has with such issuer; and any present or proposed business relationship between such issuer and the Access Person (or a party in which the Access Person has a significant interest).</w:t>
      </w:r>
    </w:p>
    <w:p>
      <w:pPr>
        <w:spacing w:after="0" w:line="255" w:lineRule="exact"/>
        <w:rPr>
          <w:sz w:val="20"/>
          <w:szCs w:val="20"/>
          <w:color w:val="auto"/>
        </w:rPr>
      </w:pPr>
    </w:p>
    <w:p>
      <w:pPr>
        <w:ind w:left="100"/>
        <w:spacing w:after="0"/>
        <w:tabs>
          <w:tab w:leader="none" w:pos="1380" w:val="left"/>
        </w:tabs>
        <w:rPr>
          <w:sz w:val="20"/>
          <w:szCs w:val="20"/>
          <w:color w:val="auto"/>
        </w:rPr>
      </w:pPr>
      <w:r>
        <w:rPr>
          <w:rFonts w:ascii="Arial" w:cs="Arial" w:eastAsia="Arial" w:hAnsi="Arial"/>
          <w:sz w:val="20"/>
          <w:szCs w:val="20"/>
          <w:b w:val="1"/>
          <w:bCs w:val="1"/>
          <w:color w:val="auto"/>
        </w:rPr>
        <w:t>Section V.</w:t>
      </w:r>
      <w:r>
        <w:rPr>
          <w:sz w:val="20"/>
          <w:szCs w:val="20"/>
          <w:color w:val="auto"/>
        </w:rPr>
        <w:tab/>
      </w:r>
      <w:r>
        <w:rPr>
          <w:rFonts w:ascii="Arial" w:cs="Arial" w:eastAsia="Arial" w:hAnsi="Arial"/>
          <w:sz w:val="16"/>
          <w:szCs w:val="16"/>
          <w:b w:val="1"/>
          <w:bCs w:val="1"/>
          <w:color w:val="auto"/>
        </w:rPr>
        <w:t>Reports by Access Persons</w:t>
      </w:r>
    </w:p>
    <w:p>
      <w:pPr>
        <w:spacing w:after="0" w:line="195" w:lineRule="exact"/>
        <w:rPr>
          <w:sz w:val="20"/>
          <w:szCs w:val="20"/>
          <w:color w:val="auto"/>
        </w:rPr>
      </w:pPr>
    </w:p>
    <w:p>
      <w:pPr>
        <w:ind w:left="540" w:hanging="333"/>
        <w:spacing w:after="0"/>
        <w:tabs>
          <w:tab w:leader="none" w:pos="540" w:val="left"/>
        </w:tabs>
        <w:numPr>
          <w:ilvl w:val="0"/>
          <w:numId w:val="59"/>
        </w:numPr>
        <w:rPr>
          <w:rFonts w:ascii="Arial" w:cs="Arial" w:eastAsia="Arial" w:hAnsi="Arial"/>
          <w:sz w:val="20"/>
          <w:szCs w:val="20"/>
          <w:color w:val="auto"/>
        </w:rPr>
      </w:pPr>
      <w:r>
        <w:rPr>
          <w:rFonts w:ascii="Arial" w:cs="Arial" w:eastAsia="Arial" w:hAnsi="Arial"/>
          <w:sz w:val="20"/>
          <w:szCs w:val="20"/>
          <w:i w:val="1"/>
          <w:iCs w:val="1"/>
          <w:color w:val="auto"/>
        </w:rPr>
        <w:t>Initial and Annual Personal Securities Accounts and Holdings Reports</w:t>
      </w:r>
      <w:r>
        <w:rPr>
          <w:rFonts w:ascii="Arial" w:cs="Arial" w:eastAsia="Arial" w:hAnsi="Arial"/>
          <w:sz w:val="20"/>
          <w:szCs w:val="20"/>
          <w:color w:val="auto"/>
        </w:rPr>
        <w:t>.</w:t>
      </w:r>
    </w:p>
    <w:p>
      <w:pPr>
        <w:spacing w:after="0" w:line="270" w:lineRule="exact"/>
        <w:rPr>
          <w:sz w:val="20"/>
          <w:szCs w:val="20"/>
          <w:color w:val="auto"/>
        </w:rPr>
      </w:pPr>
    </w:p>
    <w:p>
      <w:pPr>
        <w:jc w:val="both"/>
        <w:ind w:left="100" w:right="419" w:firstLine="648"/>
        <w:spacing w:after="0" w:line="307" w:lineRule="auto"/>
        <w:rPr>
          <w:sz w:val="20"/>
          <w:szCs w:val="20"/>
          <w:color w:val="auto"/>
        </w:rPr>
      </w:pPr>
      <w:r>
        <w:rPr>
          <w:rFonts w:ascii="Arial" w:cs="Arial" w:eastAsia="Arial" w:hAnsi="Arial"/>
          <w:sz w:val="16"/>
          <w:szCs w:val="16"/>
          <w:color w:val="auto"/>
        </w:rPr>
        <w:t xml:space="preserve">All Access Persons shall within 10 days of the date on which they become Access Persons, and thereafter, within 30 days after the end of each calendar year, disclose the title and type of security, and as applicable the exchange ticker symbol or CUSIP number, number of shares, and principal amount of all Covered Securities in which they have a Beneficial Ownership as of the date the person became an Access Person, in the case of such person’s initial report, and as of the last day of the year, as to annual reports. A form of such report, which is hereinafter called an </w:t>
      </w:r>
      <w:r>
        <w:rPr>
          <w:rFonts w:ascii="Arial" w:cs="Arial" w:eastAsia="Arial" w:hAnsi="Arial"/>
          <w:sz w:val="16"/>
          <w:szCs w:val="16"/>
          <w:i w:val="1"/>
          <w:iCs w:val="1"/>
          <w:color w:val="auto"/>
        </w:rPr>
        <w:t>“Initial and Annual Personal Securities Accounts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Holdings Report,” </w:t>
      </w:r>
      <w:r>
        <w:rPr>
          <w:rFonts w:ascii="Arial" w:cs="Arial" w:eastAsia="Arial" w:hAnsi="Arial"/>
          <w:sz w:val="16"/>
          <w:szCs w:val="16"/>
          <w:color w:val="auto"/>
        </w:rPr>
        <w:t>is attached as Schedule B. Each Initial and Annual Personal Securities Accounts and</w:t>
      </w:r>
      <w:r>
        <w:rPr>
          <w:rFonts w:ascii="Arial" w:cs="Arial" w:eastAsia="Arial" w:hAnsi="Arial"/>
          <w:sz w:val="16"/>
          <w:szCs w:val="16"/>
          <w:i w:val="1"/>
          <w:iCs w:val="1"/>
          <w:color w:val="auto"/>
        </w:rPr>
        <w:t xml:space="preserve"> </w:t>
      </w:r>
      <w:r>
        <w:rPr>
          <w:rFonts w:ascii="Arial" w:cs="Arial" w:eastAsia="Arial" w:hAnsi="Arial"/>
          <w:sz w:val="16"/>
          <w:szCs w:val="16"/>
          <w:color w:val="auto"/>
        </w:rPr>
        <w:t>Holdings Report must also disclose the name of any broker, dealer, or bank with whom the Access Person maintained an account in which any securities were held for the direct or indirect benefit of the Access Person as of the date the person became an Access Person or as of the last day of the year, as the case may be. Each Initial and Annual Personal Securities Accounts and Holdings Report shall state the date it is being submitted. In all cases, the information must be current as of a date no more than 45 days prior to the date the person becomes an Access Person, or the date the report was submitted, as applicable.</w:t>
      </w:r>
    </w:p>
    <w:p>
      <w:pPr>
        <w:spacing w:after="0" w:line="200" w:lineRule="exact"/>
        <w:rPr>
          <w:sz w:val="20"/>
          <w:szCs w:val="20"/>
          <w:color w:val="auto"/>
        </w:rPr>
      </w:pPr>
    </w:p>
    <w:p>
      <w:pPr>
        <w:spacing w:after="0" w:line="229" w:lineRule="exact"/>
        <w:rPr>
          <w:sz w:val="20"/>
          <w:szCs w:val="20"/>
          <w:color w:val="auto"/>
        </w:rPr>
      </w:pPr>
    </w:p>
    <w:p>
      <w:pPr>
        <w:ind w:left="540" w:hanging="333"/>
        <w:spacing w:after="0"/>
        <w:tabs>
          <w:tab w:leader="none" w:pos="540" w:val="left"/>
        </w:tabs>
        <w:numPr>
          <w:ilvl w:val="0"/>
          <w:numId w:val="60"/>
        </w:numPr>
        <w:rPr>
          <w:rFonts w:ascii="Arial" w:cs="Arial" w:eastAsia="Arial" w:hAnsi="Arial"/>
          <w:sz w:val="20"/>
          <w:szCs w:val="20"/>
          <w:color w:val="auto"/>
        </w:rPr>
      </w:pPr>
      <w:r>
        <w:rPr>
          <w:rFonts w:ascii="Arial" w:cs="Arial" w:eastAsia="Arial" w:hAnsi="Arial"/>
          <w:sz w:val="20"/>
          <w:szCs w:val="20"/>
          <w:i w:val="1"/>
          <w:iCs w:val="1"/>
          <w:color w:val="auto"/>
        </w:rPr>
        <w:t>Quarterly Transaction Reports</w:t>
      </w:r>
      <w:r>
        <w:rPr>
          <w:rFonts w:ascii="Arial" w:cs="Arial" w:eastAsia="Arial" w:hAnsi="Arial"/>
          <w:sz w:val="20"/>
          <w:szCs w:val="20"/>
          <w:color w:val="auto"/>
        </w:rPr>
        <w:t>.</w:t>
      </w:r>
    </w:p>
    <w:p>
      <w:pPr>
        <w:spacing w:after="0" w:line="270" w:lineRule="exact"/>
        <w:rPr>
          <w:sz w:val="20"/>
          <w:szCs w:val="20"/>
          <w:color w:val="auto"/>
        </w:rPr>
      </w:pPr>
    </w:p>
    <w:p>
      <w:pPr>
        <w:jc w:val="both"/>
        <w:ind w:left="100" w:right="419" w:firstLine="648"/>
        <w:spacing w:after="0" w:line="246" w:lineRule="auto"/>
        <w:rPr>
          <w:sz w:val="20"/>
          <w:szCs w:val="20"/>
          <w:color w:val="auto"/>
        </w:rPr>
      </w:pPr>
      <w:r>
        <w:rPr>
          <w:rFonts w:ascii="Arial" w:cs="Arial" w:eastAsia="Arial" w:hAnsi="Arial"/>
          <w:sz w:val="20"/>
          <w:szCs w:val="20"/>
          <w:color w:val="auto"/>
        </w:rPr>
        <w:t xml:space="preserve">Within 30 days after the end of each calendar quarter, each Access Person shall make a written report to the CCO (or designee) of all transactions occurring in the quarter in a Covered Security in which he or she had any Beneficial Ownership. A form of such report, which is hereinafter called a </w:t>
      </w:r>
      <w:r>
        <w:rPr>
          <w:rFonts w:ascii="Arial" w:cs="Arial" w:eastAsia="Arial" w:hAnsi="Arial"/>
          <w:sz w:val="20"/>
          <w:szCs w:val="20"/>
          <w:i w:val="1"/>
          <w:iCs w:val="1"/>
          <w:color w:val="auto"/>
        </w:rPr>
        <w:t>“Quarterly</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Securities Transaction Report,” </w:t>
      </w:r>
      <w:r>
        <w:rPr>
          <w:rFonts w:ascii="Arial" w:cs="Arial" w:eastAsia="Arial" w:hAnsi="Arial"/>
          <w:sz w:val="20"/>
          <w:szCs w:val="20"/>
          <w:color w:val="auto"/>
        </w:rPr>
        <w:t>is attached as Schedule C.</w:t>
      </w:r>
    </w:p>
    <w:p>
      <w:pPr>
        <w:spacing w:after="0" w:line="299" w:lineRule="exact"/>
        <w:rPr>
          <w:sz w:val="20"/>
          <w:szCs w:val="20"/>
          <w:color w:val="auto"/>
        </w:rPr>
      </w:pPr>
    </w:p>
    <w:p>
      <w:pPr>
        <w:jc w:val="both"/>
        <w:ind w:left="100" w:right="439" w:firstLine="648"/>
        <w:spacing w:after="0" w:line="250" w:lineRule="auto"/>
        <w:rPr>
          <w:sz w:val="20"/>
          <w:szCs w:val="20"/>
          <w:color w:val="auto"/>
        </w:rPr>
      </w:pPr>
      <w:r>
        <w:rPr>
          <w:rFonts w:ascii="Arial" w:cs="Arial" w:eastAsia="Arial" w:hAnsi="Arial"/>
          <w:sz w:val="20"/>
          <w:szCs w:val="20"/>
          <w:color w:val="auto"/>
        </w:rPr>
        <w:t>A Quarterly Securities Transaction Report shall be in the form of Schedule C or such other form approved by the CCO (or designee) and must contain the following information with respect to each reportable transaction:</w:t>
      </w:r>
    </w:p>
    <w:p>
      <w:pPr>
        <w:spacing w:after="0" w:line="240" w:lineRule="exact"/>
        <w:rPr>
          <w:sz w:val="20"/>
          <w:szCs w:val="20"/>
          <w:color w:val="auto"/>
        </w:rPr>
      </w:pPr>
    </w:p>
    <w:p>
      <w:pPr>
        <w:ind w:left="1240" w:right="439" w:hanging="331"/>
        <w:spacing w:after="0" w:line="260" w:lineRule="auto"/>
        <w:tabs>
          <w:tab w:leader="none" w:pos="1240" w:val="left"/>
        </w:tabs>
        <w:numPr>
          <w:ilvl w:val="0"/>
          <w:numId w:val="61"/>
        </w:numPr>
        <w:rPr>
          <w:rFonts w:ascii="Arial" w:cs="Arial" w:eastAsia="Arial" w:hAnsi="Arial"/>
          <w:sz w:val="20"/>
          <w:szCs w:val="20"/>
          <w:color w:val="auto"/>
        </w:rPr>
      </w:pPr>
      <w:r>
        <w:rPr>
          <w:rFonts w:ascii="Arial" w:cs="Arial" w:eastAsia="Arial" w:hAnsi="Arial"/>
          <w:sz w:val="20"/>
          <w:szCs w:val="20"/>
          <w:color w:val="auto"/>
        </w:rPr>
        <w:t>Date and nature of the transaction (purchase, sale or any other type of acquisition or disposition);</w:t>
      </w:r>
    </w:p>
    <w:p>
      <w:pPr>
        <w:spacing w:after="0" w:line="230" w:lineRule="exact"/>
        <w:rPr>
          <w:rFonts w:ascii="Arial" w:cs="Arial" w:eastAsia="Arial" w:hAnsi="Arial"/>
          <w:sz w:val="20"/>
          <w:szCs w:val="20"/>
          <w:color w:val="auto"/>
        </w:rPr>
      </w:pPr>
    </w:p>
    <w:p>
      <w:pPr>
        <w:jc w:val="both"/>
        <w:ind w:left="1240" w:right="459" w:hanging="331"/>
        <w:spacing w:after="0" w:line="250" w:lineRule="auto"/>
        <w:tabs>
          <w:tab w:leader="none" w:pos="1240" w:val="left"/>
        </w:tabs>
        <w:numPr>
          <w:ilvl w:val="0"/>
          <w:numId w:val="61"/>
        </w:numPr>
        <w:rPr>
          <w:rFonts w:ascii="Arial" w:cs="Arial" w:eastAsia="Arial" w:hAnsi="Arial"/>
          <w:sz w:val="20"/>
          <w:szCs w:val="20"/>
          <w:color w:val="auto"/>
        </w:rPr>
      </w:pPr>
      <w:r>
        <w:rPr>
          <w:rFonts w:ascii="Arial" w:cs="Arial" w:eastAsia="Arial" w:hAnsi="Arial"/>
          <w:sz w:val="20"/>
          <w:szCs w:val="20"/>
          <w:color w:val="auto"/>
        </w:rPr>
        <w:t>Title, interest rate and maturity date (if applicable), number of shares and principal amount of each Covered Security involved and the price of the Covered Security at which the transaction was effected;</w:t>
      </w:r>
    </w:p>
    <w:p>
      <w:pPr>
        <w:spacing w:after="0" w:line="181" w:lineRule="exact"/>
        <w:rPr>
          <w:rFonts w:ascii="Arial" w:cs="Arial" w:eastAsia="Arial" w:hAnsi="Arial"/>
          <w:sz w:val="20"/>
          <w:szCs w:val="20"/>
          <w:color w:val="auto"/>
        </w:rPr>
      </w:pPr>
    </w:p>
    <w:p>
      <w:pPr>
        <w:ind w:left="1240" w:hanging="331"/>
        <w:spacing w:after="0"/>
        <w:tabs>
          <w:tab w:leader="none" w:pos="12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Name of the broker, dealer or bank with or</w:t>
      </w:r>
      <w:r>
        <w:rPr>
          <w:rFonts w:ascii="Arial" w:cs="Arial" w:eastAsia="Arial" w:hAnsi="Arial"/>
          <w:sz w:val="38"/>
          <w:szCs w:val="38"/>
          <w:color w:val="auto"/>
          <w:vertAlign w:val="superscript"/>
        </w:rPr>
        <w:t>5</w:t>
      </w:r>
      <w:r>
        <w:rPr>
          <w:rFonts w:ascii="Arial" w:cs="Arial" w:eastAsia="Arial" w:hAnsi="Arial"/>
          <w:sz w:val="18"/>
          <w:szCs w:val="18"/>
          <w:color w:val="auto"/>
        </w:rPr>
        <w:t>through whom the transaction was effected;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87630</wp:posOffset>
            </wp:positionV>
            <wp:extent cx="134556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7">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212" w:lineRule="exact"/>
        <w:rPr>
          <w:sz w:val="20"/>
          <w:szCs w:val="20"/>
          <w:color w:val="auto"/>
        </w:rPr>
      </w:pPr>
    </w:p>
    <w:p>
      <w:pPr>
        <w:ind w:left="100" w:right="559" w:hanging="1"/>
        <w:spacing w:after="0" w:line="200" w:lineRule="auto"/>
        <w:tabs>
          <w:tab w:leader="none" w:pos="212" w:val="left"/>
        </w:tabs>
        <w:numPr>
          <w:ilvl w:val="0"/>
          <w:numId w:val="62"/>
        </w:numPr>
        <w:rPr>
          <w:rFonts w:ascii="Arial" w:cs="Arial" w:eastAsia="Arial" w:hAnsi="Arial"/>
          <w:sz w:val="27"/>
          <w:szCs w:val="27"/>
          <w:color w:val="auto"/>
          <w:vertAlign w:val="superscript"/>
        </w:rPr>
      </w:pPr>
      <w:r>
        <w:rPr>
          <w:rFonts w:ascii="Arial" w:cs="Arial" w:eastAsia="Arial" w:hAnsi="Arial"/>
          <w:sz w:val="18"/>
          <w:szCs w:val="18"/>
          <w:color w:val="auto"/>
        </w:rPr>
        <w:t>Seeking pre-approval under this Section IV(C) will be deemed to meet the pre-approval requirements of both Rule 204A-1(c) of the Advisers Act and Rule 17j-1(e) of the 1940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489585</wp:posOffset>
            </wp:positionV>
            <wp:extent cx="5383530"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8">
                      <a:extLst>
                        <a:ext uri="{28A0092B-C50C-407E-A947-70E740481C1C}"/>
                      </a:extLst>
                    </a:blip>
                    <a:srcRect/>
                    <a:stretch>
                      <a:fillRect/>
                    </a:stretch>
                  </pic:blipFill>
                  <pic:spPr bwMode="auto">
                    <a:xfrm>
                      <a:off x="0" y="0"/>
                      <a:ext cx="5383530" cy="26035"/>
                    </a:xfrm>
                    <a:prstGeom prst="rect">
                      <a:avLst/>
                    </a:prstGeom>
                    <a:noFill/>
                  </pic:spPr>
                </pic:pic>
              </a:graphicData>
            </a:graphic>
          </wp:anchor>
        </w:drawing>
      </w:r>
    </w:p>
    <w:p>
      <w:pPr>
        <w:sectPr>
          <w:pgSz w:w="11900" w:h="16838" w:orient="portrait"/>
          <w:cols w:equalWidth="0" w:num="1">
            <w:col w:w="9019"/>
          </w:cols>
          <w:pgMar w:left="1440" w:top="846" w:right="1440" w:bottom="1440" w:gutter="0" w:footer="0" w:header="0"/>
        </w:sectPr>
      </w:pPr>
    </w:p>
    <w:bookmarkStart w:id="92" w:name="page93"/>
    <w:bookmarkEnd w:id="92"/>
    <w:p>
      <w:pPr>
        <w:ind w:left="1240"/>
        <w:spacing w:after="0"/>
        <w:rPr>
          <w:sz w:val="20"/>
          <w:szCs w:val="20"/>
          <w:color w:val="auto"/>
        </w:rPr>
      </w:pPr>
      <w:r>
        <w:rPr>
          <w:rFonts w:ascii="Arial" w:cs="Arial" w:eastAsia="Arial" w:hAnsi="Arial"/>
          <w:sz w:val="20"/>
          <w:szCs w:val="20"/>
          <w:color w:val="auto"/>
        </w:rPr>
        <w:t>and</w:t>
      </w:r>
    </w:p>
    <w:p>
      <w:pPr>
        <w:spacing w:after="0" w:line="270" w:lineRule="exact"/>
        <w:rPr>
          <w:sz w:val="20"/>
          <w:szCs w:val="20"/>
          <w:color w:val="auto"/>
        </w:rPr>
      </w:pPr>
    </w:p>
    <w:p>
      <w:pPr>
        <w:ind w:left="1240" w:hanging="331"/>
        <w:spacing w:after="0"/>
        <w:tabs>
          <w:tab w:leader="none" w:pos="1240" w:val="left"/>
        </w:tabs>
        <w:numPr>
          <w:ilvl w:val="1"/>
          <w:numId w:val="63"/>
        </w:numPr>
        <w:rPr>
          <w:rFonts w:ascii="Arial" w:cs="Arial" w:eastAsia="Arial" w:hAnsi="Arial"/>
          <w:sz w:val="20"/>
          <w:szCs w:val="20"/>
          <w:color w:val="auto"/>
        </w:rPr>
      </w:pPr>
      <w:r>
        <w:rPr>
          <w:rFonts w:ascii="Arial" w:cs="Arial" w:eastAsia="Arial" w:hAnsi="Arial"/>
          <w:sz w:val="20"/>
          <w:szCs w:val="20"/>
          <w:color w:val="auto"/>
        </w:rPr>
        <w:t>The date the report is submitted by the Access Person.</w:t>
      </w:r>
    </w:p>
    <w:p>
      <w:pPr>
        <w:spacing w:after="0" w:line="269" w:lineRule="exact"/>
        <w:rPr>
          <w:rFonts w:ascii="Arial" w:cs="Arial" w:eastAsia="Arial" w:hAnsi="Arial"/>
          <w:sz w:val="20"/>
          <w:szCs w:val="20"/>
          <w:color w:val="auto"/>
        </w:rPr>
      </w:pPr>
    </w:p>
    <w:p>
      <w:pPr>
        <w:ind w:left="540" w:hanging="333"/>
        <w:spacing w:after="0"/>
        <w:tabs>
          <w:tab w:leader="none" w:pos="540" w:val="left"/>
        </w:tabs>
        <w:numPr>
          <w:ilvl w:val="0"/>
          <w:numId w:val="64"/>
        </w:numPr>
        <w:rPr>
          <w:rFonts w:ascii="Arial" w:cs="Arial" w:eastAsia="Arial" w:hAnsi="Arial"/>
          <w:sz w:val="20"/>
          <w:szCs w:val="20"/>
          <w:color w:val="auto"/>
        </w:rPr>
      </w:pPr>
      <w:r>
        <w:rPr>
          <w:rFonts w:ascii="Arial" w:cs="Arial" w:eastAsia="Arial" w:hAnsi="Arial"/>
          <w:sz w:val="20"/>
          <w:szCs w:val="20"/>
          <w:i w:val="1"/>
          <w:iCs w:val="1"/>
          <w:color w:val="auto"/>
        </w:rPr>
        <w:t>Independent Directors</w:t>
      </w:r>
      <w:r>
        <w:rPr>
          <w:rFonts w:ascii="Arial" w:cs="Arial" w:eastAsia="Arial" w:hAnsi="Arial"/>
          <w:sz w:val="20"/>
          <w:szCs w:val="20"/>
          <w:color w:val="auto"/>
        </w:rPr>
        <w:t>.</w:t>
      </w:r>
    </w:p>
    <w:p>
      <w:pPr>
        <w:spacing w:after="0" w:line="270" w:lineRule="exact"/>
        <w:rPr>
          <w:sz w:val="20"/>
          <w:szCs w:val="20"/>
          <w:color w:val="auto"/>
        </w:rPr>
      </w:pPr>
    </w:p>
    <w:p>
      <w:pPr>
        <w:jc w:val="both"/>
        <w:ind w:left="100" w:right="419" w:firstLine="648"/>
        <w:spacing w:after="0" w:line="244" w:lineRule="auto"/>
        <w:rPr>
          <w:sz w:val="20"/>
          <w:szCs w:val="20"/>
          <w:color w:val="auto"/>
        </w:rPr>
      </w:pPr>
      <w:r>
        <w:rPr>
          <w:rFonts w:ascii="Arial" w:cs="Arial" w:eastAsia="Arial" w:hAnsi="Arial"/>
          <w:sz w:val="20"/>
          <w:szCs w:val="20"/>
          <w:color w:val="auto"/>
        </w:rPr>
        <w:t>Notwithstanding the reporting requirements set forth in this Section V, an Independent Director who would be required to make a report under this Section V solely by reason of being a director of the Company is not required to file an Initial and Annual Personal Securities Accounts and Holdings Report upon becoming a director of the Company or an annual Initial and Annual Personal Securities Accounts and Holdings Report.</w:t>
      </w:r>
    </w:p>
    <w:p>
      <w:pPr>
        <w:spacing w:after="0" w:line="248" w:lineRule="exact"/>
        <w:rPr>
          <w:sz w:val="20"/>
          <w:szCs w:val="20"/>
          <w:color w:val="auto"/>
        </w:rPr>
      </w:pPr>
    </w:p>
    <w:p>
      <w:pPr>
        <w:jc w:val="both"/>
        <w:ind w:left="100" w:right="419" w:firstLine="648"/>
        <w:spacing w:after="0" w:line="278" w:lineRule="auto"/>
        <w:rPr>
          <w:sz w:val="20"/>
          <w:szCs w:val="20"/>
          <w:color w:val="auto"/>
        </w:rPr>
      </w:pPr>
      <w:r>
        <w:rPr>
          <w:rFonts w:ascii="Arial" w:cs="Arial" w:eastAsia="Arial" w:hAnsi="Arial"/>
          <w:sz w:val="18"/>
          <w:szCs w:val="18"/>
          <w:color w:val="auto"/>
        </w:rPr>
        <w:t xml:space="preserve">Such an Independent Director also need not file a Quarterly Securities Transaction Report </w:t>
      </w:r>
      <w:r>
        <w:rPr>
          <w:rFonts w:ascii="Arial" w:cs="Arial" w:eastAsia="Arial" w:hAnsi="Arial"/>
          <w:sz w:val="18"/>
          <w:szCs w:val="18"/>
          <w:i w:val="1"/>
          <w:iCs w:val="1"/>
          <w:u w:val="single" w:color="auto"/>
          <w:color w:val="auto"/>
        </w:rPr>
        <w:t>unless</w:t>
      </w:r>
      <w:r>
        <w:rPr>
          <w:rFonts w:ascii="Arial" w:cs="Arial" w:eastAsia="Arial" w:hAnsi="Arial"/>
          <w:sz w:val="18"/>
          <w:szCs w:val="18"/>
          <w:color w:val="auto"/>
        </w:rPr>
        <w:t xml:space="preserve"> such director knew or, in the ordinary course of fulfilling his or her official duties as a director of the Company, should have known that during the 15-day period immediately preceding or after the date of the transaction in a Covered Security by the director, such Covered Security is or was purchased or sold by the Company or the Company or the Adviser considered purchasing or selling such Covered Security.</w:t>
      </w:r>
    </w:p>
    <w:p>
      <w:pPr>
        <w:spacing w:after="0" w:line="219" w:lineRule="exact"/>
        <w:rPr>
          <w:sz w:val="20"/>
          <w:szCs w:val="20"/>
          <w:color w:val="auto"/>
        </w:rPr>
      </w:pPr>
    </w:p>
    <w:p>
      <w:pPr>
        <w:ind w:left="540" w:hanging="333"/>
        <w:spacing w:after="0"/>
        <w:tabs>
          <w:tab w:leader="none" w:pos="540" w:val="left"/>
        </w:tabs>
        <w:numPr>
          <w:ilvl w:val="0"/>
          <w:numId w:val="65"/>
        </w:numPr>
        <w:rPr>
          <w:rFonts w:ascii="Arial" w:cs="Arial" w:eastAsia="Arial" w:hAnsi="Arial"/>
          <w:sz w:val="20"/>
          <w:szCs w:val="20"/>
          <w:color w:val="auto"/>
        </w:rPr>
      </w:pPr>
      <w:r>
        <w:rPr>
          <w:rFonts w:ascii="Arial" w:cs="Arial" w:eastAsia="Arial" w:hAnsi="Arial"/>
          <w:sz w:val="20"/>
          <w:szCs w:val="20"/>
          <w:i w:val="1"/>
          <w:iCs w:val="1"/>
          <w:color w:val="auto"/>
        </w:rPr>
        <w:t>Access Persons of the Adviser or the Administrator</w:t>
      </w:r>
      <w:r>
        <w:rPr>
          <w:rFonts w:ascii="Arial" w:cs="Arial" w:eastAsia="Arial" w:hAnsi="Arial"/>
          <w:sz w:val="20"/>
          <w:szCs w:val="20"/>
          <w:color w:val="auto"/>
        </w:rPr>
        <w:t>.</w:t>
      </w:r>
    </w:p>
    <w:p>
      <w:pPr>
        <w:spacing w:after="0" w:line="270" w:lineRule="exact"/>
        <w:rPr>
          <w:sz w:val="20"/>
          <w:szCs w:val="20"/>
          <w:color w:val="auto"/>
        </w:rPr>
      </w:pPr>
    </w:p>
    <w:p>
      <w:pPr>
        <w:jc w:val="both"/>
        <w:ind w:left="100" w:right="419" w:firstLine="648"/>
        <w:spacing w:after="0" w:line="244" w:lineRule="auto"/>
        <w:rPr>
          <w:sz w:val="20"/>
          <w:szCs w:val="20"/>
          <w:color w:val="auto"/>
        </w:rPr>
      </w:pPr>
      <w:r>
        <w:rPr>
          <w:rFonts w:ascii="Arial" w:cs="Arial" w:eastAsia="Arial" w:hAnsi="Arial"/>
          <w:sz w:val="20"/>
          <w:szCs w:val="20"/>
          <w:color w:val="auto"/>
        </w:rPr>
        <w:t>An Access Person of the Adviser or the Administrator need not make a Quarterly Securities Transaction Report if all of the information in the report would duplicate information required to be recorded pursuant to Rules 204-2(a)(12) or (13) under the Advisers Act, provided the Adviser or Administrator, as applicable, received such information not later than 30 days after the close of the calendar quarter in which the transaction takes place.</w:t>
      </w:r>
    </w:p>
    <w:p>
      <w:pPr>
        <w:spacing w:after="0" w:line="248" w:lineRule="exact"/>
        <w:rPr>
          <w:sz w:val="20"/>
          <w:szCs w:val="20"/>
          <w:color w:val="auto"/>
        </w:rPr>
      </w:pPr>
    </w:p>
    <w:p>
      <w:pPr>
        <w:ind w:left="540" w:hanging="333"/>
        <w:spacing w:after="0"/>
        <w:tabs>
          <w:tab w:leader="none" w:pos="540" w:val="left"/>
        </w:tabs>
        <w:numPr>
          <w:ilvl w:val="0"/>
          <w:numId w:val="66"/>
        </w:numPr>
        <w:rPr>
          <w:rFonts w:ascii="Arial" w:cs="Arial" w:eastAsia="Arial" w:hAnsi="Arial"/>
          <w:sz w:val="20"/>
          <w:szCs w:val="20"/>
          <w:color w:val="auto"/>
        </w:rPr>
      </w:pPr>
      <w:r>
        <w:rPr>
          <w:rFonts w:ascii="Arial" w:cs="Arial" w:eastAsia="Arial" w:hAnsi="Arial"/>
          <w:sz w:val="20"/>
          <w:szCs w:val="20"/>
          <w:i w:val="1"/>
          <w:iCs w:val="1"/>
          <w:color w:val="auto"/>
        </w:rPr>
        <w:t>Brokerage Accounts and Statements</w:t>
      </w:r>
      <w:r>
        <w:rPr>
          <w:rFonts w:ascii="Arial" w:cs="Arial" w:eastAsia="Arial" w:hAnsi="Arial"/>
          <w:sz w:val="20"/>
          <w:szCs w:val="20"/>
          <w:color w:val="auto"/>
        </w:rPr>
        <w:t>.</w:t>
      </w:r>
    </w:p>
    <w:p>
      <w:pPr>
        <w:spacing w:after="0" w:line="283" w:lineRule="exact"/>
        <w:rPr>
          <w:sz w:val="20"/>
          <w:szCs w:val="20"/>
          <w:color w:val="auto"/>
        </w:rPr>
      </w:pPr>
    </w:p>
    <w:p>
      <w:pPr>
        <w:ind w:left="100"/>
        <w:spacing w:after="0"/>
        <w:rPr>
          <w:sz w:val="20"/>
          <w:szCs w:val="20"/>
          <w:color w:val="auto"/>
        </w:rPr>
      </w:pPr>
      <w:r>
        <w:rPr>
          <w:rFonts w:ascii="Arial" w:cs="Arial" w:eastAsia="Arial" w:hAnsi="Arial"/>
          <w:sz w:val="20"/>
          <w:szCs w:val="20"/>
          <w:color w:val="auto"/>
        </w:rPr>
        <w:t>Access Persons, except Independent Directors, shall:</w:t>
      </w:r>
    </w:p>
    <w:p>
      <w:pPr>
        <w:spacing w:after="0" w:line="324" w:lineRule="exact"/>
        <w:rPr>
          <w:sz w:val="20"/>
          <w:szCs w:val="20"/>
          <w:color w:val="auto"/>
        </w:rPr>
      </w:pPr>
    </w:p>
    <w:p>
      <w:pPr>
        <w:jc w:val="both"/>
        <w:ind w:left="1240" w:right="439" w:hanging="331"/>
        <w:spacing w:after="0" w:line="278" w:lineRule="auto"/>
        <w:tabs>
          <w:tab w:leader="none" w:pos="12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within 30 days after the end of each calendar quarter, identify the name of the broker, dealer or bank with whom the Access Person established an account in which any securities were held during the quarter for the direct or indirect benefit of the Access Person and identify any new account(s) and the date the account(s) were established. This information shall be included on the appropriate Quarterly Securities Transaction Report;</w:t>
      </w:r>
    </w:p>
    <w:p>
      <w:pPr>
        <w:spacing w:after="0" w:line="218" w:lineRule="exact"/>
        <w:rPr>
          <w:rFonts w:ascii="Arial" w:cs="Arial" w:eastAsia="Arial" w:hAnsi="Arial"/>
          <w:sz w:val="18"/>
          <w:szCs w:val="18"/>
          <w:color w:val="auto"/>
        </w:rPr>
      </w:pPr>
    </w:p>
    <w:p>
      <w:pPr>
        <w:ind w:left="1240" w:right="459" w:hanging="331"/>
        <w:spacing w:after="0" w:line="260" w:lineRule="auto"/>
        <w:tabs>
          <w:tab w:leader="none" w:pos="1240" w:val="left"/>
        </w:tabs>
        <w:numPr>
          <w:ilvl w:val="1"/>
          <w:numId w:val="67"/>
        </w:numPr>
        <w:rPr>
          <w:rFonts w:ascii="Arial" w:cs="Arial" w:eastAsia="Arial" w:hAnsi="Arial"/>
          <w:sz w:val="20"/>
          <w:szCs w:val="20"/>
          <w:color w:val="auto"/>
        </w:rPr>
      </w:pPr>
      <w:r>
        <w:rPr>
          <w:rFonts w:ascii="Arial" w:cs="Arial" w:eastAsia="Arial" w:hAnsi="Arial"/>
          <w:sz w:val="20"/>
          <w:szCs w:val="20"/>
          <w:color w:val="auto"/>
        </w:rPr>
        <w:t>instruct the brokers, dealers or banks with whom they maintain such an account to provide duplicate account statements to the CCO (or designee); and</w:t>
      </w:r>
    </w:p>
    <w:p>
      <w:pPr>
        <w:spacing w:after="0" w:line="230" w:lineRule="exact"/>
        <w:rPr>
          <w:rFonts w:ascii="Arial" w:cs="Arial" w:eastAsia="Arial" w:hAnsi="Arial"/>
          <w:sz w:val="20"/>
          <w:szCs w:val="20"/>
          <w:color w:val="auto"/>
        </w:rPr>
      </w:pPr>
    </w:p>
    <w:p>
      <w:pPr>
        <w:ind w:left="1240" w:right="439" w:hanging="331"/>
        <w:spacing w:after="0" w:line="260" w:lineRule="auto"/>
        <w:tabs>
          <w:tab w:leader="none" w:pos="1240" w:val="left"/>
        </w:tabs>
        <w:numPr>
          <w:ilvl w:val="1"/>
          <w:numId w:val="67"/>
        </w:numPr>
        <w:rPr>
          <w:rFonts w:ascii="Arial" w:cs="Arial" w:eastAsia="Arial" w:hAnsi="Arial"/>
          <w:sz w:val="20"/>
          <w:szCs w:val="20"/>
          <w:color w:val="auto"/>
        </w:rPr>
      </w:pPr>
      <w:r>
        <w:rPr>
          <w:rFonts w:ascii="Arial" w:cs="Arial" w:eastAsia="Arial" w:hAnsi="Arial"/>
          <w:sz w:val="20"/>
          <w:szCs w:val="20"/>
          <w:color w:val="auto"/>
        </w:rPr>
        <w:t>on an annual basis, certify that they have complied with the requirements of (1) and (2) above.</w:t>
      </w:r>
    </w:p>
    <w:p>
      <w:pPr>
        <w:spacing w:after="0" w:line="230" w:lineRule="exact"/>
        <w:rPr>
          <w:rFonts w:ascii="Arial" w:cs="Arial" w:eastAsia="Arial" w:hAnsi="Arial"/>
          <w:sz w:val="20"/>
          <w:szCs w:val="20"/>
          <w:color w:val="auto"/>
        </w:rPr>
      </w:pPr>
    </w:p>
    <w:p>
      <w:pPr>
        <w:ind w:left="540" w:hanging="333"/>
        <w:spacing w:after="0"/>
        <w:tabs>
          <w:tab w:leader="none" w:pos="540" w:val="left"/>
        </w:tabs>
        <w:numPr>
          <w:ilvl w:val="0"/>
          <w:numId w:val="68"/>
        </w:numPr>
        <w:rPr>
          <w:rFonts w:ascii="Arial" w:cs="Arial" w:eastAsia="Arial" w:hAnsi="Arial"/>
          <w:sz w:val="20"/>
          <w:szCs w:val="20"/>
          <w:color w:val="auto"/>
        </w:rPr>
      </w:pPr>
      <w:r>
        <w:rPr>
          <w:rFonts w:ascii="Arial" w:cs="Arial" w:eastAsia="Arial" w:hAnsi="Arial"/>
          <w:sz w:val="20"/>
          <w:szCs w:val="20"/>
          <w:i w:val="1"/>
          <w:iCs w:val="1"/>
          <w:color w:val="auto"/>
        </w:rPr>
        <w:t>Form of Reports</w:t>
      </w:r>
      <w:r>
        <w:rPr>
          <w:rFonts w:ascii="Arial" w:cs="Arial" w:eastAsia="Arial" w:hAnsi="Arial"/>
          <w:sz w:val="20"/>
          <w:szCs w:val="20"/>
          <w:color w:val="auto"/>
        </w:rPr>
        <w:t>.</w:t>
      </w:r>
    </w:p>
    <w:p>
      <w:pPr>
        <w:spacing w:after="0" w:line="270" w:lineRule="exact"/>
        <w:rPr>
          <w:sz w:val="20"/>
          <w:szCs w:val="20"/>
          <w:color w:val="auto"/>
        </w:rPr>
      </w:pPr>
    </w:p>
    <w:p>
      <w:pPr>
        <w:ind w:left="100" w:right="419" w:firstLine="648"/>
        <w:spacing w:after="0" w:line="273" w:lineRule="auto"/>
        <w:rPr>
          <w:sz w:val="20"/>
          <w:szCs w:val="20"/>
          <w:color w:val="auto"/>
        </w:rPr>
      </w:pPr>
      <w:r>
        <w:rPr>
          <w:rFonts w:ascii="Arial" w:cs="Arial" w:eastAsia="Arial" w:hAnsi="Arial"/>
          <w:sz w:val="18"/>
          <w:szCs w:val="18"/>
          <w:color w:val="auto"/>
        </w:rPr>
        <w:t>A Quarterly Securities Transaction Report may consist of broker statements or other statements that provide a list of all personal Covered Securities holdings and transactions in the time period covered</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 the report and contain the information required in a Quarterly</w:t>
      </w:r>
      <w:r>
        <w:rPr>
          <w:rFonts w:ascii="Arial" w:cs="Arial" w:eastAsia="Arial" w:hAnsi="Arial"/>
          <w:sz w:val="21"/>
          <w:szCs w:val="21"/>
          <w:color w:val="auto"/>
        </w:rPr>
        <w:t>6</w:t>
      </w:r>
      <w:r>
        <w:rPr>
          <w:rFonts w:ascii="Arial" w:cs="Arial" w:eastAsia="Arial" w:hAnsi="Arial"/>
          <w:sz w:val="20"/>
          <w:szCs w:val="20"/>
          <w:color w:val="auto"/>
        </w:rPr>
        <w:t xml:space="preserve"> Securities Transaction Report.</w:t>
      </w:r>
    </w:p>
    <w:p>
      <w:pPr>
        <w:spacing w:after="0" w:line="245" w:lineRule="exact"/>
        <w:rPr>
          <w:sz w:val="20"/>
          <w:szCs w:val="20"/>
          <w:color w:val="auto"/>
        </w:rPr>
      </w:pPr>
    </w:p>
    <w:p>
      <w:pPr>
        <w:ind w:left="540" w:hanging="333"/>
        <w:spacing w:after="0"/>
        <w:tabs>
          <w:tab w:leader="none" w:pos="540" w:val="left"/>
        </w:tabs>
        <w:numPr>
          <w:ilvl w:val="0"/>
          <w:numId w:val="69"/>
        </w:numPr>
        <w:rPr>
          <w:rFonts w:ascii="Arial" w:cs="Arial" w:eastAsia="Arial" w:hAnsi="Arial"/>
          <w:sz w:val="20"/>
          <w:szCs w:val="20"/>
          <w:color w:val="auto"/>
        </w:rPr>
      </w:pPr>
      <w:r>
        <w:rPr>
          <w:rFonts w:ascii="Arial" w:cs="Arial" w:eastAsia="Arial" w:hAnsi="Arial"/>
          <w:sz w:val="20"/>
          <w:szCs w:val="20"/>
          <w:i w:val="1"/>
          <w:iCs w:val="1"/>
          <w:color w:val="auto"/>
        </w:rPr>
        <w:t>Responsibility to Report</w:t>
      </w:r>
      <w:r>
        <w:rPr>
          <w:rFonts w:ascii="Arial" w:cs="Arial" w:eastAsia="Arial" w:hAnsi="Arial"/>
          <w:sz w:val="20"/>
          <w:szCs w:val="20"/>
          <w:color w:val="auto"/>
        </w:rPr>
        <w:t>.</w:t>
      </w:r>
    </w:p>
    <w:p>
      <w:pPr>
        <w:spacing w:after="0" w:line="270" w:lineRule="exact"/>
        <w:rPr>
          <w:sz w:val="20"/>
          <w:szCs w:val="20"/>
          <w:color w:val="auto"/>
        </w:rPr>
      </w:pPr>
    </w:p>
    <w:p>
      <w:pPr>
        <w:ind w:left="740"/>
        <w:spacing w:after="0"/>
        <w:rPr>
          <w:sz w:val="20"/>
          <w:szCs w:val="20"/>
          <w:color w:val="auto"/>
        </w:rPr>
      </w:pPr>
      <w:r>
        <w:rPr>
          <w:rFonts w:ascii="Arial" w:cs="Arial" w:eastAsia="Arial" w:hAnsi="Arial"/>
          <w:sz w:val="20"/>
          <w:szCs w:val="20"/>
          <w:color w:val="auto"/>
        </w:rPr>
        <w:t>It is the responsibility of each Access Person to take the initiative to comply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507365</wp:posOffset>
            </wp:positionV>
            <wp:extent cx="538353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9">
                      <a:extLst>
                        <a:ext uri="{28A0092B-C50C-407E-A947-70E740481C1C}"/>
                      </a:extLst>
                    </a:blip>
                    <a:srcRect/>
                    <a:stretch>
                      <a:fillRect/>
                    </a:stretch>
                  </pic:blipFill>
                  <pic:spPr bwMode="auto">
                    <a:xfrm>
                      <a:off x="0" y="0"/>
                      <a:ext cx="5383530" cy="1714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93" w:name="page94"/>
    <w:bookmarkEnd w:id="93"/>
    <w:p>
      <w:pPr>
        <w:jc w:val="both"/>
        <w:ind w:left="100" w:right="419"/>
        <w:spacing w:after="0" w:line="263" w:lineRule="auto"/>
        <w:rPr>
          <w:sz w:val="20"/>
          <w:szCs w:val="20"/>
          <w:color w:val="auto"/>
        </w:rPr>
      </w:pPr>
      <w:r>
        <w:rPr>
          <w:rFonts w:ascii="Arial" w:cs="Arial" w:eastAsia="Arial" w:hAnsi="Arial"/>
          <w:sz w:val="19"/>
          <w:szCs w:val="19"/>
          <w:color w:val="auto"/>
        </w:rPr>
        <w:t>requirements of this Section V. Any effort by the Company, or by the Adviser or Administrator, and their affiliates, to facilitate the reporting process does not change or alter that responsibility. A person need not make a report hereunder with respect to transactions effected for, and Covered Securities held in, any account over which the person has no direct or indirect influence or control.</w:t>
      </w:r>
    </w:p>
    <w:p>
      <w:pPr>
        <w:spacing w:after="0" w:line="230" w:lineRule="exact"/>
        <w:rPr>
          <w:sz w:val="20"/>
          <w:szCs w:val="20"/>
          <w:color w:val="auto"/>
        </w:rPr>
      </w:pPr>
    </w:p>
    <w:p>
      <w:pPr>
        <w:ind w:left="540" w:hanging="333"/>
        <w:spacing w:after="0"/>
        <w:tabs>
          <w:tab w:leader="none" w:pos="540" w:val="left"/>
        </w:tabs>
        <w:numPr>
          <w:ilvl w:val="0"/>
          <w:numId w:val="70"/>
        </w:numPr>
        <w:rPr>
          <w:rFonts w:ascii="Arial" w:cs="Arial" w:eastAsia="Arial" w:hAnsi="Arial"/>
          <w:sz w:val="20"/>
          <w:szCs w:val="20"/>
          <w:color w:val="auto"/>
        </w:rPr>
      </w:pPr>
      <w:r>
        <w:rPr>
          <w:rFonts w:ascii="Arial" w:cs="Arial" w:eastAsia="Arial" w:hAnsi="Arial"/>
          <w:sz w:val="20"/>
          <w:szCs w:val="20"/>
          <w:i w:val="1"/>
          <w:iCs w:val="1"/>
          <w:color w:val="auto"/>
        </w:rPr>
        <w:t>Where to File Reports</w:t>
      </w:r>
      <w:r>
        <w:rPr>
          <w:rFonts w:ascii="Arial" w:cs="Arial" w:eastAsia="Arial" w:hAnsi="Arial"/>
          <w:sz w:val="20"/>
          <w:szCs w:val="20"/>
          <w:color w:val="auto"/>
        </w:rPr>
        <w:t>.</w:t>
      </w:r>
    </w:p>
    <w:p>
      <w:pPr>
        <w:spacing w:after="0" w:line="270" w:lineRule="exact"/>
        <w:rPr>
          <w:sz w:val="20"/>
          <w:szCs w:val="20"/>
          <w:color w:val="auto"/>
        </w:rPr>
      </w:pPr>
    </w:p>
    <w:p>
      <w:pPr>
        <w:jc w:val="both"/>
        <w:ind w:left="100" w:right="419" w:firstLine="648"/>
        <w:spacing w:after="0" w:line="250" w:lineRule="auto"/>
        <w:rPr>
          <w:sz w:val="20"/>
          <w:szCs w:val="20"/>
          <w:color w:val="auto"/>
        </w:rPr>
      </w:pPr>
      <w:r>
        <w:rPr>
          <w:rFonts w:ascii="Arial" w:cs="Arial" w:eastAsia="Arial" w:hAnsi="Arial"/>
          <w:sz w:val="20"/>
          <w:szCs w:val="20"/>
          <w:color w:val="auto"/>
        </w:rPr>
        <w:t>All Quarterly Securities Transaction Reports and Initial and Annual Personal Securities Accounts and Holdings Reports must be filed, in writing, with the CCO using either (i) Schedule B or C, respectively, or (ii) any available online PST System.</w:t>
      </w:r>
    </w:p>
    <w:p>
      <w:pPr>
        <w:spacing w:after="0" w:line="240" w:lineRule="exact"/>
        <w:rPr>
          <w:sz w:val="20"/>
          <w:szCs w:val="20"/>
          <w:color w:val="auto"/>
        </w:rPr>
      </w:pPr>
    </w:p>
    <w:p>
      <w:pPr>
        <w:ind w:left="540" w:hanging="333"/>
        <w:spacing w:after="0"/>
        <w:tabs>
          <w:tab w:leader="none" w:pos="540" w:val="left"/>
        </w:tabs>
        <w:numPr>
          <w:ilvl w:val="0"/>
          <w:numId w:val="71"/>
        </w:numPr>
        <w:rPr>
          <w:rFonts w:ascii="Arial" w:cs="Arial" w:eastAsia="Arial" w:hAnsi="Arial"/>
          <w:sz w:val="20"/>
          <w:szCs w:val="20"/>
          <w:color w:val="auto"/>
        </w:rPr>
      </w:pPr>
      <w:r>
        <w:rPr>
          <w:rFonts w:ascii="Arial" w:cs="Arial" w:eastAsia="Arial" w:hAnsi="Arial"/>
          <w:sz w:val="20"/>
          <w:szCs w:val="20"/>
          <w:i w:val="1"/>
          <w:iCs w:val="1"/>
          <w:color w:val="auto"/>
        </w:rPr>
        <w:t>Disclaimers</w:t>
      </w:r>
      <w:r>
        <w:rPr>
          <w:rFonts w:ascii="Arial" w:cs="Arial" w:eastAsia="Arial" w:hAnsi="Arial"/>
          <w:sz w:val="20"/>
          <w:szCs w:val="20"/>
          <w:color w:val="auto"/>
        </w:rPr>
        <w:t>.</w:t>
      </w:r>
    </w:p>
    <w:p>
      <w:pPr>
        <w:spacing w:after="0" w:line="283" w:lineRule="exact"/>
        <w:rPr>
          <w:sz w:val="20"/>
          <w:szCs w:val="20"/>
          <w:color w:val="auto"/>
        </w:rPr>
      </w:pPr>
    </w:p>
    <w:p>
      <w:pPr>
        <w:jc w:val="both"/>
        <w:ind w:left="100" w:right="419" w:firstLine="648"/>
        <w:spacing w:after="0" w:line="250" w:lineRule="auto"/>
        <w:rPr>
          <w:sz w:val="20"/>
          <w:szCs w:val="20"/>
          <w:color w:val="auto"/>
        </w:rPr>
      </w:pPr>
      <w:r>
        <w:rPr>
          <w:rFonts w:ascii="Arial" w:cs="Arial" w:eastAsia="Arial" w:hAnsi="Arial"/>
          <w:sz w:val="20"/>
          <w:szCs w:val="20"/>
          <w:color w:val="auto"/>
        </w:rPr>
        <w:t>Any report required by this Section V may contain a statement that the report will not be construed as an admission that the person making the report has any direct or indirect Beneficial Ownership in the Covered Security to which the report relates.</w:t>
      </w:r>
    </w:p>
    <w:p>
      <w:pPr>
        <w:spacing w:after="0" w:line="288" w:lineRule="exact"/>
        <w:rPr>
          <w:sz w:val="20"/>
          <w:szCs w:val="20"/>
          <w:color w:val="auto"/>
        </w:rPr>
      </w:pPr>
    </w:p>
    <w:p>
      <w:pPr>
        <w:ind w:left="200"/>
        <w:spacing w:after="0"/>
        <w:tabs>
          <w:tab w:leader="none" w:pos="1460" w:val="left"/>
        </w:tabs>
        <w:rPr>
          <w:sz w:val="20"/>
          <w:szCs w:val="20"/>
          <w:color w:val="auto"/>
        </w:rPr>
      </w:pPr>
      <w:r>
        <w:rPr>
          <w:rFonts w:ascii="Arial" w:cs="Arial" w:eastAsia="Arial" w:hAnsi="Arial"/>
          <w:sz w:val="20"/>
          <w:szCs w:val="20"/>
          <w:b w:val="1"/>
          <w:bCs w:val="1"/>
          <w:color w:val="auto"/>
        </w:rPr>
        <w:t>Section VI.</w:t>
      </w:r>
      <w:r>
        <w:rPr>
          <w:sz w:val="20"/>
          <w:szCs w:val="20"/>
          <w:color w:val="auto"/>
        </w:rPr>
        <w:tab/>
      </w:r>
      <w:r>
        <w:rPr>
          <w:rFonts w:ascii="Arial" w:cs="Arial" w:eastAsia="Arial" w:hAnsi="Arial"/>
          <w:sz w:val="18"/>
          <w:szCs w:val="18"/>
          <w:b w:val="1"/>
          <w:bCs w:val="1"/>
          <w:color w:val="auto"/>
        </w:rPr>
        <w:t>Additional Prohibitions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 Confidentiality of the Company’s Transactions.</w:t>
      </w:r>
    </w:p>
    <w:p>
      <w:pPr>
        <w:spacing w:after="0" w:line="270" w:lineRule="exact"/>
        <w:rPr>
          <w:sz w:val="20"/>
          <w:szCs w:val="20"/>
          <w:color w:val="auto"/>
        </w:rPr>
      </w:pPr>
    </w:p>
    <w:p>
      <w:pPr>
        <w:ind w:left="100" w:right="439" w:firstLine="648"/>
        <w:spacing w:after="0" w:line="244" w:lineRule="auto"/>
        <w:rPr>
          <w:sz w:val="20"/>
          <w:szCs w:val="20"/>
          <w:color w:val="auto"/>
        </w:rPr>
      </w:pPr>
      <w:r>
        <w:rPr>
          <w:rFonts w:ascii="Arial" w:cs="Arial" w:eastAsia="Arial" w:hAnsi="Arial"/>
          <w:sz w:val="20"/>
          <w:szCs w:val="20"/>
          <w:color w:val="auto"/>
        </w:rPr>
        <w:t>Until disclosed in a public report to stockholders or to the U.S. Securities and Exchange Commission in the normal course, all information concerning the securities “being considered for purchase or sale” by the Company shall be kept confidential by all Covered Persons and disclosed by them only on a “need to know” basis. It shall be the responsibility of the CCO to report to the directors of the Company any known violations found in this regard.</w:t>
      </w:r>
    </w:p>
    <w:p>
      <w:pPr>
        <w:spacing w:after="0" w:line="248" w:lineRule="exact"/>
        <w:rPr>
          <w:sz w:val="20"/>
          <w:szCs w:val="20"/>
          <w:color w:val="auto"/>
        </w:rPr>
      </w:pPr>
    </w:p>
    <w:p>
      <w:pPr>
        <w:ind w:left="200"/>
        <w:spacing w:after="0"/>
        <w:rPr>
          <w:sz w:val="20"/>
          <w:szCs w:val="20"/>
          <w:color w:val="auto"/>
        </w:rPr>
      </w:pPr>
      <w:r>
        <w:rPr>
          <w:rFonts w:ascii="Arial" w:cs="Arial" w:eastAsia="Arial" w:hAnsi="Arial"/>
          <w:sz w:val="20"/>
          <w:szCs w:val="20"/>
          <w:color w:val="auto"/>
        </w:rPr>
        <w:t>(B) Gifts and Entertainment Policy</w:t>
      </w:r>
    </w:p>
    <w:p>
      <w:pPr>
        <w:spacing w:after="0" w:line="270" w:lineRule="exact"/>
        <w:rPr>
          <w:sz w:val="20"/>
          <w:szCs w:val="20"/>
          <w:color w:val="auto"/>
        </w:rPr>
      </w:pPr>
    </w:p>
    <w:p>
      <w:pPr>
        <w:jc w:val="both"/>
        <w:ind w:left="100" w:right="439" w:firstLine="648"/>
        <w:spacing w:after="0" w:line="257" w:lineRule="auto"/>
        <w:rPr>
          <w:sz w:val="20"/>
          <w:szCs w:val="20"/>
          <w:color w:val="auto"/>
        </w:rPr>
      </w:pPr>
      <w:r>
        <w:rPr>
          <w:rFonts w:ascii="Arial" w:cs="Arial" w:eastAsia="Arial" w:hAnsi="Arial"/>
          <w:sz w:val="19"/>
          <w:szCs w:val="19"/>
          <w:color w:val="auto"/>
        </w:rPr>
        <w:t>Covered Persons and their immediate families should not solicit, accept, retain or provide any gifts or favors which might influence decisions of the Covered Person or the recipient in making business transactions involving the Adviser or the Company, or which others might reasonably believe could influence those decisions. Even a nominal gift should not be accepted if, to a reasonable observer, it might appear that the gift would influence a business decision. Generally, without the written approval of the CCO, no gift may be accepted or provided that exceeds $250 in monetary value. No Covered Person may give or accept gifts of cash or cash equivalents.</w:t>
      </w:r>
    </w:p>
    <w:p>
      <w:pPr>
        <w:spacing w:after="0" w:line="252" w:lineRule="exact"/>
        <w:rPr>
          <w:sz w:val="20"/>
          <w:szCs w:val="20"/>
          <w:color w:val="auto"/>
        </w:rPr>
      </w:pPr>
    </w:p>
    <w:p>
      <w:pPr>
        <w:jc w:val="both"/>
        <w:ind w:left="100" w:right="419" w:firstLine="648"/>
        <w:spacing w:after="0" w:line="243" w:lineRule="auto"/>
        <w:rPr>
          <w:sz w:val="20"/>
          <w:szCs w:val="20"/>
          <w:color w:val="auto"/>
        </w:rPr>
      </w:pPr>
      <w:r>
        <w:rPr>
          <w:rFonts w:ascii="Arial" w:cs="Arial" w:eastAsia="Arial" w:hAnsi="Arial"/>
          <w:sz w:val="20"/>
          <w:szCs w:val="20"/>
          <w:color w:val="auto"/>
        </w:rPr>
        <w:t>The policy does not apply to gifts of de minimis value (</w:t>
      </w:r>
      <w:r>
        <w:rPr>
          <w:rFonts w:ascii="Arial" w:cs="Arial" w:eastAsia="Arial" w:hAnsi="Arial"/>
          <w:sz w:val="20"/>
          <w:szCs w:val="20"/>
          <w:i w:val="1"/>
          <w:iCs w:val="1"/>
          <w:color w:val="auto"/>
        </w:rPr>
        <w:t>e.g.</w:t>
      </w:r>
      <w:r>
        <w:rPr>
          <w:rFonts w:ascii="Arial" w:cs="Arial" w:eastAsia="Arial" w:hAnsi="Arial"/>
          <w:sz w:val="20"/>
          <w:szCs w:val="20"/>
          <w:color w:val="auto"/>
        </w:rPr>
        <w:t>, pens, notepads, doughnuts, pizza, modest desk ornaments, etc.) or to promotional items of nominal value that display a firm logo (</w:t>
      </w:r>
      <w:r>
        <w:rPr>
          <w:rFonts w:ascii="Arial" w:cs="Arial" w:eastAsia="Arial" w:hAnsi="Arial"/>
          <w:sz w:val="20"/>
          <w:szCs w:val="20"/>
          <w:i w:val="1"/>
          <w:iCs w:val="1"/>
          <w:color w:val="auto"/>
        </w:rPr>
        <w:t>e.g.</w:t>
      </w:r>
      <w:r>
        <w:rPr>
          <w:rFonts w:ascii="Arial" w:cs="Arial" w:eastAsia="Arial" w:hAnsi="Arial"/>
          <w:sz w:val="20"/>
          <w:szCs w:val="20"/>
          <w:color w:val="auto"/>
        </w:rPr>
        <w:t>, umbrellas, tote bags, shirts, etc.) and “personal” gifts received because of kinship, marriage or social relationships entirely beyond and apart from an organization in which membership or an official position is held. De minimis gifts and promotional items must be less than the $250 limit to fall within the exclusion.</w:t>
      </w:r>
    </w:p>
    <w:p>
      <w:pPr>
        <w:spacing w:after="0" w:line="263" w:lineRule="exact"/>
        <w:rPr>
          <w:sz w:val="20"/>
          <w:szCs w:val="20"/>
          <w:color w:val="auto"/>
        </w:rPr>
      </w:pPr>
    </w:p>
    <w:p>
      <w:pPr>
        <w:jc w:val="both"/>
        <w:ind w:left="100" w:right="419" w:firstLine="648"/>
        <w:spacing w:after="0" w:line="232" w:lineRule="auto"/>
        <w:rPr>
          <w:sz w:val="20"/>
          <w:szCs w:val="20"/>
          <w:color w:val="auto"/>
        </w:rPr>
      </w:pPr>
      <w:r>
        <w:rPr>
          <w:rFonts w:ascii="Arial" w:cs="Arial" w:eastAsia="Arial" w:hAnsi="Arial"/>
          <w:sz w:val="18"/>
          <w:szCs w:val="18"/>
          <w:color w:val="auto"/>
        </w:rPr>
        <w:t>These prohibitions do not apply to ordinary and usual business entertainment, so long as such entertainment is neither so frequent nor so extensive as to raise any questions of impropriety. For an item to be considered “business entertainment,” the vendor must</w:t>
      </w:r>
      <w:r>
        <w:rPr>
          <w:rFonts w:ascii="Arial" w:cs="Arial" w:eastAsia="Arial" w:hAnsi="Arial"/>
          <w:sz w:val="38"/>
          <w:szCs w:val="38"/>
          <w:color w:val="auto"/>
          <w:vertAlign w:val="subscript"/>
        </w:rPr>
        <w:t>7</w:t>
      </w:r>
      <w:r>
        <w:rPr>
          <w:rFonts w:ascii="Arial" w:cs="Arial" w:eastAsia="Arial" w:hAnsi="Arial"/>
          <w:sz w:val="18"/>
          <w:szCs w:val="18"/>
          <w:color w:val="auto"/>
        </w:rPr>
        <w:t xml:space="preserve"> be present at the event/meal and there must be an opportunity to discuss matters relating to Adviser or Company business. For example, if a Covered Person receives theater tickets from a vendor, the tickets are “business entertainment” only if the vendor attends the event and there is an opportunity to discuss business matters. If not, the tickets should be treated as a “gift” for purposes of this policy and subject to the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702945</wp:posOffset>
            </wp:positionV>
            <wp:extent cx="5383530"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0">
                      <a:extLst>
                        <a:ext uri="{28A0092B-C50C-407E-A947-70E740481C1C}"/>
                      </a:extLst>
                    </a:blip>
                    <a:srcRect/>
                    <a:stretch>
                      <a:fillRect/>
                    </a:stretch>
                  </pic:blipFill>
                  <pic:spPr bwMode="auto">
                    <a:xfrm>
                      <a:off x="0" y="0"/>
                      <a:ext cx="5383530" cy="2603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94" w:name="page95"/>
    <w:bookmarkEnd w:id="94"/>
    <w:p>
      <w:pPr>
        <w:ind w:left="740"/>
        <w:spacing w:after="0"/>
        <w:rPr>
          <w:sz w:val="20"/>
          <w:szCs w:val="20"/>
          <w:color w:val="auto"/>
        </w:rPr>
      </w:pPr>
      <w:r>
        <w:rPr>
          <w:rFonts w:ascii="Arial" w:cs="Arial" w:eastAsia="Arial" w:hAnsi="Arial"/>
          <w:sz w:val="20"/>
          <w:szCs w:val="20"/>
          <w:color w:val="auto"/>
        </w:rPr>
        <w:t>All Covered Persons must report:</w:t>
      </w:r>
    </w:p>
    <w:p>
      <w:pPr>
        <w:spacing w:after="0" w:line="364" w:lineRule="exact"/>
        <w:rPr>
          <w:sz w:val="20"/>
          <w:szCs w:val="20"/>
          <w:color w:val="auto"/>
        </w:rPr>
      </w:pPr>
    </w:p>
    <w:p>
      <w:pPr>
        <w:ind w:left="1160" w:right="439" w:hanging="332"/>
        <w:spacing w:after="0" w:line="274" w:lineRule="auto"/>
        <w:tabs>
          <w:tab w:leader="none" w:pos="1160" w:val="left"/>
        </w:tabs>
        <w:numPr>
          <w:ilvl w:val="0"/>
          <w:numId w:val="72"/>
        </w:numPr>
        <w:rPr>
          <w:rFonts w:ascii="Arial" w:cs="Arial" w:eastAsia="Arial" w:hAnsi="Arial"/>
          <w:sz w:val="20"/>
          <w:szCs w:val="20"/>
          <w:color w:val="auto"/>
        </w:rPr>
      </w:pPr>
      <w:r>
        <w:rPr>
          <w:rFonts w:ascii="Arial" w:cs="Arial" w:eastAsia="Arial" w:hAnsi="Arial"/>
          <w:sz w:val="20"/>
          <w:szCs w:val="20"/>
          <w:color w:val="auto"/>
        </w:rPr>
        <w:t xml:space="preserve">the receipt or giving of </w:t>
      </w:r>
      <w:r>
        <w:rPr>
          <w:rFonts w:ascii="Arial" w:cs="Arial" w:eastAsia="Arial" w:hAnsi="Arial"/>
          <w:sz w:val="20"/>
          <w:szCs w:val="20"/>
          <w:u w:val="single" w:color="auto"/>
          <w:color w:val="auto"/>
        </w:rPr>
        <w:t>all</w:t>
      </w:r>
      <w:r>
        <w:rPr>
          <w:rFonts w:ascii="Arial" w:cs="Arial" w:eastAsia="Arial" w:hAnsi="Arial"/>
          <w:sz w:val="20"/>
          <w:szCs w:val="20"/>
          <w:color w:val="auto"/>
        </w:rPr>
        <w:t xml:space="preserve"> gifts in excess of $250 (other than personal gifts and gifts of de minimis value, as defined above), and</w:t>
      </w:r>
    </w:p>
    <w:p>
      <w:pPr>
        <w:spacing w:after="0" w:line="271" w:lineRule="exact"/>
        <w:rPr>
          <w:rFonts w:ascii="Arial" w:cs="Arial" w:eastAsia="Arial" w:hAnsi="Arial"/>
          <w:sz w:val="20"/>
          <w:szCs w:val="20"/>
          <w:color w:val="auto"/>
        </w:rPr>
      </w:pPr>
    </w:p>
    <w:p>
      <w:pPr>
        <w:jc w:val="both"/>
        <w:ind w:left="1160" w:right="459" w:hanging="332"/>
        <w:spacing w:after="0" w:line="250" w:lineRule="auto"/>
        <w:tabs>
          <w:tab w:leader="none" w:pos="1160"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receipt of all business entertainment to the CCO. All business entertainment with a value in excess of $500 must be pre-approved by the CCO prior to accepting the business entertainment.</w:t>
      </w:r>
    </w:p>
    <w:p>
      <w:pPr>
        <w:spacing w:after="0" w:line="294" w:lineRule="exact"/>
        <w:rPr>
          <w:sz w:val="20"/>
          <w:szCs w:val="20"/>
          <w:color w:val="auto"/>
        </w:rPr>
      </w:pPr>
    </w:p>
    <w:p>
      <w:pPr>
        <w:jc w:val="both"/>
        <w:ind w:left="100" w:right="419" w:firstLine="648"/>
        <w:spacing w:after="0" w:line="259" w:lineRule="auto"/>
        <w:rPr>
          <w:sz w:val="20"/>
          <w:szCs w:val="20"/>
          <w:color w:val="auto"/>
        </w:rPr>
      </w:pPr>
      <w:r>
        <w:rPr>
          <w:rFonts w:ascii="Arial" w:cs="Arial" w:eastAsia="Arial" w:hAnsi="Arial"/>
          <w:sz w:val="19"/>
          <w:szCs w:val="19"/>
          <w:color w:val="auto"/>
        </w:rPr>
        <w:t>Regardless of the dollar value, Covered Persons may not give a gift or provide entertainment that is inappropriate under the circumstances, or inconsistent with applicable law or regulations, to persons associated with securities or financial organizations, exchanges, member firms, commodity firms, news media, ERISA fiduciaries, or clients of the Adviser. In addition, Covered Persons must confer with the CCO, who may consult Legal Counsel, before making contact with state or local government plans, and comply with all applicable state or local laws regarding such communications.</w:t>
      </w:r>
    </w:p>
    <w:p>
      <w:pPr>
        <w:spacing w:after="0" w:line="286" w:lineRule="exact"/>
        <w:rPr>
          <w:sz w:val="20"/>
          <w:szCs w:val="20"/>
          <w:color w:val="auto"/>
        </w:rPr>
      </w:pPr>
    </w:p>
    <w:p>
      <w:pPr>
        <w:jc w:val="both"/>
        <w:ind w:left="100" w:right="439" w:firstLine="648"/>
        <w:spacing w:after="0" w:line="260" w:lineRule="auto"/>
        <w:rPr>
          <w:sz w:val="20"/>
          <w:szCs w:val="20"/>
          <w:color w:val="auto"/>
        </w:rPr>
      </w:pPr>
      <w:r>
        <w:rPr>
          <w:rFonts w:ascii="Arial" w:cs="Arial" w:eastAsia="Arial" w:hAnsi="Arial"/>
          <w:sz w:val="20"/>
          <w:szCs w:val="20"/>
          <w:color w:val="auto"/>
        </w:rPr>
        <w:t>The CCO shall maintain a gift log of all gifts received by all Covered Persons in excess of $250, and of all business entertainment in excess of $500.</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Section VII. Annual Certification</w:t>
      </w:r>
    </w:p>
    <w:p>
      <w:pPr>
        <w:spacing w:after="0" w:line="3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 Access Persons.</w:t>
      </w:r>
    </w:p>
    <w:p>
      <w:pPr>
        <w:spacing w:after="0" w:line="270" w:lineRule="exact"/>
        <w:rPr>
          <w:sz w:val="20"/>
          <w:szCs w:val="20"/>
          <w:color w:val="auto"/>
        </w:rPr>
      </w:pPr>
    </w:p>
    <w:p>
      <w:pPr>
        <w:jc w:val="both"/>
        <w:ind w:left="100" w:right="419" w:firstLine="648"/>
        <w:spacing w:after="0" w:line="246" w:lineRule="auto"/>
        <w:rPr>
          <w:sz w:val="20"/>
          <w:szCs w:val="20"/>
          <w:color w:val="auto"/>
        </w:rPr>
      </w:pPr>
      <w:r>
        <w:rPr>
          <w:rFonts w:ascii="Arial" w:cs="Arial" w:eastAsia="Arial" w:hAnsi="Arial"/>
          <w:sz w:val="20"/>
          <w:szCs w:val="20"/>
          <w:color w:val="auto"/>
        </w:rPr>
        <w:t>Access Persons shall be required to certify annually that they have read this Code and that they understand it and recognize that they are subject to it. Further, Access Persons shall be required to certify annually that they have complied with the requirements of this Code. A form of such certification is attached as Schedule D.</w:t>
      </w:r>
    </w:p>
    <w:p>
      <w:pPr>
        <w:spacing w:after="0" w:line="24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(B) Board Review.</w:t>
      </w:r>
    </w:p>
    <w:p>
      <w:pPr>
        <w:spacing w:after="0" w:line="270" w:lineRule="exact"/>
        <w:rPr>
          <w:sz w:val="20"/>
          <w:szCs w:val="20"/>
          <w:color w:val="auto"/>
        </w:rPr>
      </w:pPr>
    </w:p>
    <w:p>
      <w:pPr>
        <w:jc w:val="both"/>
        <w:ind w:left="100" w:right="419" w:firstLine="648"/>
        <w:spacing w:after="0" w:line="304" w:lineRule="auto"/>
        <w:rPr>
          <w:sz w:val="20"/>
          <w:szCs w:val="20"/>
          <w:color w:val="auto"/>
        </w:rPr>
      </w:pPr>
      <w:r>
        <w:rPr>
          <w:rFonts w:ascii="Arial" w:cs="Arial" w:eastAsia="Arial" w:hAnsi="Arial"/>
          <w:sz w:val="16"/>
          <w:szCs w:val="16"/>
          <w:color w:val="auto"/>
        </w:rPr>
        <w:t>No less frequently than annually, the Runway Entities must furnish to the Company’s board of directors, and the board must consider, a written report that: (A) describes any issues arising under this Code or procedures since the last report to the board, including, but not limited to, information about material violations of the Code or procedures and sanctions imposed in response to material violations; and</w:t>
      </w:r>
    </w:p>
    <w:p>
      <w:pPr>
        <w:spacing w:after="0" w:line="2" w:lineRule="exact"/>
        <w:rPr>
          <w:sz w:val="20"/>
          <w:szCs w:val="20"/>
          <w:color w:val="auto"/>
        </w:rPr>
      </w:pPr>
    </w:p>
    <w:p>
      <w:pPr>
        <w:ind w:left="100" w:right="419" w:hanging="1"/>
        <w:spacing w:after="0" w:line="244" w:lineRule="auto"/>
        <w:tabs>
          <w:tab w:leader="none" w:pos="427" w:val="left"/>
        </w:tabs>
        <w:numPr>
          <w:ilvl w:val="0"/>
          <w:numId w:val="73"/>
        </w:numPr>
        <w:rPr>
          <w:rFonts w:ascii="Arial" w:cs="Arial" w:eastAsia="Arial" w:hAnsi="Arial"/>
          <w:sz w:val="20"/>
          <w:szCs w:val="20"/>
          <w:color w:val="auto"/>
        </w:rPr>
      </w:pPr>
      <w:r>
        <w:rPr>
          <w:rFonts w:ascii="Arial" w:cs="Arial" w:eastAsia="Arial" w:hAnsi="Arial"/>
          <w:sz w:val="20"/>
          <w:szCs w:val="20"/>
          <w:color w:val="auto"/>
        </w:rPr>
        <w:t>certifies that the Company, the Adviser, and the Administrator, as applicable, has adopted procedures reasonably necessary to prevent Access Persons from violating the Code.</w:t>
      </w:r>
    </w:p>
    <w:p>
      <w:pPr>
        <w:spacing w:after="0" w:line="307" w:lineRule="exact"/>
        <w:rPr>
          <w:sz w:val="20"/>
          <w:szCs w:val="20"/>
          <w:color w:val="auto"/>
        </w:rPr>
      </w:pPr>
    </w:p>
    <w:p>
      <w:pPr>
        <w:ind w:left="200"/>
        <w:spacing w:after="0"/>
        <w:tabs>
          <w:tab w:leader="none" w:pos="1460" w:val="left"/>
        </w:tabs>
        <w:rPr>
          <w:sz w:val="20"/>
          <w:szCs w:val="20"/>
          <w:color w:val="auto"/>
        </w:rPr>
      </w:pPr>
      <w:r>
        <w:rPr>
          <w:rFonts w:ascii="Arial" w:cs="Arial" w:eastAsia="Arial" w:hAnsi="Arial"/>
          <w:sz w:val="20"/>
          <w:szCs w:val="20"/>
          <w:b w:val="1"/>
          <w:bCs w:val="1"/>
          <w:color w:val="auto"/>
        </w:rPr>
        <w:t>Section VIII.</w:t>
      </w:r>
      <w:r>
        <w:rPr>
          <w:sz w:val="20"/>
          <w:szCs w:val="20"/>
          <w:color w:val="auto"/>
        </w:rPr>
        <w:tab/>
      </w:r>
      <w:r>
        <w:rPr>
          <w:rFonts w:ascii="Arial" w:cs="Arial" w:eastAsia="Arial" w:hAnsi="Arial"/>
          <w:sz w:val="16"/>
          <w:szCs w:val="16"/>
          <w:b w:val="1"/>
          <w:bCs w:val="1"/>
          <w:color w:val="auto"/>
        </w:rPr>
        <w:t>Sanctions</w:t>
      </w:r>
    </w:p>
    <w:p>
      <w:pPr>
        <w:spacing w:after="0" w:line="289" w:lineRule="exact"/>
        <w:rPr>
          <w:sz w:val="20"/>
          <w:szCs w:val="20"/>
          <w:color w:val="auto"/>
        </w:rPr>
      </w:pPr>
    </w:p>
    <w:p>
      <w:pPr>
        <w:jc w:val="both"/>
        <w:ind w:left="180" w:right="419" w:firstLine="567"/>
        <w:spacing w:after="0" w:line="269" w:lineRule="auto"/>
        <w:rPr>
          <w:sz w:val="20"/>
          <w:szCs w:val="20"/>
          <w:color w:val="auto"/>
        </w:rPr>
      </w:pPr>
      <w:r>
        <w:rPr>
          <w:rFonts w:ascii="Arial" w:cs="Arial" w:eastAsia="Arial" w:hAnsi="Arial"/>
          <w:sz w:val="18"/>
          <w:szCs w:val="18"/>
          <w:color w:val="auto"/>
        </w:rPr>
        <w:t>Any violation of this Code shall be subject to the imposition of such sanctions as may be deemed appropriate under the circumstances to achieve the purposes of Rule 17j-1, Rule 204A-1, and this Code. The sanctions to be imposed shall be determined by the Company’s board of directors, including a majority of the Independent Directors, provided, however, that with respect to violations by Covered Persons of the Adviser or the Administrator, the sanctions to be imposed shall be determined by the</w:t>
      </w:r>
    </w:p>
    <w:p>
      <w:pPr>
        <w:spacing w:after="0" w:line="4" w:lineRule="exact"/>
        <w:rPr>
          <w:sz w:val="20"/>
          <w:szCs w:val="20"/>
          <w:color w:val="auto"/>
        </w:rPr>
      </w:pPr>
    </w:p>
    <w:p>
      <w:pPr>
        <w:jc w:val="both"/>
        <w:ind w:left="4560" w:right="419" w:hanging="4388"/>
        <w:spacing w:after="0" w:line="239" w:lineRule="auto"/>
        <w:rPr>
          <w:sz w:val="20"/>
          <w:szCs w:val="20"/>
          <w:color w:val="auto"/>
        </w:rPr>
      </w:pPr>
      <w:r>
        <w:rPr>
          <w:rFonts w:ascii="Arial" w:cs="Arial" w:eastAsia="Arial" w:hAnsi="Arial"/>
          <w:sz w:val="19"/>
          <w:szCs w:val="19"/>
          <w:color w:val="auto"/>
        </w:rPr>
        <w:t xml:space="preserve">Adviser or the Administrator (or the controlling person thereof). Sanctions may include, but are not </w:t>
      </w:r>
      <w:r>
        <w:rPr>
          <w:rFonts w:ascii="Arial" w:cs="Arial" w:eastAsia="Arial" w:hAnsi="Arial"/>
          <w:sz w:val="20"/>
          <w:szCs w:val="20"/>
          <w:color w:val="auto"/>
        </w:rPr>
        <w:t>8</w:t>
      </w:r>
    </w:p>
    <w:p>
      <w:pPr>
        <w:jc w:val="both"/>
        <w:ind w:left="180" w:right="419"/>
        <w:spacing w:after="0" w:line="241" w:lineRule="auto"/>
        <w:rPr>
          <w:sz w:val="20"/>
          <w:szCs w:val="20"/>
          <w:color w:val="auto"/>
        </w:rPr>
      </w:pPr>
      <w:r>
        <w:rPr>
          <w:rFonts w:ascii="Arial" w:cs="Arial" w:eastAsia="Arial" w:hAnsi="Arial"/>
          <w:sz w:val="20"/>
          <w:szCs w:val="20"/>
          <w:color w:val="auto"/>
        </w:rPr>
        <w:t>limited to, suspension or termination of employment, a letter of censure and/or restitution of an amount equal to the difference between the price paid or received by the Company and the more advantageous price paid or received by the offending person.</w:t>
      </w:r>
    </w:p>
    <w:p>
      <w:pPr>
        <w:spacing w:after="0" w:line="298" w:lineRule="exact"/>
        <w:rPr>
          <w:sz w:val="20"/>
          <w:szCs w:val="20"/>
          <w:color w:val="auto"/>
        </w:rPr>
      </w:pPr>
    </w:p>
    <w:p>
      <w:pPr>
        <w:ind w:left="200"/>
        <w:spacing w:after="0"/>
        <w:tabs>
          <w:tab w:leader="none" w:pos="1460" w:val="left"/>
        </w:tabs>
        <w:rPr>
          <w:sz w:val="20"/>
          <w:szCs w:val="20"/>
          <w:color w:val="auto"/>
        </w:rPr>
      </w:pPr>
      <w:r>
        <w:rPr>
          <w:rFonts w:ascii="Arial" w:cs="Arial" w:eastAsia="Arial" w:hAnsi="Arial"/>
          <w:sz w:val="20"/>
          <w:szCs w:val="20"/>
          <w:b w:val="1"/>
          <w:bCs w:val="1"/>
          <w:color w:val="auto"/>
        </w:rPr>
        <w:t>Section IX.</w:t>
      </w:r>
      <w:r>
        <w:rPr>
          <w:sz w:val="20"/>
          <w:szCs w:val="20"/>
          <w:color w:val="auto"/>
        </w:rPr>
        <w:tab/>
      </w:r>
      <w:r>
        <w:rPr>
          <w:rFonts w:ascii="Arial" w:cs="Arial" w:eastAsia="Arial" w:hAnsi="Arial"/>
          <w:sz w:val="18"/>
          <w:szCs w:val="18"/>
          <w:b w:val="1"/>
          <w:bCs w:val="1"/>
          <w:color w:val="auto"/>
        </w:rPr>
        <w:t>Administration and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716915</wp:posOffset>
            </wp:positionV>
            <wp:extent cx="5383530"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1">
                      <a:extLst>
                        <a:ext uri="{28A0092B-C50C-407E-A947-70E740481C1C}"/>
                      </a:extLst>
                    </a:blip>
                    <a:srcRect/>
                    <a:stretch>
                      <a:fillRect/>
                    </a:stretch>
                  </pic:blipFill>
                  <pic:spPr bwMode="auto">
                    <a:xfrm>
                      <a:off x="0" y="0"/>
                      <a:ext cx="5383530" cy="2603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95" w:name="page96"/>
    <w:bookmarkEnd w:id="95"/>
    <w:p>
      <w:pPr>
        <w:ind w:left="540" w:hanging="333"/>
        <w:spacing w:after="0"/>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administration of this Code shall be the responsibility of each Runway Entity’s respective CCO.</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540" w:hanging="333"/>
        <w:spacing w:after="0"/>
        <w:tabs>
          <w:tab w:leader="none" w:pos="540" w:val="left"/>
        </w:tabs>
        <w:numPr>
          <w:ilvl w:val="0"/>
          <w:numId w:val="74"/>
        </w:numPr>
        <w:rPr>
          <w:rFonts w:ascii="Arial" w:cs="Arial" w:eastAsia="Arial" w:hAnsi="Arial"/>
          <w:sz w:val="20"/>
          <w:szCs w:val="20"/>
          <w:color w:val="auto"/>
        </w:rPr>
      </w:pPr>
      <w:r>
        <w:rPr>
          <w:rFonts w:ascii="Arial" w:cs="Arial" w:eastAsia="Arial" w:hAnsi="Arial"/>
          <w:sz w:val="20"/>
          <w:szCs w:val="20"/>
          <w:color w:val="auto"/>
        </w:rPr>
        <w:t>The duties of the CCO are as follows:</w:t>
      </w:r>
    </w:p>
    <w:p>
      <w:pPr>
        <w:spacing w:after="0" w:line="107" w:lineRule="exact"/>
        <w:rPr>
          <w:rFonts w:ascii="Arial" w:cs="Arial" w:eastAsia="Arial" w:hAnsi="Arial"/>
          <w:sz w:val="20"/>
          <w:szCs w:val="20"/>
          <w:color w:val="auto"/>
        </w:rPr>
      </w:pPr>
    </w:p>
    <w:p>
      <w:pPr>
        <w:jc w:val="both"/>
        <w:ind w:left="1180" w:right="439" w:hanging="325"/>
        <w:spacing w:after="0" w:line="260" w:lineRule="auto"/>
        <w:tabs>
          <w:tab w:leader="none" w:pos="1180" w:val="left"/>
        </w:tabs>
        <w:numPr>
          <w:ilvl w:val="2"/>
          <w:numId w:val="74"/>
        </w:numPr>
        <w:rPr>
          <w:rFonts w:ascii="Arial" w:cs="Arial" w:eastAsia="Arial" w:hAnsi="Arial"/>
          <w:sz w:val="19"/>
          <w:szCs w:val="19"/>
          <w:color w:val="auto"/>
        </w:rPr>
      </w:pPr>
      <w:r>
        <w:rPr>
          <w:rFonts w:ascii="Arial" w:cs="Arial" w:eastAsia="Arial" w:hAnsi="Arial"/>
          <w:sz w:val="19"/>
          <w:szCs w:val="19"/>
          <w:color w:val="auto"/>
        </w:rPr>
        <w:t>Maintain continuously a current list of the names of all Access Persons with an appropriate description of their title or employment, including a notation of any directorships held by Access Persons who are officers or employees of the Adviser or the Administrator or of any company that controls the Adviser or the Administrator, and inform all Access Persons of their reporting obligations hereunder;</w:t>
      </w:r>
    </w:p>
    <w:p>
      <w:pPr>
        <w:spacing w:after="0" w:line="234" w:lineRule="exact"/>
        <w:rPr>
          <w:rFonts w:ascii="Arial" w:cs="Arial" w:eastAsia="Arial" w:hAnsi="Arial"/>
          <w:sz w:val="19"/>
          <w:szCs w:val="19"/>
          <w:color w:val="auto"/>
        </w:rPr>
      </w:pPr>
    </w:p>
    <w:p>
      <w:pPr>
        <w:jc w:val="both"/>
        <w:ind w:left="1180" w:right="439" w:hanging="325"/>
        <w:spacing w:after="0" w:line="263" w:lineRule="auto"/>
        <w:tabs>
          <w:tab w:leader="none" w:pos="1180" w:val="left"/>
        </w:tabs>
        <w:numPr>
          <w:ilvl w:val="2"/>
          <w:numId w:val="74"/>
        </w:numPr>
        <w:rPr>
          <w:rFonts w:ascii="Arial" w:cs="Arial" w:eastAsia="Arial" w:hAnsi="Arial"/>
          <w:sz w:val="19"/>
          <w:szCs w:val="19"/>
          <w:color w:val="auto"/>
        </w:rPr>
      </w:pPr>
      <w:r>
        <w:rPr>
          <w:rFonts w:ascii="Arial" w:cs="Arial" w:eastAsia="Arial" w:hAnsi="Arial"/>
          <w:sz w:val="19"/>
          <w:szCs w:val="19"/>
          <w:color w:val="auto"/>
        </w:rPr>
        <w:t>On an annual basis, provide all Covered Persons a copy of this Code and inform such persons of their duties and obligations hereunder including making available any supplemental training that may be required from time to time. In addition, provide to all Covered Persons updated copies of the Code each time it is amended.</w:t>
      </w:r>
    </w:p>
    <w:p>
      <w:pPr>
        <w:spacing w:after="0" w:line="230" w:lineRule="exact"/>
        <w:rPr>
          <w:rFonts w:ascii="Arial" w:cs="Arial" w:eastAsia="Arial" w:hAnsi="Arial"/>
          <w:sz w:val="19"/>
          <w:szCs w:val="19"/>
          <w:color w:val="auto"/>
        </w:rPr>
      </w:pPr>
    </w:p>
    <w:p>
      <w:pPr>
        <w:jc w:val="both"/>
        <w:ind w:left="1180" w:right="439" w:hanging="325"/>
        <w:spacing w:after="0" w:line="250" w:lineRule="auto"/>
        <w:tabs>
          <w:tab w:leader="none" w:pos="1180" w:val="left"/>
        </w:tabs>
        <w:numPr>
          <w:ilvl w:val="2"/>
          <w:numId w:val="74"/>
        </w:numPr>
        <w:rPr>
          <w:rFonts w:ascii="Arial" w:cs="Arial" w:eastAsia="Arial" w:hAnsi="Arial"/>
          <w:sz w:val="20"/>
          <w:szCs w:val="20"/>
          <w:color w:val="auto"/>
        </w:rPr>
      </w:pPr>
      <w:r>
        <w:rPr>
          <w:rFonts w:ascii="Arial" w:cs="Arial" w:eastAsia="Arial" w:hAnsi="Arial"/>
          <w:sz w:val="20"/>
          <w:szCs w:val="20"/>
          <w:color w:val="auto"/>
        </w:rPr>
        <w:t>Collect from all Covered Persons a signed “Acknowledgement, Affirmation and Certification of Compliance with Runway Compliance Program Documents” form (which is attached as Schedule D) annually and each time the Code is amended;</w:t>
      </w:r>
    </w:p>
    <w:p>
      <w:pPr>
        <w:spacing w:after="0" w:line="239" w:lineRule="exact"/>
        <w:rPr>
          <w:rFonts w:ascii="Arial" w:cs="Arial" w:eastAsia="Arial" w:hAnsi="Arial"/>
          <w:sz w:val="20"/>
          <w:szCs w:val="20"/>
          <w:color w:val="auto"/>
        </w:rPr>
      </w:pPr>
    </w:p>
    <w:p>
      <w:pPr>
        <w:ind w:left="1160" w:right="459" w:hanging="332"/>
        <w:spacing w:after="0" w:line="260" w:lineRule="auto"/>
        <w:tabs>
          <w:tab w:leader="none" w:pos="1160" w:val="left"/>
        </w:tabs>
        <w:numPr>
          <w:ilvl w:val="1"/>
          <w:numId w:val="74"/>
        </w:numPr>
        <w:rPr>
          <w:rFonts w:ascii="Arial" w:cs="Arial" w:eastAsia="Arial" w:hAnsi="Arial"/>
          <w:sz w:val="20"/>
          <w:szCs w:val="20"/>
          <w:color w:val="auto"/>
        </w:rPr>
      </w:pPr>
      <w:r>
        <w:rPr>
          <w:rFonts w:ascii="Arial" w:cs="Arial" w:eastAsia="Arial" w:hAnsi="Arial"/>
          <w:sz w:val="20"/>
          <w:szCs w:val="20"/>
          <w:color w:val="auto"/>
        </w:rPr>
        <w:t>Maintain or supervise the maintenance of all records (including pre-clearance and other approvals granted) and reports required by this Code;</w:t>
      </w:r>
    </w:p>
    <w:p>
      <w:pPr>
        <w:spacing w:after="0" w:line="238" w:lineRule="exact"/>
        <w:rPr>
          <w:rFonts w:ascii="Arial" w:cs="Arial" w:eastAsia="Arial" w:hAnsi="Arial"/>
          <w:sz w:val="20"/>
          <w:szCs w:val="20"/>
          <w:color w:val="auto"/>
        </w:rPr>
      </w:pPr>
    </w:p>
    <w:p>
      <w:pPr>
        <w:ind w:left="1160" w:hanging="332"/>
        <w:spacing w:after="0"/>
        <w:tabs>
          <w:tab w:leader="none" w:pos="1160" w:val="left"/>
        </w:tabs>
        <w:numPr>
          <w:ilvl w:val="1"/>
          <w:numId w:val="74"/>
        </w:numPr>
        <w:rPr>
          <w:rFonts w:ascii="Arial" w:cs="Arial" w:eastAsia="Arial" w:hAnsi="Arial"/>
          <w:sz w:val="20"/>
          <w:szCs w:val="20"/>
          <w:color w:val="auto"/>
        </w:rPr>
      </w:pPr>
      <w:r>
        <w:rPr>
          <w:rFonts w:ascii="Arial" w:cs="Arial" w:eastAsia="Arial" w:hAnsi="Arial"/>
          <w:sz w:val="20"/>
          <w:szCs w:val="20"/>
          <w:color w:val="auto"/>
        </w:rPr>
        <w:t>Review the contents of holding reports submitted by Access Persons</w:t>
      </w:r>
      <w:hyperlink w:anchor="page96">
        <w:r>
          <w:rPr>
            <w:rFonts w:ascii="Arial" w:cs="Arial" w:eastAsia="Arial" w:hAnsi="Arial"/>
            <w:sz w:val="29"/>
            <w:szCs w:val="29"/>
            <w:u w:val="single" w:color="auto"/>
            <w:color w:val="0000EE"/>
            <w:vertAlign w:val="superscript"/>
          </w:rPr>
          <w:t>2</w:t>
        </w:r>
      </w:hyperlink>
      <w:r>
        <w:rPr>
          <w:rFonts w:ascii="Arial" w:cs="Arial" w:eastAsia="Arial" w:hAnsi="Arial"/>
          <w:sz w:val="20"/>
          <w:szCs w:val="20"/>
          <w:color w:val="auto"/>
        </w:rPr>
        <w:t>;</w:t>
      </w:r>
    </w:p>
    <w:p>
      <w:pPr>
        <w:spacing w:after="0" w:line="171" w:lineRule="exact"/>
        <w:rPr>
          <w:rFonts w:ascii="Arial" w:cs="Arial" w:eastAsia="Arial" w:hAnsi="Arial"/>
          <w:sz w:val="20"/>
          <w:szCs w:val="20"/>
          <w:color w:val="auto"/>
        </w:rPr>
      </w:pPr>
    </w:p>
    <w:p>
      <w:pPr>
        <w:jc w:val="both"/>
        <w:ind w:left="1160" w:right="459" w:hanging="332"/>
        <w:spacing w:after="0" w:line="263" w:lineRule="auto"/>
        <w:tabs>
          <w:tab w:leader="none" w:pos="1160" w:val="left"/>
        </w:tabs>
        <w:numPr>
          <w:ilvl w:val="1"/>
          <w:numId w:val="74"/>
        </w:numPr>
        <w:rPr>
          <w:rFonts w:ascii="Arial" w:cs="Arial" w:eastAsia="Arial" w:hAnsi="Arial"/>
          <w:sz w:val="19"/>
          <w:szCs w:val="19"/>
          <w:color w:val="auto"/>
        </w:rPr>
      </w:pPr>
      <w:r>
        <w:rPr>
          <w:rFonts w:ascii="Arial" w:cs="Arial" w:eastAsia="Arial" w:hAnsi="Arial"/>
          <w:sz w:val="19"/>
          <w:szCs w:val="19"/>
          <w:color w:val="auto"/>
        </w:rPr>
        <w:t>Review reports of all transactions effected by Access Persons who are subject to the requirement to file Quarterly Securities Transaction Reports and review such transactions against a listing of all transactions effected by the Company and securities of any companies included on the Restricted List during the reporting period;</w:t>
      </w:r>
    </w:p>
    <w:p>
      <w:pPr>
        <w:spacing w:after="0" w:line="230" w:lineRule="exact"/>
        <w:rPr>
          <w:rFonts w:ascii="Arial" w:cs="Arial" w:eastAsia="Arial" w:hAnsi="Arial"/>
          <w:sz w:val="19"/>
          <w:szCs w:val="19"/>
          <w:color w:val="auto"/>
        </w:rPr>
      </w:pPr>
    </w:p>
    <w:p>
      <w:pPr>
        <w:jc w:val="both"/>
        <w:ind w:left="1160" w:right="439" w:hanging="332"/>
        <w:spacing w:after="0" w:line="250" w:lineRule="auto"/>
        <w:tabs>
          <w:tab w:leader="none" w:pos="1160" w:val="left"/>
        </w:tabs>
        <w:numPr>
          <w:ilvl w:val="1"/>
          <w:numId w:val="74"/>
        </w:numPr>
        <w:rPr>
          <w:rFonts w:ascii="Arial" w:cs="Arial" w:eastAsia="Arial" w:hAnsi="Arial"/>
          <w:sz w:val="20"/>
          <w:szCs w:val="20"/>
          <w:color w:val="auto"/>
        </w:rPr>
      </w:pPr>
      <w:r>
        <w:rPr>
          <w:rFonts w:ascii="Arial" w:cs="Arial" w:eastAsia="Arial" w:hAnsi="Arial"/>
          <w:sz w:val="20"/>
          <w:szCs w:val="20"/>
          <w:color w:val="auto"/>
        </w:rPr>
        <w:t>Issue, either personally or with the assistance of counsel, as may be appropriate, any interpretation of this Code that may appear consistent with the objectives of Rule 17j-1, Rule 204A-1, and this Code;</w:t>
      </w:r>
    </w:p>
    <w:p>
      <w:pPr>
        <w:spacing w:after="0" w:line="239" w:lineRule="exact"/>
        <w:rPr>
          <w:rFonts w:ascii="Arial" w:cs="Arial" w:eastAsia="Arial" w:hAnsi="Arial"/>
          <w:sz w:val="20"/>
          <w:szCs w:val="20"/>
          <w:color w:val="auto"/>
        </w:rPr>
      </w:pPr>
    </w:p>
    <w:p>
      <w:pPr>
        <w:jc w:val="both"/>
        <w:ind w:left="1160" w:right="439" w:hanging="332"/>
        <w:spacing w:after="0" w:line="250" w:lineRule="auto"/>
        <w:tabs>
          <w:tab w:leader="none" w:pos="1160" w:val="left"/>
        </w:tabs>
        <w:numPr>
          <w:ilvl w:val="1"/>
          <w:numId w:val="74"/>
        </w:numPr>
        <w:rPr>
          <w:rFonts w:ascii="Arial" w:cs="Arial" w:eastAsia="Arial" w:hAnsi="Arial"/>
          <w:sz w:val="20"/>
          <w:szCs w:val="20"/>
          <w:color w:val="auto"/>
        </w:rPr>
      </w:pPr>
      <w:r>
        <w:rPr>
          <w:rFonts w:ascii="Arial" w:cs="Arial" w:eastAsia="Arial" w:hAnsi="Arial"/>
          <w:sz w:val="20"/>
          <w:szCs w:val="20"/>
          <w:color w:val="auto"/>
        </w:rPr>
        <w:t>Conduct such inspections or investigations as shall reasonably be required to detect and report, with recommendations, any apparent violations of this Code to the board of directors of the Company; and</w:t>
      </w:r>
    </w:p>
    <w:p>
      <w:pPr>
        <w:spacing w:after="0" w:line="239" w:lineRule="exact"/>
        <w:rPr>
          <w:rFonts w:ascii="Arial" w:cs="Arial" w:eastAsia="Arial" w:hAnsi="Arial"/>
          <w:sz w:val="20"/>
          <w:szCs w:val="20"/>
          <w:color w:val="auto"/>
        </w:rPr>
      </w:pPr>
    </w:p>
    <w:p>
      <w:pPr>
        <w:jc w:val="both"/>
        <w:ind w:left="1160" w:right="459" w:hanging="332"/>
        <w:spacing w:after="0" w:line="250" w:lineRule="auto"/>
        <w:tabs>
          <w:tab w:leader="none" w:pos="1160" w:val="left"/>
        </w:tabs>
        <w:numPr>
          <w:ilvl w:val="1"/>
          <w:numId w:val="74"/>
        </w:numPr>
        <w:rPr>
          <w:rFonts w:ascii="Arial" w:cs="Arial" w:eastAsia="Arial" w:hAnsi="Arial"/>
          <w:sz w:val="20"/>
          <w:szCs w:val="20"/>
          <w:color w:val="auto"/>
        </w:rPr>
      </w:pPr>
      <w:r>
        <w:rPr>
          <w:rFonts w:ascii="Arial" w:cs="Arial" w:eastAsia="Arial" w:hAnsi="Arial"/>
          <w:sz w:val="20"/>
          <w:szCs w:val="20"/>
          <w:color w:val="auto"/>
        </w:rPr>
        <w:t>Submit a written report to the board of directors of the Company, no less frequently than annually, that describes any issues arising under the Code since the last such report, including but not limited to the information described in Section VII(B).</w:t>
      </w:r>
    </w:p>
    <w:p>
      <w:pPr>
        <w:spacing w:after="0" w:line="293" w:lineRule="exact"/>
        <w:rPr>
          <w:rFonts w:ascii="Arial" w:cs="Arial" w:eastAsia="Arial" w:hAnsi="Arial"/>
          <w:sz w:val="20"/>
          <w:szCs w:val="20"/>
          <w:color w:val="auto"/>
        </w:rPr>
      </w:pPr>
    </w:p>
    <w:p>
      <w:pPr>
        <w:jc w:val="both"/>
        <w:ind w:left="540" w:right="459" w:hanging="333"/>
        <w:spacing w:after="0" w:line="250" w:lineRule="auto"/>
        <w:tabs>
          <w:tab w:leader="none" w:pos="540" w:val="left"/>
        </w:tabs>
        <w:numPr>
          <w:ilvl w:val="0"/>
          <w:numId w:val="74"/>
        </w:numPr>
        <w:rPr>
          <w:rFonts w:ascii="Arial" w:cs="Arial" w:eastAsia="Arial" w:hAnsi="Arial"/>
          <w:sz w:val="20"/>
          <w:szCs w:val="20"/>
          <w:color w:val="auto"/>
        </w:rPr>
      </w:pPr>
      <w:r>
        <w:rPr>
          <w:rFonts w:ascii="Arial" w:cs="Arial" w:eastAsia="Arial" w:hAnsi="Arial"/>
          <w:sz w:val="20"/>
          <w:szCs w:val="20"/>
          <w:color w:val="auto"/>
        </w:rPr>
        <w:t>The respective CCO of each respective Runway Entity shall maintain and cause to be maintained in an easily accessible place at the principal place of business of each respective Runway Entity, the following records:</w:t>
      </w:r>
    </w:p>
    <w:p>
      <w:pPr>
        <w:spacing w:after="0" w:line="239" w:lineRule="exact"/>
        <w:rPr>
          <w:rFonts w:ascii="Arial" w:cs="Arial" w:eastAsia="Arial" w:hAnsi="Arial"/>
          <w:sz w:val="20"/>
          <w:szCs w:val="20"/>
          <w:color w:val="auto"/>
        </w:rPr>
      </w:pPr>
    </w:p>
    <w:p>
      <w:pPr>
        <w:jc w:val="both"/>
        <w:ind w:left="1160" w:right="439" w:hanging="332"/>
        <w:spacing w:after="0" w:line="185" w:lineRule="auto"/>
        <w:tabs>
          <w:tab w:leader="none" w:pos="1160" w:val="left"/>
        </w:tabs>
        <w:numPr>
          <w:ilvl w:val="1"/>
          <w:numId w:val="75"/>
        </w:numPr>
        <w:rPr>
          <w:rFonts w:ascii="Arial" w:cs="Arial" w:eastAsia="Arial" w:hAnsi="Arial"/>
          <w:sz w:val="19"/>
          <w:szCs w:val="19"/>
          <w:color w:val="auto"/>
        </w:rPr>
      </w:pPr>
      <w:r>
        <w:rPr>
          <w:rFonts w:ascii="Arial" w:cs="Arial" w:eastAsia="Arial" w:hAnsi="Arial"/>
          <w:sz w:val="19"/>
          <w:szCs w:val="19"/>
          <w:color w:val="auto"/>
        </w:rPr>
        <w:t>A copy of all codes of ethics adopted by the Company, the Adviser, or the Administrator and their affiliates, as the case may be, pursuant</w:t>
      </w:r>
      <w:r>
        <w:rPr>
          <w:rFonts w:ascii="Arial" w:cs="Arial" w:eastAsia="Arial" w:hAnsi="Arial"/>
          <w:sz w:val="42"/>
          <w:szCs w:val="42"/>
          <w:color w:val="auto"/>
          <w:vertAlign w:val="subscript"/>
        </w:rPr>
        <w:t>9</w:t>
      </w:r>
      <w:r>
        <w:rPr>
          <w:rFonts w:ascii="Arial" w:cs="Arial" w:eastAsia="Arial" w:hAnsi="Arial"/>
          <w:sz w:val="19"/>
          <w:szCs w:val="19"/>
          <w:color w:val="auto"/>
        </w:rPr>
        <w:t>to Rule 17j-1 and Rule 204A-1 that have been in effect at any time during the past five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168910</wp:posOffset>
            </wp:positionV>
            <wp:extent cx="134556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2">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260" w:lineRule="exact"/>
        <w:rPr>
          <w:sz w:val="20"/>
          <w:szCs w:val="20"/>
          <w:color w:val="auto"/>
        </w:rPr>
      </w:pPr>
    </w:p>
    <w:p>
      <w:pPr>
        <w:ind w:left="220" w:hanging="121"/>
        <w:spacing w:after="0"/>
        <w:tabs>
          <w:tab w:leader="none" w:pos="220" w:val="left"/>
        </w:tabs>
        <w:numPr>
          <w:ilvl w:val="0"/>
          <w:numId w:val="76"/>
        </w:numPr>
        <w:rPr>
          <w:rFonts w:ascii="Arial" w:cs="Arial" w:eastAsia="Arial" w:hAnsi="Arial"/>
          <w:sz w:val="27"/>
          <w:szCs w:val="27"/>
          <w:color w:val="auto"/>
          <w:vertAlign w:val="superscript"/>
        </w:rPr>
      </w:pPr>
      <w:r>
        <w:rPr>
          <w:rFonts w:ascii="Arial" w:cs="Arial" w:eastAsia="Arial" w:hAnsi="Arial"/>
          <w:sz w:val="18"/>
          <w:szCs w:val="18"/>
          <w:color w:val="auto"/>
        </w:rPr>
        <w:t>The reportable holdings and transaction reports of the CCO shall be reviewed by the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488950</wp:posOffset>
            </wp:positionV>
            <wp:extent cx="538353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3">
                      <a:extLst>
                        <a:ext uri="{28A0092B-C50C-407E-A947-70E740481C1C}"/>
                      </a:extLst>
                    </a:blip>
                    <a:srcRect/>
                    <a:stretch>
                      <a:fillRect/>
                    </a:stretch>
                  </pic:blipFill>
                  <pic:spPr bwMode="auto">
                    <a:xfrm>
                      <a:off x="0" y="0"/>
                      <a:ext cx="5383530" cy="1714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96" w:name="page97"/>
    <w:bookmarkEnd w:id="96"/>
    <w:p>
      <w:pPr>
        <w:jc w:val="both"/>
        <w:ind w:left="1160" w:right="439" w:hanging="332"/>
        <w:spacing w:after="0" w:line="269" w:lineRule="auto"/>
        <w:tabs>
          <w:tab w:leader="none" w:pos="1160" w:val="left"/>
        </w:tabs>
        <w:numPr>
          <w:ilvl w:val="1"/>
          <w:numId w:val="77"/>
        </w:numPr>
        <w:rPr>
          <w:rFonts w:ascii="Arial" w:cs="Arial" w:eastAsia="Arial" w:hAnsi="Arial"/>
          <w:sz w:val="19"/>
          <w:szCs w:val="19"/>
          <w:color w:val="auto"/>
        </w:rPr>
      </w:pPr>
      <w:r>
        <w:rPr>
          <w:rFonts w:ascii="Arial" w:cs="Arial" w:eastAsia="Arial" w:hAnsi="Arial"/>
          <w:sz w:val="19"/>
          <w:szCs w:val="19"/>
          <w:color w:val="auto"/>
        </w:rPr>
        <w:t>A copy of all signed “Acknowledgement, Affirmation and Certification of Compliance with Runway Compliance Program Documents” forms (see Schedule D) for at least five (5) years after the end of the fiscal year in which the Acknowledgement, etc. is submitted;</w:t>
      </w:r>
    </w:p>
    <w:p>
      <w:pPr>
        <w:spacing w:after="0" w:line="223" w:lineRule="exact"/>
        <w:rPr>
          <w:rFonts w:ascii="Arial" w:cs="Arial" w:eastAsia="Arial" w:hAnsi="Arial"/>
          <w:sz w:val="19"/>
          <w:szCs w:val="19"/>
          <w:color w:val="auto"/>
        </w:rPr>
      </w:pPr>
    </w:p>
    <w:p>
      <w:pPr>
        <w:jc w:val="both"/>
        <w:ind w:left="1160" w:right="439" w:hanging="332"/>
        <w:spacing w:after="0" w:line="250" w:lineRule="auto"/>
        <w:tabs>
          <w:tab w:leader="none" w:pos="1160" w:val="left"/>
        </w:tabs>
        <w:numPr>
          <w:ilvl w:val="1"/>
          <w:numId w:val="77"/>
        </w:numPr>
        <w:rPr>
          <w:rFonts w:ascii="Arial" w:cs="Arial" w:eastAsia="Arial" w:hAnsi="Arial"/>
          <w:sz w:val="20"/>
          <w:szCs w:val="20"/>
          <w:color w:val="auto"/>
        </w:rPr>
      </w:pPr>
      <w:r>
        <w:rPr>
          <w:rFonts w:ascii="Arial" w:cs="Arial" w:eastAsia="Arial" w:hAnsi="Arial"/>
          <w:sz w:val="20"/>
          <w:szCs w:val="20"/>
          <w:color w:val="auto"/>
        </w:rPr>
        <w:t>A record of each violation of such codes of ethics and of any action taken as a result of such violation for at least five (5) years after the end of the fiscal year in which the violation occurs;</w:t>
      </w:r>
    </w:p>
    <w:p>
      <w:pPr>
        <w:spacing w:after="0" w:line="239" w:lineRule="exact"/>
        <w:rPr>
          <w:rFonts w:ascii="Arial" w:cs="Arial" w:eastAsia="Arial" w:hAnsi="Arial"/>
          <w:sz w:val="20"/>
          <w:szCs w:val="20"/>
          <w:color w:val="auto"/>
        </w:rPr>
      </w:pPr>
    </w:p>
    <w:p>
      <w:pPr>
        <w:jc w:val="both"/>
        <w:ind w:left="1160" w:right="439" w:hanging="332"/>
        <w:spacing w:after="0" w:line="250" w:lineRule="auto"/>
        <w:tabs>
          <w:tab w:leader="none" w:pos="1160" w:val="left"/>
        </w:tabs>
        <w:numPr>
          <w:ilvl w:val="1"/>
          <w:numId w:val="77"/>
        </w:numPr>
        <w:rPr>
          <w:rFonts w:ascii="Arial" w:cs="Arial" w:eastAsia="Arial" w:hAnsi="Arial"/>
          <w:sz w:val="20"/>
          <w:szCs w:val="20"/>
          <w:color w:val="auto"/>
        </w:rPr>
      </w:pPr>
      <w:r>
        <w:rPr>
          <w:rFonts w:ascii="Arial" w:cs="Arial" w:eastAsia="Arial" w:hAnsi="Arial"/>
          <w:sz w:val="20"/>
          <w:szCs w:val="20"/>
          <w:color w:val="auto"/>
        </w:rPr>
        <w:t>A copy of each report made by an Access Person for at least two (2) years after the end of the fiscal year in which the report is made, and for an additional three (3) years in a place that need not be easily accessible;</w:t>
      </w:r>
    </w:p>
    <w:p>
      <w:pPr>
        <w:spacing w:after="0" w:line="239" w:lineRule="exact"/>
        <w:rPr>
          <w:rFonts w:ascii="Arial" w:cs="Arial" w:eastAsia="Arial" w:hAnsi="Arial"/>
          <w:sz w:val="20"/>
          <w:szCs w:val="20"/>
          <w:color w:val="auto"/>
        </w:rPr>
      </w:pPr>
    </w:p>
    <w:p>
      <w:pPr>
        <w:jc w:val="both"/>
        <w:ind w:left="1160" w:right="439" w:hanging="332"/>
        <w:spacing w:after="0" w:line="269" w:lineRule="auto"/>
        <w:tabs>
          <w:tab w:leader="none" w:pos="1160" w:val="left"/>
        </w:tabs>
        <w:numPr>
          <w:ilvl w:val="1"/>
          <w:numId w:val="77"/>
        </w:numPr>
        <w:rPr>
          <w:rFonts w:ascii="Arial" w:cs="Arial" w:eastAsia="Arial" w:hAnsi="Arial"/>
          <w:sz w:val="19"/>
          <w:szCs w:val="19"/>
          <w:color w:val="auto"/>
        </w:rPr>
      </w:pPr>
      <w:r>
        <w:rPr>
          <w:rFonts w:ascii="Arial" w:cs="Arial" w:eastAsia="Arial" w:hAnsi="Arial"/>
          <w:sz w:val="19"/>
          <w:szCs w:val="19"/>
          <w:color w:val="auto"/>
        </w:rPr>
        <w:t>A copy of each report made by the CCO to the board of directors for two (2) years from the end of the fiscal year of the Company in which such report is made or issued and for an additional three (3) years in a place that need not be easily accessible;</w:t>
      </w:r>
    </w:p>
    <w:p>
      <w:pPr>
        <w:spacing w:after="0" w:line="223" w:lineRule="exact"/>
        <w:rPr>
          <w:rFonts w:ascii="Arial" w:cs="Arial" w:eastAsia="Arial" w:hAnsi="Arial"/>
          <w:sz w:val="19"/>
          <w:szCs w:val="19"/>
          <w:color w:val="auto"/>
        </w:rPr>
      </w:pPr>
    </w:p>
    <w:p>
      <w:pPr>
        <w:jc w:val="both"/>
        <w:ind w:left="1160" w:right="439" w:hanging="332"/>
        <w:spacing w:after="0" w:line="250" w:lineRule="auto"/>
        <w:tabs>
          <w:tab w:leader="none" w:pos="1160" w:val="left"/>
        </w:tabs>
        <w:numPr>
          <w:ilvl w:val="1"/>
          <w:numId w:val="77"/>
        </w:numPr>
        <w:rPr>
          <w:rFonts w:ascii="Arial" w:cs="Arial" w:eastAsia="Arial" w:hAnsi="Arial"/>
          <w:sz w:val="20"/>
          <w:szCs w:val="20"/>
          <w:color w:val="auto"/>
        </w:rPr>
      </w:pPr>
      <w:r>
        <w:rPr>
          <w:rFonts w:ascii="Arial" w:cs="Arial" w:eastAsia="Arial" w:hAnsi="Arial"/>
          <w:sz w:val="20"/>
          <w:szCs w:val="20"/>
          <w:color w:val="auto"/>
        </w:rPr>
        <w:t>A list of all persons who are, or within the past five (5) years have been, required to make reports pursuant to Rule 17j-1, Rule 204A-1, and this Code, or who are or were responsible for reviewing such reports;</w:t>
      </w:r>
    </w:p>
    <w:p>
      <w:pPr>
        <w:spacing w:after="0" w:line="239" w:lineRule="exact"/>
        <w:rPr>
          <w:rFonts w:ascii="Arial" w:cs="Arial" w:eastAsia="Arial" w:hAnsi="Arial"/>
          <w:sz w:val="20"/>
          <w:szCs w:val="20"/>
          <w:color w:val="auto"/>
        </w:rPr>
      </w:pPr>
    </w:p>
    <w:p>
      <w:pPr>
        <w:jc w:val="both"/>
        <w:ind w:left="1160" w:right="459" w:hanging="332"/>
        <w:spacing w:after="0" w:line="250" w:lineRule="auto"/>
        <w:tabs>
          <w:tab w:leader="none" w:pos="1160" w:val="left"/>
        </w:tabs>
        <w:numPr>
          <w:ilvl w:val="1"/>
          <w:numId w:val="77"/>
        </w:numPr>
        <w:rPr>
          <w:rFonts w:ascii="Arial" w:cs="Arial" w:eastAsia="Arial" w:hAnsi="Arial"/>
          <w:sz w:val="20"/>
          <w:szCs w:val="20"/>
          <w:color w:val="auto"/>
        </w:rPr>
      </w:pPr>
      <w:r>
        <w:rPr>
          <w:rFonts w:ascii="Arial" w:cs="Arial" w:eastAsia="Arial" w:hAnsi="Arial"/>
          <w:sz w:val="20"/>
          <w:szCs w:val="20"/>
          <w:color w:val="auto"/>
        </w:rPr>
        <w:t>A copy of each report required by Section VII (B) for at least two (2) years after the end of the fiscal year in which it is made, and for an additional three (3) years in a place that need not be easily accessible; and</w:t>
      </w:r>
    </w:p>
    <w:p>
      <w:pPr>
        <w:spacing w:after="0" w:line="239" w:lineRule="exact"/>
        <w:rPr>
          <w:rFonts w:ascii="Arial" w:cs="Arial" w:eastAsia="Arial" w:hAnsi="Arial"/>
          <w:sz w:val="20"/>
          <w:szCs w:val="20"/>
          <w:color w:val="auto"/>
        </w:rPr>
      </w:pPr>
    </w:p>
    <w:p>
      <w:pPr>
        <w:jc w:val="both"/>
        <w:ind w:left="1160" w:right="459" w:hanging="332"/>
        <w:spacing w:after="0" w:line="291" w:lineRule="auto"/>
        <w:tabs>
          <w:tab w:leader="none" w:pos="11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 record of any decision, and the reasons supporting the decision, to approve the acquisition by Investment Persons of securities in an Initial Public Offering or Limited Offering for at least five (5) years after the end of the fiscal year in which the approval is granted.</w:t>
      </w:r>
    </w:p>
    <w:p>
      <w:pPr>
        <w:spacing w:after="0" w:line="205" w:lineRule="exact"/>
        <w:rPr>
          <w:rFonts w:ascii="Arial" w:cs="Arial" w:eastAsia="Arial" w:hAnsi="Arial"/>
          <w:sz w:val="18"/>
          <w:szCs w:val="18"/>
          <w:color w:val="auto"/>
        </w:rPr>
      </w:pPr>
    </w:p>
    <w:p>
      <w:pPr>
        <w:ind w:left="540" w:right="439" w:hanging="333"/>
        <w:spacing w:after="0" w:line="260" w:lineRule="auto"/>
        <w:tabs>
          <w:tab w:leader="none" w:pos="540" w:val="left"/>
        </w:tabs>
        <w:numPr>
          <w:ilvl w:val="0"/>
          <w:numId w:val="78"/>
        </w:numPr>
        <w:rPr>
          <w:rFonts w:ascii="Arial" w:cs="Arial" w:eastAsia="Arial" w:hAnsi="Arial"/>
          <w:sz w:val="20"/>
          <w:szCs w:val="20"/>
          <w:color w:val="auto"/>
        </w:rPr>
      </w:pPr>
      <w:r>
        <w:rPr>
          <w:rFonts w:ascii="Arial" w:cs="Arial" w:eastAsia="Arial" w:hAnsi="Arial"/>
          <w:sz w:val="20"/>
          <w:szCs w:val="20"/>
          <w:color w:val="auto"/>
        </w:rPr>
        <w:t>This Code may not be amended or modified except in a written form that is specifically approved by majority vote of the Independent Directors.</w:t>
      </w:r>
    </w:p>
    <w:p>
      <w:pPr>
        <w:spacing w:after="0" w:line="285" w:lineRule="exact"/>
        <w:rPr>
          <w:sz w:val="20"/>
          <w:szCs w:val="20"/>
          <w:color w:val="auto"/>
        </w:rPr>
      </w:pPr>
    </w:p>
    <w:p>
      <w:pPr>
        <w:ind w:left="200" w:right="439" w:firstLine="540"/>
        <w:spacing w:after="0" w:line="260" w:lineRule="auto"/>
        <w:rPr>
          <w:sz w:val="20"/>
          <w:szCs w:val="20"/>
          <w:color w:val="auto"/>
        </w:rPr>
      </w:pPr>
      <w:r>
        <w:rPr>
          <w:rFonts w:ascii="Arial" w:cs="Arial" w:eastAsia="Arial" w:hAnsi="Arial"/>
          <w:sz w:val="20"/>
          <w:szCs w:val="20"/>
          <w:color w:val="auto"/>
        </w:rPr>
        <w:t>This Code was adopted and approved by the Board of Directors of the Company, including a majority of the Independent Directors, on March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483235</wp:posOffset>
            </wp:positionV>
            <wp:extent cx="538353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4">
                      <a:extLst>
                        <a:ext uri="{28A0092B-C50C-407E-A947-70E740481C1C}"/>
                      </a:extLst>
                    </a:blip>
                    <a:srcRect/>
                    <a:stretch>
                      <a:fillRect/>
                    </a:stretch>
                  </pic:blipFill>
                  <pic:spPr bwMode="auto">
                    <a:xfrm>
                      <a:off x="0" y="0"/>
                      <a:ext cx="538353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9019"/>
          </w:cols>
          <w:pgMar w:left="1440" w:top="1108" w:right="1440"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of Runway Growth Credit Fund Inc. pursuant to Rule 13a-14(a) under the Exchange Act, as adopted pursuant to Section 302 of the Sarbanes-Oxley Act of 2002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 R. David Spreng, as Chief Executive Officer, certify that:</w:t>
      </w:r>
    </w:p>
    <w:p>
      <w:pPr>
        <w:spacing w:after="0" w:line="225" w:lineRule="exact"/>
        <w:rPr>
          <w:sz w:val="20"/>
          <w:szCs w:val="20"/>
          <w:color w:val="auto"/>
        </w:rPr>
      </w:pPr>
    </w:p>
    <w:p>
      <w:pPr>
        <w:ind w:left="700" w:hanging="368"/>
        <w:spacing w:after="0"/>
        <w:tabs>
          <w:tab w:leader="none" w:pos="7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Runway Growth Credit Fund Inc.;</w:t>
      </w:r>
    </w:p>
    <w:p>
      <w:pPr>
        <w:spacing w:after="0" w:line="225" w:lineRule="exact"/>
        <w:rPr>
          <w:rFonts w:ascii="Arial" w:cs="Arial" w:eastAsia="Arial" w:hAnsi="Arial"/>
          <w:sz w:val="18"/>
          <w:szCs w:val="18"/>
          <w:color w:val="auto"/>
        </w:rPr>
      </w:pPr>
    </w:p>
    <w:p>
      <w:pPr>
        <w:ind w:left="340" w:right="160" w:hanging="8"/>
        <w:spacing w:after="0" w:line="263" w:lineRule="auto"/>
        <w:tabs>
          <w:tab w:leader="none" w:pos="7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80" w:hanging="8"/>
        <w:spacing w:after="0" w:line="263" w:lineRule="auto"/>
        <w:tabs>
          <w:tab w:leader="none" w:pos="7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40" w:right="180" w:hanging="8"/>
        <w:spacing w:after="0" w:line="263" w:lineRule="auto"/>
        <w:tabs>
          <w:tab w:leader="none" w:pos="697"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100" w:hanging="279"/>
        <w:spacing w:after="0" w:line="311" w:lineRule="auto"/>
        <w:tabs>
          <w:tab w:leader="none" w:pos="991" w:val="left"/>
        </w:tabs>
        <w:numPr>
          <w:ilvl w:val="2"/>
          <w:numId w:val="7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980" w:right="420" w:hanging="279"/>
        <w:spacing w:after="0" w:line="311" w:lineRule="auto"/>
        <w:tabs>
          <w:tab w:leader="none" w:pos="1001" w:val="left"/>
        </w:tabs>
        <w:numPr>
          <w:ilvl w:val="2"/>
          <w:numId w:val="7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980" w:right="280" w:hanging="279"/>
        <w:spacing w:after="0" w:line="263" w:lineRule="auto"/>
        <w:tabs>
          <w:tab w:leader="none" w:pos="991" w:val="left"/>
        </w:tabs>
        <w:numPr>
          <w:ilvl w:val="2"/>
          <w:numId w:val="7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980" w:right="100" w:hanging="279"/>
        <w:spacing w:after="0" w:line="311" w:lineRule="auto"/>
        <w:tabs>
          <w:tab w:leader="none" w:pos="1001" w:val="left"/>
        </w:tabs>
        <w:numPr>
          <w:ilvl w:val="2"/>
          <w:numId w:val="7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340" w:right="180" w:firstLine="37"/>
        <w:spacing w:after="0" w:line="263" w:lineRule="auto"/>
        <w:tabs>
          <w:tab w:leader="none" w:pos="697"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980" w:right="200" w:hanging="279"/>
        <w:spacing w:after="0" w:line="263" w:lineRule="auto"/>
        <w:tabs>
          <w:tab w:leader="none" w:pos="981" w:val="left"/>
        </w:tabs>
        <w:numPr>
          <w:ilvl w:val="2"/>
          <w:numId w:val="7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right="580" w:hanging="279"/>
        <w:spacing w:after="0" w:line="277" w:lineRule="auto"/>
        <w:tabs>
          <w:tab w:leader="none" w:pos="991" w:val="left"/>
        </w:tabs>
        <w:numPr>
          <w:ilvl w:val="2"/>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/s/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20281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5">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 David Spreng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631825</wp:posOffset>
            </wp:positionV>
            <wp:extent cx="629221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1000" w:right="2020"/>
        <w:spacing w:after="0" w:line="266" w:lineRule="auto"/>
        <w:rPr>
          <w:sz w:val="20"/>
          <w:szCs w:val="20"/>
          <w:color w:val="auto"/>
        </w:rPr>
      </w:pPr>
      <w:r>
        <w:rPr>
          <w:rFonts w:ascii="Arial" w:cs="Arial" w:eastAsia="Arial" w:hAnsi="Arial"/>
          <w:sz w:val="18"/>
          <w:szCs w:val="18"/>
          <w:b w:val="1"/>
          <w:bCs w:val="1"/>
          <w:color w:val="auto"/>
        </w:rPr>
        <w:t>Certification of Chief Financial Officer of Runway Growth Credit Fund Inc. pursuant to Rule 13a-14(a) under the Exchange Act,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Thomas B. Raterman, as Financial Officer, certify that:</w:t>
      </w:r>
    </w:p>
    <w:p>
      <w:pPr>
        <w:spacing w:after="0" w:line="225" w:lineRule="exact"/>
        <w:rPr>
          <w:sz w:val="20"/>
          <w:szCs w:val="20"/>
          <w:color w:val="auto"/>
        </w:rPr>
      </w:pPr>
    </w:p>
    <w:p>
      <w:pPr>
        <w:ind w:left="700" w:hanging="323"/>
        <w:spacing w:after="0"/>
        <w:tabs>
          <w:tab w:leader="none" w:pos="7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Runway Growth Credit Fund Inc.;</w:t>
      </w:r>
    </w:p>
    <w:p>
      <w:pPr>
        <w:spacing w:after="0" w:line="225" w:lineRule="exact"/>
        <w:rPr>
          <w:rFonts w:ascii="Arial" w:cs="Arial" w:eastAsia="Arial" w:hAnsi="Arial"/>
          <w:sz w:val="18"/>
          <w:szCs w:val="18"/>
          <w:color w:val="auto"/>
        </w:rPr>
      </w:pPr>
    </w:p>
    <w:p>
      <w:pPr>
        <w:ind w:left="340" w:right="160" w:firstLine="37"/>
        <w:spacing w:after="0" w:line="263" w:lineRule="auto"/>
        <w:tabs>
          <w:tab w:leader="none" w:pos="7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80" w:firstLine="37"/>
        <w:spacing w:after="0" w:line="263" w:lineRule="auto"/>
        <w:tabs>
          <w:tab w:leader="none" w:pos="7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40" w:right="180" w:firstLine="37"/>
        <w:spacing w:after="0" w:line="263" w:lineRule="auto"/>
        <w:tabs>
          <w:tab w:leader="none" w:pos="697"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980" w:right="100" w:hanging="279"/>
        <w:spacing w:after="0" w:line="311" w:lineRule="auto"/>
        <w:tabs>
          <w:tab w:leader="none" w:pos="991" w:val="left"/>
        </w:tabs>
        <w:numPr>
          <w:ilvl w:val="1"/>
          <w:numId w:val="8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Arial" w:cs="Arial" w:eastAsia="Arial" w:hAnsi="Arial"/>
          <w:sz w:val="16"/>
          <w:szCs w:val="16"/>
          <w:color w:val="auto"/>
        </w:rPr>
      </w:pPr>
    </w:p>
    <w:p>
      <w:pPr>
        <w:ind w:left="980" w:right="420" w:hanging="279"/>
        <w:spacing w:after="0" w:line="311" w:lineRule="auto"/>
        <w:tabs>
          <w:tab w:leader="none" w:pos="1001" w:val="left"/>
        </w:tabs>
        <w:numPr>
          <w:ilvl w:val="1"/>
          <w:numId w:val="8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Arial" w:cs="Arial" w:eastAsia="Arial" w:hAnsi="Arial"/>
          <w:sz w:val="16"/>
          <w:szCs w:val="16"/>
          <w:color w:val="auto"/>
        </w:rPr>
      </w:pPr>
    </w:p>
    <w:p>
      <w:pPr>
        <w:ind w:left="980" w:right="280" w:hanging="279"/>
        <w:spacing w:after="0" w:line="263" w:lineRule="auto"/>
        <w:tabs>
          <w:tab w:leader="none" w:pos="991" w:val="left"/>
        </w:tabs>
        <w:numPr>
          <w:ilvl w:val="1"/>
          <w:numId w:val="8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100" w:hanging="279"/>
        <w:spacing w:after="0" w:line="311" w:lineRule="auto"/>
        <w:tabs>
          <w:tab w:leader="none" w:pos="1001" w:val="left"/>
        </w:tabs>
        <w:numPr>
          <w:ilvl w:val="1"/>
          <w:numId w:val="8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Arial" w:cs="Arial" w:eastAsia="Arial" w:hAnsi="Arial"/>
          <w:sz w:val="16"/>
          <w:szCs w:val="16"/>
          <w:color w:val="auto"/>
        </w:rPr>
      </w:pPr>
    </w:p>
    <w:p>
      <w:pPr>
        <w:ind w:left="340" w:right="180" w:firstLine="37"/>
        <w:spacing w:after="0" w:line="263" w:lineRule="auto"/>
        <w:tabs>
          <w:tab w:leader="none" w:pos="697"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980" w:right="200" w:hanging="279"/>
        <w:spacing w:after="0" w:line="263" w:lineRule="auto"/>
        <w:tabs>
          <w:tab w:leader="none" w:pos="981" w:val="left"/>
        </w:tabs>
        <w:numPr>
          <w:ilvl w:val="1"/>
          <w:numId w:val="8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right="580" w:hanging="279"/>
        <w:spacing w:after="0" w:line="277" w:lineRule="auto"/>
        <w:tabs>
          <w:tab w:leader="none" w:pos="991"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09994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7">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Thomas B. Raterman</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August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 (18 U.S.C. 1350)</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quarterly report on Form 10-Q for the quarter ended June 30, 2021 (the “Report”) of Runway Growth Credit Fund Inc. (the “Registrant”), as filed with the Securities and Exchange Commission on the date hereof, I, R. David Spreng, the Chief Executive Officer of the Registrant, hereby certify, to the best of my knowledge, that:</w:t>
      </w:r>
    </w:p>
    <w:p>
      <w:pPr>
        <w:spacing w:after="0" w:line="197" w:lineRule="exact"/>
        <w:rPr>
          <w:sz w:val="20"/>
          <w:szCs w:val="20"/>
          <w:color w:val="auto"/>
        </w:rPr>
      </w:pPr>
    </w:p>
    <w:p>
      <w:pPr>
        <w:ind w:left="980" w:right="520" w:hanging="279"/>
        <w:spacing w:after="0" w:line="277" w:lineRule="auto"/>
        <w:tabs>
          <w:tab w:leader="none" w:pos="1001"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83" w:lineRule="exact"/>
        <w:rPr>
          <w:rFonts w:ascii="Arial" w:cs="Arial" w:eastAsia="Arial" w:hAnsi="Arial"/>
          <w:sz w:val="18"/>
          <w:szCs w:val="18"/>
          <w:color w:val="auto"/>
        </w:rPr>
      </w:pPr>
    </w:p>
    <w:p>
      <w:pPr>
        <w:ind w:left="980" w:right="560" w:hanging="279"/>
        <w:spacing w:after="0" w:line="277" w:lineRule="auto"/>
        <w:tabs>
          <w:tab w:leader="none" w:pos="1001"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9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 R. David Spreng</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Date: August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 (18 U.S.C. 1350)</w:t>
      </w:r>
    </w:p>
    <w:p>
      <w:pPr>
        <w:spacing w:after="0" w:line="21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connection with the quarterly report on Form 10-Q for the quarter ended June 30, 2021 (the “Report”) of Runway Growth Credit Fund Inc. (the “Registrant”), as filed with the Securities and Exchange Commission on the date hereof, I, Thomas B. Raterman, the Chief Financial Officer of the Registrant, hereby certify, to the best of my knowledge, that:</w:t>
      </w:r>
    </w:p>
    <w:p>
      <w:pPr>
        <w:spacing w:after="0" w:line="184" w:lineRule="exact"/>
        <w:rPr>
          <w:sz w:val="20"/>
          <w:szCs w:val="20"/>
          <w:color w:val="auto"/>
        </w:rPr>
      </w:pPr>
    </w:p>
    <w:p>
      <w:pPr>
        <w:ind w:left="1040" w:right="440" w:hanging="339"/>
        <w:spacing w:after="0" w:line="277" w:lineRule="auto"/>
        <w:tabs>
          <w:tab w:leader="none" w:pos="1086"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040" w:right="520" w:hanging="339"/>
        <w:spacing w:after="0" w:line="277" w:lineRule="auto"/>
        <w:tabs>
          <w:tab w:leader="none" w:pos="1041"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8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14605</wp:posOffset>
            </wp:positionV>
            <wp:extent cx="288036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1">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spacing w:after="0" w:line="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Thomas B. Raterman</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Date: August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1)"/>
      <w:numFmt w:val="decimal"/>
      <w:start w:val="1"/>
    </w:lvl>
  </w:abstractNum>
  <w:abstractNum w:abstractNumId="3">
    <w:nsid w:val="2A487CB0"/>
    <w:multiLevelType w:val="hybridMultilevel"/>
    <w:lvl w:ilvl="0">
      <w:lvlJc w:val="left"/>
      <w:lvlText w:val="(%1)"/>
      <w:numFmt w:val="decimal"/>
      <w:start w:val="1"/>
    </w:lvl>
  </w:abstractNum>
  <w:abstractNum w:abstractNumId="4">
    <w:nsid w:val="1D4ED43B"/>
    <w:multiLevelType w:val="hybridMultilevel"/>
    <w:lvl w:ilvl="0">
      <w:lvlJc w:val="left"/>
      <w:lvlText w:val="(%1)"/>
      <w:numFmt w:val="decimal"/>
      <w:start w:val="1"/>
    </w:lvl>
  </w:abstractNum>
  <w:abstractNum w:abstractNumId="5">
    <w:nsid w:val="725A06FB"/>
    <w:multiLevelType w:val="hybridMultilevel"/>
    <w:lvl w:ilvl="0">
      <w:lvlJc w:val="left"/>
      <w:lvlText w:val="(%1)"/>
      <w:numFmt w:val="decimal"/>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1)"/>
      <w:numFmt w:val="decimal"/>
      <w:start w:val="1"/>
    </w:lvl>
  </w:abstractNum>
  <w:abstractNum w:abstractNumId="11">
    <w:nsid w:val="6DE91B18"/>
    <w:multiLevelType w:val="hybridMultilevel"/>
    <w:lvl w:ilvl="0">
      <w:lvlJc w:val="left"/>
      <w:lvlText w:val="(%1)"/>
      <w:numFmt w:val="decimal"/>
      <w:start w:val="1"/>
    </w:lvl>
  </w:abstractNum>
  <w:abstractNum w:abstractNumId="12">
    <w:nsid w:val="38437FDB"/>
    <w:multiLevelType w:val="hybridMultilevel"/>
    <w:lvl w:ilvl="0">
      <w:lvlJc w:val="left"/>
      <w:lvlText w:val="(%1)"/>
      <w:numFmt w:val="decimal"/>
      <w:start w:val="10"/>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1)"/>
      <w:numFmt w:val="decimal"/>
      <w:start w:val="1"/>
    </w:lvl>
  </w:abstractNum>
  <w:abstractNum w:abstractNumId="15">
    <w:nsid w:val="684A481A"/>
    <w:multiLevelType w:val="hybridMultilevel"/>
    <w:lvl w:ilvl="0">
      <w:lvlJc w:val="left"/>
      <w:lvlText w:val="(%1)"/>
      <w:numFmt w:val="decimal"/>
      <w:start w:val="1"/>
    </w:lvl>
  </w:abstractNum>
  <w:abstractNum w:abstractNumId="16">
    <w:nsid w:val="579478FE"/>
    <w:multiLevelType w:val="hybridMultilevel"/>
    <w:lvl w:ilvl="0">
      <w:lvlJc w:val="left"/>
      <w:lvlText w:val="(%1)"/>
      <w:numFmt w:val="decimal"/>
      <w:start w:val="1"/>
    </w:lvl>
  </w:abstractNum>
  <w:abstractNum w:abstractNumId="17">
    <w:nsid w:val="749ABB43"/>
    <w:multiLevelType w:val="hybridMultilevel"/>
    <w:lvl w:ilvl="0">
      <w:lvlJc w:val="left"/>
      <w:lvlText w:val="(%1)"/>
      <w:numFmt w:val="decimal"/>
      <w:start w:val="1"/>
    </w:lvl>
  </w:abstractNum>
  <w:abstractNum w:abstractNumId="18">
    <w:nsid w:val="3DC240FB"/>
    <w:multiLevelType w:val="hybridMultilevel"/>
    <w:lvl w:ilvl="0">
      <w:lvlJc w:val="left"/>
      <w:lvlText w:val="(%1)"/>
      <w:numFmt w:val="decimal"/>
      <w:start w:val="3"/>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1)"/>
      <w:numFmt w:val="lowerRoman"/>
      <w:start w:val="3"/>
    </w:lvl>
  </w:abstractNum>
  <w:abstractNum w:abstractNumId="22">
    <w:nsid w:val="12E685FB"/>
    <w:multiLevelType w:val="hybridMultilevel"/>
    <w:lvl w:ilvl="0">
      <w:lvlJc w:val="left"/>
      <w:lvlText w:val="(%1)"/>
      <w:numFmt w:val="decimal"/>
      <w:start w:val="1"/>
    </w:lvl>
  </w:abstractNum>
  <w:abstractNum w:abstractNumId="23">
    <w:nsid w:val="70C6A529"/>
    <w:multiLevelType w:val="hybridMultilevel"/>
    <w:lvl w:ilvl="0">
      <w:lvlJc w:val="left"/>
      <w:lvlText w:val="1"/>
      <w:numFmt w:val="bullet"/>
      <w:start w:val="1"/>
    </w:lvl>
  </w:abstractNum>
  <w:abstractNum w:abstractNumId="24">
    <w:nsid w:val="520EEDD1"/>
    <w:multiLevelType w:val="hybridMultilevel"/>
    <w:lvl w:ilvl="0">
      <w:lvlJc w:val="left"/>
      <w:lvlText w:val="2"/>
      <w:numFmt w:val="bullet"/>
      <w:start w:val="1"/>
    </w:lvl>
  </w:abstractNum>
  <w:abstractNum w:abstractNumId="25">
    <w:nsid w:val="374A3FE6"/>
    <w:multiLevelType w:val="hybridMultilevel"/>
    <w:lvl w:ilvl="0">
      <w:lvlJc w:val="left"/>
      <w:lvlText w:val="3"/>
      <w:numFmt w:val="bullet"/>
      <w:start w:val="1"/>
    </w:lvl>
  </w:abstractNum>
  <w:abstractNum w:abstractNumId="26">
    <w:nsid w:val="4F4EF005"/>
    <w:multiLevelType w:val="hybridMultilevel"/>
    <w:lvl w:ilvl="0">
      <w:lvlJc w:val="left"/>
      <w:lvlText w:val="4"/>
      <w:numFmt w:val="bullet"/>
      <w:start w:val="1"/>
    </w:lvl>
  </w:abstractNum>
  <w:abstractNum w:abstractNumId="27">
    <w:nsid w:val="23F9C13C"/>
    <w:multiLevelType w:val="hybridMultilevel"/>
    <w:lvl w:ilvl="0">
      <w:lvlJc w:val="left"/>
      <w:lvlText w:val="5"/>
      <w:numFmt w:val="bullet"/>
      <w:start w:val="1"/>
    </w:lvl>
  </w:abstractNum>
  <w:abstractNum w:abstractNumId="28">
    <w:nsid w:val="649BB77C"/>
    <w:multiLevelType w:val="hybridMultilevel"/>
    <w:lvl w:ilvl="0">
      <w:lvlJc w:val="left"/>
      <w:lvlText w:val="(%1)"/>
      <w:numFmt w:val="decimal"/>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1)"/>
      <w:numFmt w:val="decimal"/>
      <w:start w:val="2"/>
    </w:lvl>
  </w:abstractNum>
  <w:abstractNum w:abstractNumId="32">
    <w:nsid w:val="180115BE"/>
    <w:multiLevelType w:val="hybridMultilevel"/>
    <w:lvl w:ilvl="0">
      <w:lvlJc w:val="left"/>
      <w:lvlText w:val="(%1)"/>
      <w:numFmt w:val="decimal"/>
      <w:start w:val="1"/>
    </w:lvl>
  </w:abstractNum>
  <w:abstractNum w:abstractNumId="33">
    <w:nsid w:val="235BA861"/>
    <w:multiLevelType w:val="hybridMultilevel"/>
    <w:lvl w:ilvl="0">
      <w:lvlJc w:val="left"/>
      <w:lvlText w:val="(%1)"/>
      <w:numFmt w:val="decimal"/>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1)"/>
      <w:numFmt w:val="lowerRoman"/>
      <w:start w:val="1"/>
    </w:lvl>
  </w:abstractNum>
  <w:abstractNum w:abstractNumId="38">
    <w:nsid w:val="D34B6A8"/>
    <w:multiLevelType w:val="hybridMultilevel"/>
    <w:lvl w:ilvl="0">
      <w:lvlJc w:val="left"/>
      <w:lvlText w:val="(%1)"/>
      <w:numFmt w:val="lowerRoman"/>
      <w:start w:val="1"/>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1)"/>
      <w:numFmt w:val="decimal"/>
      <w:start w:val="1"/>
    </w:lvl>
  </w:abstractNum>
  <w:abstractNum w:abstractNumId="41">
    <w:nsid w:val="61574095"/>
    <w:multiLevelType w:val="hybridMultilevel"/>
    <w:lvl w:ilvl="0">
      <w:lvlJc w:val="left"/>
      <w:lvlText w:val="(%1)"/>
      <w:numFmt w:val="lowerLetter"/>
      <w:start w:val="2"/>
    </w:lvl>
  </w:abstractNum>
  <w:abstractNum w:abstractNumId="42">
    <w:nsid w:val="7E0C57B1"/>
    <w:multiLevelType w:val="hybridMultilevel"/>
    <w:lvl w:ilvl="0">
      <w:lvlJc w:val="left"/>
      <w:lvlText w:val="(%1)"/>
      <w:numFmt w:val="lowerRoman"/>
      <w:start w:val="2"/>
    </w:lvl>
  </w:abstractNum>
  <w:abstractNum w:abstractNumId="43">
    <w:nsid w:val="77AE35EB"/>
    <w:multiLevelType w:val="hybridMultilevel"/>
    <w:lvl w:ilvl="0">
      <w:lvlJc w:val="left"/>
      <w:lvlText w:val="%1."/>
      <w:numFmt w:val="decimal"/>
      <w:start w:val="1"/>
    </w:lvl>
    <w:lvl w:ilvl="1">
      <w:lvlJc w:val="left"/>
      <w:lvlText w:val="(%2)"/>
      <w:numFmt w:val="lowerLetter"/>
      <w:start w:val="1"/>
    </w:lvl>
  </w:abstractNum>
  <w:abstractNum w:abstractNumId="44">
    <w:nsid w:val="579BE4F1"/>
    <w:multiLevelType w:val="hybridMultilevel"/>
    <w:lvl w:ilvl="0">
      <w:lvlJc w:val="left"/>
      <w:lvlText w:val="%1."/>
      <w:numFmt w:val="decimal"/>
      <w:start w:val="2"/>
    </w:lvl>
  </w:abstractNum>
  <w:abstractNum w:abstractNumId="45">
    <w:nsid w:val="310C50B3"/>
    <w:multiLevelType w:val="hybridMultilevel"/>
    <w:lvl w:ilvl="0">
      <w:lvlJc w:val="left"/>
      <w:lvlText w:val="%1."/>
      <w:numFmt w:val="decimal"/>
      <w:start w:val="3"/>
    </w:lvl>
  </w:abstractNum>
  <w:abstractNum w:abstractNumId="46">
    <w:nsid w:val="5FF87E05"/>
    <w:multiLevelType w:val="hybridMultilevel"/>
    <w:lvl w:ilvl="0">
      <w:lvlJc w:val="left"/>
      <w:lvlText w:val="%1."/>
      <w:numFmt w:val="decimal"/>
      <w:start w:val="4"/>
    </w:lvl>
  </w:abstractNum>
  <w:abstractNum w:abstractNumId="47">
    <w:nsid w:val="2F305DEF"/>
    <w:multiLevelType w:val="hybridMultilevel"/>
    <w:lvl w:ilvl="0">
      <w:lvlJc w:val="left"/>
      <w:lvlText w:val="%1."/>
      <w:numFmt w:val="decimal"/>
      <w:start w:val="5"/>
    </w:lvl>
  </w:abstractNum>
  <w:abstractNum w:abstractNumId="48">
    <w:nsid w:val="25A70BF7"/>
    <w:multiLevelType w:val="hybridMultilevel"/>
    <w:lvl w:ilvl="0">
      <w:lvlJc w:val="left"/>
      <w:lvlText w:val="%1."/>
      <w:numFmt w:val="decimal"/>
      <w:start w:val="6"/>
    </w:lvl>
  </w:abstractNum>
  <w:abstractNum w:abstractNumId="49">
    <w:nsid w:val="1DBABF00"/>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0">
    <w:nsid w:val="4AD084E9"/>
    <w:multiLevelType w:val="hybridMultilevel"/>
    <w:lvl w:ilvl="0">
      <w:lvlJc w:val="left"/>
      <w:lvlText w:val="%1."/>
      <w:numFmt w:val="decimal"/>
      <w:start w:val="9"/>
    </w:lvl>
  </w:abstractNum>
  <w:abstractNum w:abstractNumId="51">
    <w:nsid w:val="1F48EAA1"/>
    <w:multiLevelType w:val="hybridMultilevel"/>
    <w:lvl w:ilvl="0">
      <w:lvlJc w:val="left"/>
      <w:lvlText w:val="%1."/>
      <w:numFmt w:val="decimal"/>
      <w:start w:val="10"/>
    </w:lvl>
  </w:abstractNum>
  <w:abstractNum w:abstractNumId="52">
    <w:nsid w:val="1381823A"/>
    <w:multiLevelType w:val="hybridMultilevel"/>
    <w:lvl w:ilvl="0">
      <w:lvlJc w:val="left"/>
      <w:lvlText w:val="%1."/>
      <w:numFmt w:val="decimal"/>
      <w:start w:val="11"/>
    </w:lvl>
  </w:abstractNum>
  <w:abstractNum w:abstractNumId="53">
    <w:nsid w:val="5DB70AE5"/>
    <w:multiLevelType w:val="hybridMultilevel"/>
    <w:lvl w:ilvl="0">
      <w:lvlJc w:val="left"/>
      <w:lvlText w:val="(%1)"/>
      <w:numFmt w:val="upperLetter"/>
      <w:start w:val="1"/>
    </w:lvl>
  </w:abstractNum>
  <w:abstractNum w:abstractNumId="54">
    <w:nsid w:val="100F8FCA"/>
    <w:multiLevelType w:val="hybridMultilevel"/>
    <w:lvl w:ilvl="0">
      <w:lvlJc w:val="left"/>
      <w:lvlText w:val="(%1)"/>
      <w:numFmt w:val="upperLetter"/>
      <w:start w:val="2"/>
    </w:lvl>
    <w:lvl w:ilvl="1">
      <w:lvlJc w:val="left"/>
      <w:lvlText w:val="(%2)"/>
      <w:numFmt w:val="lowerRoman"/>
      <w:start w:val="2"/>
    </w:lvl>
  </w:abstractNum>
  <w:abstractNum w:abstractNumId="55">
    <w:nsid w:val="6590700B"/>
    <w:multiLevelType w:val="hybridMultilevel"/>
    <w:lvl w:ilvl="0">
      <w:lvlJc w:val="left"/>
      <w:lvlText w:val="(%1)"/>
      <w:numFmt w:val="upperLetter"/>
      <w:start w:val="8"/>
    </w:lvl>
  </w:abstractNum>
  <w:abstractNum w:abstractNumId="56">
    <w:nsid w:val="15014ACB"/>
    <w:multiLevelType w:val="hybridMultilevel"/>
    <w:lvl w:ilvl="0">
      <w:lvlJc w:val="left"/>
      <w:lvlText w:val="(%1)"/>
      <w:numFmt w:val="lowerRoman"/>
      <w:start w:val="1"/>
    </w:lvl>
  </w:abstractNum>
  <w:abstractNum w:abstractNumId="57">
    <w:nsid w:val="5F5E7FD0"/>
    <w:multiLevelType w:val="hybridMultilevel"/>
    <w:lvl w:ilvl="0">
      <w:lvlJc w:val="left"/>
      <w:lvlText w:val="(%1)"/>
      <w:numFmt w:val="upperLetter"/>
      <w:start w:val="4"/>
    </w:lvl>
  </w:abstractNum>
  <w:abstractNum w:abstractNumId="58">
    <w:nsid w:val="98A3148"/>
    <w:multiLevelType w:val="hybridMultilevel"/>
    <w:lvl w:ilvl="0">
      <w:lvlJc w:val="left"/>
      <w:lvlText w:val="(%1)"/>
      <w:numFmt w:val="upperLetter"/>
      <w:start w:val="1"/>
    </w:lvl>
  </w:abstractNum>
  <w:abstractNum w:abstractNumId="59">
    <w:nsid w:val="799D0247"/>
    <w:multiLevelType w:val="hybridMultilevel"/>
    <w:lvl w:ilvl="0">
      <w:lvlJc w:val="left"/>
      <w:lvlText w:val="(%1)"/>
      <w:numFmt w:val="upperLetter"/>
      <w:start w:val="2"/>
    </w:lvl>
  </w:abstractNum>
  <w:abstractNum w:abstractNumId="60">
    <w:nsid w:val="6B94764"/>
    <w:multiLevelType w:val="hybridMultilevel"/>
    <w:lvl w:ilvl="0">
      <w:lvlJc w:val="left"/>
      <w:lvlText w:val="(%1)"/>
      <w:numFmt w:val="decimal"/>
      <w:start w:val="1"/>
    </w:lvl>
  </w:abstractNum>
  <w:abstractNum w:abstractNumId="61">
    <w:nsid w:val="42C296BD"/>
    <w:multiLevelType w:val="hybridMultilevel"/>
    <w:lvl w:ilvl="0">
      <w:lvlJc w:val="left"/>
      <w:lvlText w:val="1"/>
      <w:numFmt w:val="bullet"/>
      <w:start w:val="1"/>
    </w:lvl>
  </w:abstractNum>
  <w:abstractNum w:abstractNumId="62">
    <w:nsid w:val="168E121F"/>
    <w:multiLevelType w:val="hybridMultilevel"/>
    <w:lvl w:ilvl="0">
      <w:lvlJc w:val="left"/>
      <w:lvlText w:val="%1"/>
      <w:numFmt w:val="upperLetter"/>
      <w:start w:val="1"/>
    </w:lvl>
    <w:lvl w:ilvl="1">
      <w:lvlJc w:val="left"/>
      <w:lvlText w:val="(%2)"/>
      <w:numFmt w:val="decimal"/>
      <w:start w:val="4"/>
    </w:lvl>
  </w:abstractNum>
  <w:abstractNum w:abstractNumId="63">
    <w:nsid w:val="1EBA5D23"/>
    <w:multiLevelType w:val="hybridMultilevel"/>
    <w:lvl w:ilvl="0">
      <w:lvlJc w:val="left"/>
      <w:lvlText w:val="(%1)"/>
      <w:numFmt w:val="upperLetter"/>
      <w:start w:val="3"/>
    </w:lvl>
    <w:lvl w:ilvl="1">
      <w:lvlJc w:val="left"/>
      <w:lvlText w:val="%2"/>
      <w:numFmt w:val="decimal"/>
      <w:start w:val="1"/>
    </w:lvl>
  </w:abstractNum>
  <w:abstractNum w:abstractNumId="64">
    <w:nsid w:val="661E3F1E"/>
    <w:multiLevelType w:val="hybridMultilevel"/>
    <w:lvl w:ilvl="0">
      <w:lvlJc w:val="left"/>
      <w:lvlText w:val="(%1)"/>
      <w:numFmt w:val="upperLetter"/>
      <w:start w:val="4"/>
    </w:lvl>
  </w:abstractNum>
  <w:abstractNum w:abstractNumId="65">
    <w:nsid w:val="5DC79EA8"/>
    <w:multiLevelType w:val="hybridMultilevel"/>
    <w:lvl w:ilvl="0">
      <w:lvlJc w:val="left"/>
      <w:lvlText w:val="(%1)"/>
      <w:numFmt w:val="upperLetter"/>
      <w:start w:val="5"/>
    </w:lvl>
  </w:abstractNum>
  <w:abstractNum w:abstractNumId="66">
    <w:nsid w:val="540A471C"/>
    <w:multiLevelType w:val="hybridMultilevel"/>
    <w:lvl w:ilvl="0">
      <w:lvlJc w:val="left"/>
      <w:lvlText w:val="%1"/>
      <w:numFmt w:val="upperLetter"/>
      <w:start w:val="1"/>
    </w:lvl>
    <w:lvl w:ilvl="1">
      <w:lvlJc w:val="left"/>
      <w:lvlText w:val="(%2)"/>
      <w:numFmt w:val="decimal"/>
      <w:start w:val="1"/>
    </w:lvl>
  </w:abstractNum>
  <w:abstractNum w:abstractNumId="67">
    <w:nsid w:val="7BD3EE7B"/>
    <w:multiLevelType w:val="hybridMultilevel"/>
    <w:lvl w:ilvl="0">
      <w:lvlJc w:val="left"/>
      <w:lvlText w:val="(%1)"/>
      <w:numFmt w:val="upperLetter"/>
      <w:start w:val="6"/>
    </w:lvl>
    <w:lvl w:ilvl="1">
      <w:lvlJc w:val="left"/>
      <w:lvlText w:val="%2"/>
      <w:numFmt w:val="decimal"/>
      <w:start w:val="1"/>
    </w:lvl>
  </w:abstractNum>
  <w:abstractNum w:abstractNumId="68">
    <w:nsid w:val="51D9C564"/>
    <w:multiLevelType w:val="hybridMultilevel"/>
    <w:lvl w:ilvl="0">
      <w:lvlJc w:val="left"/>
      <w:lvlText w:val="(%1)"/>
      <w:numFmt w:val="upperLetter"/>
      <w:start w:val="7"/>
    </w:lvl>
  </w:abstractNum>
  <w:abstractNum w:abstractNumId="69">
    <w:nsid w:val="613EFDC5"/>
    <w:multiLevelType w:val="hybridMultilevel"/>
    <w:lvl w:ilvl="0">
      <w:lvlJc w:val="left"/>
      <w:lvlText w:val="(%1)"/>
      <w:numFmt w:val="upperLetter"/>
      <w:start w:val="8"/>
    </w:lvl>
  </w:abstractNum>
  <w:abstractNum w:abstractNumId="70">
    <w:nsid w:val="BF72B14"/>
    <w:multiLevelType w:val="hybridMultilevel"/>
    <w:lvl w:ilvl="0">
      <w:lvlJc w:val="left"/>
      <w:lvlText w:val="(%1)"/>
      <w:numFmt w:val="upperLetter"/>
      <w:start w:val="9"/>
    </w:lvl>
  </w:abstractNum>
  <w:abstractNum w:abstractNumId="71">
    <w:nsid w:val="11447B73"/>
    <w:multiLevelType w:val="hybridMultilevel"/>
    <w:lvl w:ilvl="0">
      <w:lvlJc w:val="left"/>
      <w:lvlText w:val="●"/>
      <w:numFmt w:val="bullet"/>
      <w:start w:val="1"/>
    </w:lvl>
  </w:abstractNum>
  <w:abstractNum w:abstractNumId="72">
    <w:nsid w:val="42963E5A"/>
    <w:multiLevelType w:val="hybridMultilevel"/>
    <w:lvl w:ilvl="0">
      <w:lvlJc w:val="left"/>
      <w:lvlText w:val="(%1)"/>
      <w:numFmt w:val="upperLetter"/>
      <w:start w:val="2"/>
    </w:lvl>
  </w:abstractNum>
  <w:abstractNum w:abstractNumId="73">
    <w:nsid w:val="A0382C5"/>
    <w:multiLevelType w:val="hybridMultilevel"/>
    <w:lvl w:ilvl="0">
      <w:lvlJc w:val="left"/>
      <w:lvlText w:val="(%1)"/>
      <w:numFmt w:val="upperLetter"/>
      <w:start w:val="1"/>
    </w:lvl>
    <w:lvl w:ilvl="1">
      <w:lvlJc w:val="left"/>
      <w:lvlText w:val="(%2)"/>
      <w:numFmt w:val="decimal"/>
      <w:start w:val="3"/>
    </w:lvl>
    <w:lvl w:ilvl="2">
      <w:lvlJc w:val="left"/>
      <w:lvlText w:val="(%3)"/>
      <w:numFmt w:val="decimal"/>
      <w:start w:val="1"/>
    </w:lvl>
  </w:abstractNum>
  <w:abstractNum w:abstractNumId="74">
    <w:nsid w:val="8F2B15E"/>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abstractNum>
  <w:abstractNum w:abstractNumId="75">
    <w:nsid w:val="1A32234B"/>
    <w:multiLevelType w:val="hybridMultilevel"/>
    <w:lvl w:ilvl="0">
      <w:lvlJc w:val="left"/>
      <w:lvlText w:val="2"/>
      <w:numFmt w:val="bullet"/>
      <w:start w:val="1"/>
    </w:lvl>
  </w:abstractNum>
  <w:abstractNum w:abstractNumId="76">
    <w:nsid w:val="3B0FD379"/>
    <w:multiLevelType w:val="hybridMultilevel"/>
    <w:lvl w:ilvl="0">
      <w:lvlJc w:val="left"/>
      <w:lvlText w:val="%1"/>
      <w:numFmt w:val="upperLetter"/>
      <w:start w:val="1"/>
    </w:lvl>
    <w:lvl w:ilvl="1">
      <w:lvlJc w:val="left"/>
      <w:lvlText w:val="(%2)"/>
      <w:numFmt w:val="decimal"/>
      <w:start w:val="2"/>
    </w:lvl>
  </w:abstractNum>
  <w:abstractNum w:abstractNumId="77">
    <w:nsid w:val="68EB2F63"/>
    <w:multiLevelType w:val="hybridMultilevel"/>
    <w:lvl w:ilvl="0">
      <w:lvlJc w:val="left"/>
      <w:lvlText w:val="(%1)"/>
      <w:numFmt w:val="upperLetter"/>
      <w:start w:val="4"/>
    </w:lvl>
    <w:lvl w:ilvl="1">
      <w:lvlJc w:val="left"/>
      <w:lvlText w:val="%2"/>
      <w:numFmt w:val="decimal"/>
      <w:start w:val="1"/>
    </w:lvl>
  </w:abstractNum>
  <w:abstractNum w:abstractNumId="78">
    <w:nsid w:val="4962813B"/>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79">
    <w:nsid w:val="60B6DF70"/>
    <w:multiLevelType w:val="hybridMultilevel"/>
    <w:lvl w:ilvl="0">
      <w:lvlJc w:val="left"/>
      <w:lvlText w:val="%1."/>
      <w:numFmt w:val="decimal"/>
      <w:start w:val="1"/>
    </w:lvl>
    <w:lvl w:ilvl="1">
      <w:lvlJc w:val="left"/>
      <w:lvlText w:val="(%2)"/>
      <w:numFmt w:val="lowerLetter"/>
      <w:start w:val="1"/>
    </w:lvl>
  </w:abstractNum>
  <w:abstractNum w:abstractNumId="80">
    <w:nsid w:val="6A5EE64"/>
    <w:multiLevelType w:val="hybridMultilevel"/>
    <w:lvl w:ilvl="0">
      <w:lvlJc w:val="left"/>
      <w:lvlText w:val="(%1)"/>
      <w:numFmt w:val="decimal"/>
      <w:start w:val="1"/>
    </w:lvl>
  </w:abstractNum>
  <w:abstractNum w:abstractNumId="81">
    <w:nsid w:val="1433062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77" Type="http://schemas.openxmlformats.org/officeDocument/2006/relationships/image" Target="media/image165.png"/><Relationship Id="rId178" Type="http://schemas.openxmlformats.org/officeDocument/2006/relationships/image" Target="media/image166.png"/><Relationship Id="rId179" Type="http://schemas.openxmlformats.org/officeDocument/2006/relationships/image" Target="media/image167.png"/><Relationship Id="rId180" Type="http://schemas.openxmlformats.org/officeDocument/2006/relationships/image" Target="media/image168.png"/><Relationship Id="rId181" Type="http://schemas.openxmlformats.org/officeDocument/2006/relationships/image" Target="media/image169.png"/><Relationship Id="rId182" Type="http://schemas.openxmlformats.org/officeDocument/2006/relationships/image" Target="media/image170.png"/><Relationship Id="rId183" Type="http://schemas.openxmlformats.org/officeDocument/2006/relationships/image" Target="media/image171.png"/><Relationship Id="rId184" Type="http://schemas.openxmlformats.org/officeDocument/2006/relationships/image" Target="media/image172.png"/><Relationship Id="rId185" Type="http://schemas.openxmlformats.org/officeDocument/2006/relationships/image" Target="media/image173.png"/><Relationship Id="rId186" Type="http://schemas.openxmlformats.org/officeDocument/2006/relationships/image" Target="media/image174.png"/><Relationship Id="rId187" Type="http://schemas.openxmlformats.org/officeDocument/2006/relationships/image" Target="media/image175.png"/><Relationship Id="rId188" Type="http://schemas.openxmlformats.org/officeDocument/2006/relationships/image" Target="media/image176.png"/><Relationship Id="rId189" Type="http://schemas.openxmlformats.org/officeDocument/2006/relationships/image" Target="media/image177.png"/><Relationship Id="rId190" Type="http://schemas.openxmlformats.org/officeDocument/2006/relationships/image" Target="media/image178.png"/><Relationship Id="rId191" Type="http://schemas.openxmlformats.org/officeDocument/2006/relationships/image" Target="media/image179.png"/><Relationship Id="rId192" Type="http://schemas.openxmlformats.org/officeDocument/2006/relationships/image" Target="media/image180.png"/><Relationship Id="rId107" Type="http://schemas.openxmlformats.org/officeDocument/2006/relationships/hyperlink" Target="https://www.sec.gov/Archives/edgar/data/1653384/000114420416140270/v454968_ex3-1.htm" TargetMode="External"/><Relationship Id="rId108" Type="http://schemas.openxmlformats.org/officeDocument/2006/relationships/hyperlink" Target="https://www.sec.gov/Archives/edgar/data/1653384/000114420417032477/v468943_ex3-1.htm" TargetMode="External"/><Relationship Id="rId109" Type="http://schemas.openxmlformats.org/officeDocument/2006/relationships/hyperlink" Target="https://www.sec.gov/Archives/edgar/data/1653384/000114420417032477/v468943_ex3-2.htm" TargetMode="External"/><Relationship Id="rId110" Type="http://schemas.openxmlformats.org/officeDocument/2006/relationships/hyperlink" Target="https://www.sec.gov/Archives/edgar/data/1653384/000114420417042059/v472784_ex4-1.htm" TargetMode="External"/><Relationship Id="rId111" Type="http://schemas.openxmlformats.org/officeDocument/2006/relationships/hyperlink" Target="https://www.sec.gov/Archives/edgar/data/1653384/000110465921074326/tm2118010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2021-08-05T15:04:52Z</dcterms:created>
  <dcterms:modified xsi:type="dcterms:W3CDTF">2021-08-05T15:04:52Z</dcterms:modified>
</cp:coreProperties>
</file>