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rway-20260924.htm"/>
      <w:bookmarkStart w:id="1" w:name="ksrway20260924"/>
      <w:bookmarkEnd w:id="0"/>
      <w:bookmarkEnd w:id="1"/>
      <w:r>
        <w:rP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881" w:type="dxa"/>
        <w:jc w:val="left"/>
        <w:tblInd w:w="0" w:type="dxa"/>
        <w:tblLayout w:type="fixed"/>
        <w:tblCellMar>
          <w:top w:w="28" w:type="dxa"/>
          <w:left w:w="28" w:type="dxa"/>
          <w:bottom w:w="28" w:type="dxa"/>
          <w:right w:w="28" w:type="dxa"/>
        </w:tblCellMar>
      </w:tblPr>
      <w:tblGrid>
        <w:gridCol w:w="5881"/>
      </w:tblGrid>
      <w:tr>
        <w:trPr/>
        <w:tc>
          <w:tcPr>
            <w:tcW w:w="5881" w:type="dxa"/>
            <w:tcBorders/>
            <w:vAlign w:val="center"/>
          </w:tcPr>
          <w:p>
            <w:pPr>
              <w:pStyle w:val="TableContents"/>
              <w:bidi w:val="0"/>
              <w:spacing w:before="0" w:after="283"/>
              <w:jc w:val="left"/>
              <w:rPr>
                <w:sz w:val="4"/>
                <w:szCs w:val="4"/>
              </w:rPr>
            </w:pPr>
            <w:r>
              <w:rPr>
                <w:sz w:val="4"/>
                <w:szCs w:val="4"/>
              </w:rPr>
            </w:r>
          </w:p>
        </w:tc>
      </w:tr>
      <w:tr>
        <w:trPr/>
        <w:tc>
          <w:tcPr>
            <w:tcW w:w="5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September 24,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Runway Growth Finance Corp.</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3"/>
        <w:gridCol w:w="873"/>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Maryland</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814-01180</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47-5049745</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3"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205 N. Michigan Ave.</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4200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Chicago, Illinois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60601</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(312)</w:t>
            </w:r>
            <w:r>
              <w:rPr>
                <w:rFonts w:ascii="Times New Roman" w:hAnsi="Times New Roman"/>
                <w:color w:val="000000"/>
                <w:sz w:val="20"/>
              </w:rPr>
              <w:t xml:space="preserve"> </w:t>
            </w:r>
            <w:r>
              <w:rPr>
                <w:rFonts w:ascii="Times New Roman" w:hAnsi="Times New Roman"/>
                <w:b/>
                <w:color w:val="000000"/>
                <w:sz w:val="20"/>
              </w:rPr>
              <w:t>698-6902</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560" w:type="dxa"/>
        <w:jc w:val="left"/>
        <w:tblInd w:w="0" w:type="dxa"/>
        <w:tblLayout w:type="fixed"/>
        <w:tblCellMar>
          <w:top w:w="28" w:type="dxa"/>
          <w:left w:w="28" w:type="dxa"/>
          <w:bottom w:w="28" w:type="dxa"/>
          <w:right w:w="28" w:type="dxa"/>
        </w:tblCellMar>
      </w:tblPr>
      <w:tblGrid>
        <w:gridCol w:w="3496"/>
        <w:gridCol w:w="146"/>
        <w:gridCol w:w="946"/>
        <w:gridCol w:w="146"/>
        <w:gridCol w:w="3826"/>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49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RWAY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7.50% Notes due 2027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RWAYL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7.25% Notes due 2031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RWAYI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9.00% Notes due 2027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SWKHL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1.01 Entry into a Material Definitive Agreement.</w:t>
      </w:r>
    </w:p>
    <w:p>
      <w:pPr>
        <w:pStyle w:val="TextBody"/>
        <w:bidi w:val="0"/>
        <w:jc w:val="left"/>
        <w:rPr>
          <w:rFonts w:ascii="Times New Roman" w:hAnsi="Times New Roman"/>
          <w:b/>
          <w:i/>
          <w:color w:val="000000"/>
          <w:sz w:val="20"/>
        </w:rPr>
      </w:pPr>
      <w:r>
        <w:rPr>
          <w:rFonts w:ascii="Times New Roman" w:hAnsi="Times New Roman"/>
          <w:b/>
          <w:i/>
          <w:color w:val="000000"/>
          <w:sz w:val="20"/>
        </w:rPr>
        <w:t>Underwriting Agreement</w:t>
      </w:r>
    </w:p>
    <w:p>
      <w:pPr>
        <w:pStyle w:val="TextBody"/>
        <w:bidi w:val="0"/>
        <w:jc w:val="both"/>
        <w:rPr>
          <w:rFonts w:ascii="Times New Roman" w:hAnsi="Times New Roman"/>
          <w:color w:val="000000"/>
          <w:sz w:val="20"/>
        </w:rPr>
      </w:pPr>
      <w:r>
        <w:rPr>
          <w:rFonts w:ascii="Times New Roman" w:hAnsi="Times New Roman"/>
          <w:color w:val="000000"/>
          <w:sz w:val="20"/>
        </w:rPr>
        <w:t>On September 24, 2026, Runway Growth Finance Corp. (the “Company”) entered into an underwriting agreement (the “Underwriting Agreement”) by and among the Company, Runway Growth Capital LLC and Oppenheimer &amp; Co. Inc., as representative of each of the several underwriters named in Schedule I thereto, in connection with the issuance and sale of $45.0 million aggregate principal amount of the Company’s 7.75% Notes due 2031 (the “Offering”). The closing of the Offering is expected to occur on October 1, 2026, subject to customary closing conditions. The Company also granted the underwriters a 30-day option to purchase up to an additional $6.8 million in aggregate principal amount of the Notes to cover overallotments, if any.</w:t>
      </w:r>
    </w:p>
    <w:p>
      <w:pPr>
        <w:pStyle w:val="TextBody"/>
        <w:bidi w:val="0"/>
        <w:jc w:val="both"/>
        <w:rPr>
          <w:rFonts w:ascii="Times New Roman" w:hAnsi="Times New Roman"/>
          <w:color w:val="000000"/>
          <w:sz w:val="20"/>
        </w:rPr>
      </w:pPr>
      <w:r>
        <w:rPr>
          <w:rFonts w:ascii="Times New Roman" w:hAnsi="Times New Roman"/>
          <w:color w:val="000000"/>
          <w:sz w:val="20"/>
        </w:rPr>
        <w:t>The Offering was made pursuant to the Company’s effective shelf registration statement on Form N-2 (Registration No. 333-284781) previously filed with the Securities and Exchange Commission (the “SEC”), as supplemented by a preliminary prospectus supplement dated September 23, 2026 and a final prospectus supplement dated September 24, 2026. This Current Report on Form 8-K shall not constitute an offer to sell or a solicitation of an offer to buy any securities, nor shall there be any sale of these securities in any state or jurisdiction in which such an offer, solicitation or sale would be unlawful prior to registration or qualification under the securities laws of any such state or other jurisdiction.</w:t>
      </w:r>
    </w:p>
    <w:p>
      <w:pPr>
        <w:pStyle w:val="TextBody"/>
        <w:bidi w:val="0"/>
        <w:jc w:val="both"/>
        <w:rPr>
          <w:rFonts w:ascii="Times New Roman" w:hAnsi="Times New Roman"/>
          <w:color w:val="000000"/>
          <w:sz w:val="20"/>
        </w:rPr>
      </w:pPr>
      <w:r>
        <w:rPr>
          <w:rFonts w:ascii="Times New Roman" w:hAnsi="Times New Roman"/>
          <w:color w:val="000000"/>
          <w:sz w:val="20"/>
        </w:rPr>
        <w:t>The foregoing description of the Underwriting Agreement does not purport to be complete and is qualified in its entirety by reference to the full text of the Underwriting Agreement, which is filed as Exhibit 1.1 to this Current Report on Form 8-K and incorporated by reference herein.</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2.03 Creation of a Direct Financial Obligation or an Obligation under an Off-Balance Sheet Arrangement of a Registrant.</w:t>
      </w:r>
    </w:p>
    <w:p>
      <w:pPr>
        <w:pStyle w:val="TextBody"/>
        <w:bidi w:val="0"/>
        <w:jc w:val="left"/>
        <w:rPr>
          <w:rFonts w:ascii="Times New Roman" w:hAnsi="Times New Roman"/>
          <w:color w:val="000000"/>
          <w:sz w:val="20"/>
        </w:rPr>
      </w:pPr>
      <w:r>
        <w:rPr>
          <w:rFonts w:ascii="Times New Roman" w:hAnsi="Times New Roman"/>
          <w:color w:val="000000"/>
          <w:sz w:val="20"/>
        </w:rPr>
        <w:t>The information set forth under Item 1.01 is hereby incorporated by reference into this Item 2.03.</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(d)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93"/>
        <w:gridCol w:w="146"/>
        <w:gridCol w:w="9166"/>
      </w:tblGrid>
      <w:tr>
        <w:trPr/>
        <w:tc>
          <w:tcPr>
            <w:tcW w:w="8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6" w:type="dxa"/>
            <w:tcBorders/>
            <w:vAlign w:val="center"/>
          </w:tcPr>
          <w:p>
            <w:pPr>
              <w:pStyle w:val="TableContents"/>
              <w:bidi w:val="0"/>
              <w:spacing w:before="0" w:after="283"/>
              <w:jc w:val="left"/>
              <w:rPr>
                <w:sz w:val="4"/>
                <w:szCs w:val="4"/>
              </w:rPr>
            </w:pPr>
            <w:r>
              <w:rPr>
                <w:sz w:val="4"/>
                <w:szCs w:val="4"/>
              </w:rPr>
            </w:r>
          </w:p>
        </w:tc>
      </w:tr>
      <w:tr>
        <w:trPr/>
        <w:tc>
          <w:tcPr>
            <w:tcW w:w="89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1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Description</w:t>
            </w:r>
          </w:p>
        </w:tc>
      </w:tr>
      <w:tr>
        <w:trPr/>
        <w:tc>
          <w:tcPr>
            <w:tcW w:w="8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6" w:type="dxa"/>
            <w:tcBorders/>
            <w:tcMar>
              <w:top w:w="0" w:type="dxa"/>
              <w:left w:w="0" w:type="dxa"/>
              <w:bottom w:w="0" w:type="dxa"/>
              <w:right w:w="0" w:type="dxa"/>
            </w:tcMar>
            <w:vAlign w:val="center"/>
          </w:tcPr>
          <w:p>
            <w:pPr>
              <w:pStyle w:val="TableContents"/>
              <w:bidi w:val="0"/>
              <w:spacing w:before="0" w:after="283"/>
              <w:jc w:val="left"/>
              <w:rPr/>
            </w:pPr>
            <w:hyperlink w:anchor="rway-ex1_1.htm">
              <w:r>
                <w:rPr>
                  <w:rStyle w:val="InternetLink"/>
                  <w:rFonts w:ascii="Times New Roman" w:hAnsi="Times New Roman"/>
                  <w:color w:val="0000FF"/>
                  <w:sz w:val="20"/>
                  <w:u w:val="single"/>
                </w:rPr>
                <w:t>Underwriting Agreement, dated as of September 24, 2026, by and among Runway Growth Finance Corp., Runway Growth Capital LLC and Oppenheimer &amp; Co. Inc., as Representative of the several Underwriters named in Schedule I thereto.</w:t>
              </w:r>
            </w:hyperlink>
          </w:p>
        </w:tc>
      </w:tr>
      <w:tr>
        <w:trPr/>
        <w:tc>
          <w:tcPr>
            <w:tcW w:w="8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6724" w:type="dxa"/>
        <w:jc w:val="left"/>
        <w:tblInd w:w="0" w:type="dxa"/>
        <w:tblLayout w:type="fixed"/>
        <w:tblCellMar>
          <w:top w:w="28" w:type="dxa"/>
          <w:left w:w="28" w:type="dxa"/>
          <w:bottom w:w="28" w:type="dxa"/>
          <w:right w:w="28" w:type="dxa"/>
        </w:tblCellMar>
      </w:tblPr>
      <w:tblGrid>
        <w:gridCol w:w="556"/>
        <w:gridCol w:w="1726"/>
        <w:gridCol w:w="451"/>
        <w:gridCol w:w="3991"/>
      </w:tblGrid>
      <w:tr>
        <w:trPr/>
        <w:tc>
          <w:tcPr>
            <w:tcW w:w="55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99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99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Runway Growth Finance Corp.</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9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72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September 25,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99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Carmela Thomson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99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Carmela Thomson</w:t>
              <w:br/>
              <w:t>Chief Financial Officer, Treasurer and Secretary</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2" w:name="rway-ex1_1.htm"/>
      <w:bookmarkStart w:id="3" w:name="ksrwayex1_1"/>
      <w:bookmarkEnd w:id="2"/>
      <w:bookmarkEnd w:id="3"/>
      <w:r>
        <w:rPr>
          <w:rFonts w:ascii="Times New Roman" w:hAnsi="Times New Roman"/>
          <w:b/>
          <w:color w:val="000000"/>
          <w:sz w:val="24"/>
        </w:rPr>
        <w:t>Exhibit 1.1</w:t>
      </w:r>
      <w:r>
        <w:br w:type="page"/>
      </w:r>
    </w:p>
    <w:p>
      <w:pPr>
        <w:pStyle w:val="TextBody"/>
        <w:bidi w:val="0"/>
        <w:jc w:val="right"/>
        <w:rPr/>
      </w:pPr>
      <w:r>
        <w:rPr/>
        <w:t> </w:t>
      </w:r>
    </w:p>
    <w:p>
      <w:pPr>
        <w:pStyle w:val="TextBody"/>
        <w:bidi w:val="0"/>
        <w:jc w:val="right"/>
        <w:rPr>
          <w:rFonts w:ascii="Times New Roman" w:hAnsi="Times New Roman"/>
          <w:b/>
          <w:i/>
          <w:color w:val="000000"/>
          <w:sz w:val="24"/>
        </w:rPr>
      </w:pPr>
      <w:r>
        <w:rPr>
          <w:rFonts w:ascii="Times New Roman" w:hAnsi="Times New Roman"/>
          <w:b/>
          <w:i/>
          <w:color w:val="000000"/>
          <w:sz w:val="24"/>
        </w:rPr>
        <w:t>Execution Version</w:t>
      </w:r>
    </w:p>
    <w:p>
      <w:pPr>
        <w:pStyle w:val="TextBody"/>
        <w:bidi w:val="0"/>
        <w:jc w:val="right"/>
        <w:rPr/>
      </w:pPr>
      <w:r>
        <w:rPr/>
        <w:t> </w:t>
      </w:r>
    </w:p>
    <w:p>
      <w:pPr>
        <w:pStyle w:val="TextBody"/>
        <w:bidi w:val="0"/>
        <w:jc w:val="right"/>
        <w:rPr/>
      </w:pPr>
      <w:r>
        <w:rPr/>
        <w:t> </w:t>
      </w:r>
    </w:p>
    <w:p>
      <w:pPr>
        <w:pStyle w:val="TextBody"/>
        <w:bidi w:val="0"/>
        <w:spacing w:before="720" w:after="283"/>
        <w:jc w:val="center"/>
        <w:rPr>
          <w:rFonts w:ascii="Times New Roman" w:hAnsi="Times New Roman"/>
          <w:color w:val="000000"/>
          <w:sz w:val="22"/>
        </w:rPr>
      </w:pPr>
      <w:r>
        <w:rPr>
          <w:rFonts w:ascii="Times New Roman" w:hAnsi="Times New Roman"/>
          <w:color w:val="000000"/>
          <w:sz w:val="22"/>
        </w:rPr>
        <w:t>RUNWAY GROWTH FINANCE CORP.</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 xml:space="preserve">(a Maryland corporation)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$45,000,000</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7.75% Notes due 2031</w:t>
      </w:r>
    </w:p>
    <w:p>
      <w:pPr>
        <w:pStyle w:val="TextBody"/>
        <w:bidi w:val="0"/>
        <w:spacing w:before="240" w:after="283"/>
        <w:jc w:val="center"/>
        <w:rPr>
          <w:rFonts w:ascii="Times New Roman" w:hAnsi="Times New Roman"/>
          <w:color w:val="000000"/>
          <w:sz w:val="22"/>
          <w:u w:val="single"/>
        </w:rPr>
      </w:pPr>
      <w:r>
        <w:rPr>
          <w:rFonts w:ascii="Times New Roman" w:hAnsi="Times New Roman"/>
          <w:color w:val="000000"/>
          <w:sz w:val="22"/>
          <w:u w:val="single"/>
        </w:rPr>
        <w:t>UNDERWRITING AGREEMENT</w:t>
      </w:r>
    </w:p>
    <w:p>
      <w:pPr>
        <w:pStyle w:val="TextBody"/>
        <w:bidi w:val="0"/>
        <w:spacing w:before="720" w:after="283"/>
        <w:jc w:val="center"/>
        <w:rPr>
          <w:rFonts w:ascii="Times New Roman" w:hAnsi="Times New Roman"/>
          <w:color w:val="000000"/>
          <w:sz w:val="22"/>
        </w:rPr>
      </w:pPr>
      <w:r>
        <w:rPr>
          <w:rFonts w:ascii="Times New Roman" w:hAnsi="Times New Roman"/>
          <w:color w:val="000000"/>
          <w:sz w:val="22"/>
        </w:rPr>
        <w:t>Dated: September 24, 2026</w:t>
      </w:r>
    </w:p>
    <w:p>
      <w:pPr>
        <w:pStyle w:val="TextBody"/>
        <w:bidi w:val="0"/>
        <w:jc w:val="center"/>
        <w:rPr>
          <w:rFonts w:ascii="Times New Roman" w:hAnsi="Times New Roman"/>
          <w:color w:val="000000"/>
          <w:sz w:val="24"/>
        </w:rPr>
      </w:pPr>
      <w:r>
        <w:rPr>
          <w:rFonts w:ascii="Times New Roman" w:hAnsi="Times New Roman"/>
          <w:color w:val="000000"/>
          <w:sz w:val="24"/>
        </w:rPr>
        <w:t>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right"/>
        <w:rPr>
          <w:rFonts w:ascii="Times New Roman" w:hAnsi="Times New Roman"/>
          <w:color w:val="000000"/>
          <w:sz w:val="20"/>
        </w:rPr>
      </w:pPr>
      <w:bookmarkStart w:id="4" w:name="ole_link20"/>
      <w:bookmarkEnd w:id="4"/>
      <w:r>
        <w:rPr>
          <w:rFonts w:ascii="Times New Roman" w:hAnsi="Times New Roman"/>
          <w:color w:val="000000"/>
          <w:sz w:val="20"/>
        </w:rPr>
        <w:t>September 24, 2026</w:t>
      </w:r>
    </w:p>
    <w:p>
      <w:pPr>
        <w:pStyle w:val="TextBody"/>
        <w:bidi w:val="0"/>
        <w:jc w:val="left"/>
        <w:rPr>
          <w:rFonts w:ascii="Times New Roman" w:hAnsi="Times New Roman"/>
          <w:color w:val="000000"/>
          <w:sz w:val="20"/>
        </w:rPr>
      </w:pPr>
      <w:r>
        <w:rPr>
          <w:rFonts w:ascii="Times New Roman" w:hAnsi="Times New Roman"/>
          <w:color w:val="000000"/>
          <w:sz w:val="20"/>
        </w:rPr>
        <w:t>Oppenheimer &amp; Co. Inc.</w:t>
      </w:r>
    </w:p>
    <w:p>
      <w:pPr>
        <w:pStyle w:val="TextBody"/>
        <w:bidi w:val="0"/>
        <w:spacing w:lineRule="auto" w:line="360"/>
        <w:jc w:val="left"/>
        <w:rPr>
          <w:rFonts w:ascii="Times New Roman" w:hAnsi="Times New Roman"/>
          <w:sz w:val="13"/>
        </w:rPr>
      </w:pPr>
      <w:r>
        <w:rPr>
          <w:rFonts w:ascii="Times New Roman" w:hAnsi="Times New Roman"/>
          <w:color w:val="000000"/>
          <w:sz w:val="20"/>
        </w:rPr>
        <w:t>85 Broad Street, 23</w:t>
      </w:r>
      <w:r>
        <w:rPr>
          <w:rFonts w:ascii="Times New Roman" w:hAnsi="Times New Roman"/>
          <w:color w:val="000000"/>
          <w:sz w:val="13"/>
        </w:rPr>
        <w:t xml:space="preserve">rd </w:t>
      </w:r>
      <w:r>
        <w:rPr>
          <w:rFonts w:ascii="Times New Roman" w:hAnsi="Times New Roman"/>
          <w:color w:val="000000"/>
          <w:sz w:val="20"/>
        </w:rPr>
        <w:t>Floor</w:t>
      </w:r>
    </w:p>
    <w:p>
      <w:pPr>
        <w:pStyle w:val="TextBody"/>
        <w:bidi w:val="0"/>
        <w:jc w:val="left"/>
        <w:rPr>
          <w:rFonts w:ascii="Times New Roman" w:hAnsi="Times New Roman"/>
          <w:color w:val="000000"/>
          <w:sz w:val="20"/>
        </w:rPr>
      </w:pPr>
      <w:r>
        <w:rPr>
          <w:rFonts w:ascii="Times New Roman" w:hAnsi="Times New Roman"/>
          <w:color w:val="000000"/>
          <w:sz w:val="20"/>
        </w:rPr>
        <w:t>New York, New York 10004</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Representative of the </w:t>
      </w:r>
    </w:p>
    <w:p>
      <w:pPr>
        <w:pStyle w:val="TextBody"/>
        <w:bidi w:val="0"/>
        <w:jc w:val="left"/>
        <w:rPr>
          <w:rFonts w:ascii="Times New Roman" w:hAnsi="Times New Roman"/>
          <w:color w:val="000000"/>
          <w:sz w:val="20"/>
        </w:rPr>
      </w:pPr>
      <w:r>
        <w:rPr>
          <w:rFonts w:ascii="Times New Roman" w:hAnsi="Times New Roman"/>
          <w:color w:val="000000"/>
          <w:sz w:val="20"/>
        </w:rPr>
        <w:t>several Underwriters named</w:t>
      </w:r>
    </w:p>
    <w:p>
      <w:pPr>
        <w:pStyle w:val="TextBody"/>
        <w:bidi w:val="0"/>
        <w:jc w:val="left"/>
        <w:rPr>
          <w:rFonts w:ascii="Times New Roman" w:hAnsi="Times New Roman"/>
          <w:sz w:val="20"/>
        </w:rPr>
      </w:pPr>
      <w:r>
        <w:rPr>
          <w:rFonts w:ascii="Times New Roman" w:hAnsi="Times New Roman"/>
          <w:color w:val="000000"/>
          <w:sz w:val="20"/>
        </w:rPr>
        <w:t xml:space="preserve">in </w:t>
      </w:r>
      <w:r>
        <w:rPr>
          <w:rFonts w:ascii="Times New Roman" w:hAnsi="Times New Roman"/>
          <w:color w:val="000000"/>
          <w:sz w:val="20"/>
          <w:u w:val="single"/>
        </w:rPr>
        <w:t>Schedule I</w:t>
      </w:r>
      <w:r>
        <w:rPr>
          <w:rFonts w:ascii="Times New Roman" w:hAnsi="Times New Roman"/>
          <w:color w:val="000000"/>
          <w:sz w:val="20"/>
        </w:rPr>
        <w:t xml:space="preserve"> hereto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Ladies and Gentlemen: </w:t>
      </w:r>
    </w:p>
    <w:p>
      <w:pPr>
        <w:pStyle w:val="TextBody"/>
        <w:bidi w:val="0"/>
        <w:spacing w:before="120" w:after="120"/>
        <w:jc w:val="both"/>
        <w:rPr>
          <w:rFonts w:ascii="Times New Roman" w:hAnsi="Times New Roman"/>
          <w:sz w:val="20"/>
        </w:rPr>
      </w:pPr>
      <w:r>
        <w:rPr>
          <w:rFonts w:ascii="Times New Roman" w:hAnsi="Times New Roman"/>
          <w:color w:val="000000"/>
          <w:sz w:val="20"/>
        </w:rPr>
        <w:t>Runway Growth Finance Corp., a Maryland corporation (the “</w:t>
      </w:r>
      <w:r>
        <w:rPr>
          <w:rFonts w:ascii="Times New Roman" w:hAnsi="Times New Roman"/>
          <w:b/>
          <w:color w:val="000000"/>
          <w:sz w:val="20"/>
        </w:rPr>
        <w:t>Company</w:t>
      </w:r>
      <w:r>
        <w:rPr>
          <w:rFonts w:ascii="Times New Roman" w:hAnsi="Times New Roman"/>
          <w:color w:val="000000"/>
          <w:sz w:val="20"/>
        </w:rPr>
        <w:t xml:space="preserve">”), proposes to issue and sell to the Underwriters named in </w:t>
      </w:r>
      <w:r>
        <w:rPr>
          <w:rFonts w:ascii="Times New Roman" w:hAnsi="Times New Roman"/>
          <w:color w:val="000000"/>
          <w:sz w:val="20"/>
          <w:u w:val="single"/>
        </w:rPr>
        <w:t>Schedule I</w:t>
      </w:r>
      <w:r>
        <w:rPr>
          <w:rFonts w:ascii="Times New Roman" w:hAnsi="Times New Roman"/>
          <w:color w:val="000000"/>
          <w:sz w:val="20"/>
        </w:rPr>
        <w:t xml:space="preserve"> hereto (the “</w:t>
      </w:r>
      <w:r>
        <w:rPr>
          <w:rFonts w:ascii="Times New Roman" w:hAnsi="Times New Roman"/>
          <w:b/>
          <w:color w:val="000000"/>
          <w:sz w:val="20"/>
        </w:rPr>
        <w:t>Underwriters</w:t>
      </w:r>
      <w:r>
        <w:rPr>
          <w:rFonts w:ascii="Times New Roman" w:hAnsi="Times New Roman"/>
          <w:color w:val="000000"/>
          <w:sz w:val="20"/>
        </w:rPr>
        <w:t>”) for whom Oppenheimer &amp; Co. Inc. is acting as representative (in such capacity, the “</w:t>
      </w:r>
      <w:r>
        <w:rPr>
          <w:rFonts w:ascii="Times New Roman" w:hAnsi="Times New Roman"/>
          <w:b/>
          <w:color w:val="000000"/>
          <w:sz w:val="20"/>
        </w:rPr>
        <w:t>Representative</w:t>
      </w:r>
      <w:r>
        <w:rPr>
          <w:rFonts w:ascii="Times New Roman" w:hAnsi="Times New Roman"/>
          <w:color w:val="000000"/>
          <w:sz w:val="20"/>
        </w:rPr>
        <w:t>”) $45,000,000 aggregate principal amount of 7.75% Notes due 2031 (the “</w:t>
      </w:r>
      <w:r>
        <w:rPr>
          <w:rFonts w:ascii="Times New Roman" w:hAnsi="Times New Roman"/>
          <w:b/>
          <w:color w:val="000000"/>
          <w:sz w:val="20"/>
        </w:rPr>
        <w:t>Notes</w:t>
      </w:r>
      <w:r>
        <w:rPr>
          <w:rFonts w:ascii="Times New Roman" w:hAnsi="Times New Roman"/>
          <w:color w:val="000000"/>
          <w:sz w:val="20"/>
        </w:rPr>
        <w:t>”).</w:t>
      </w:r>
    </w:p>
    <w:p>
      <w:pPr>
        <w:pStyle w:val="TextBody"/>
        <w:bidi w:val="0"/>
        <w:spacing w:before="0" w:after="120"/>
        <w:jc w:val="both"/>
        <w:rPr>
          <w:rFonts w:ascii="Times New Roman" w:hAnsi="Times New Roman"/>
          <w:sz w:val="20"/>
        </w:rPr>
      </w:pPr>
      <w:r>
        <w:rPr>
          <w:rFonts w:ascii="Times New Roman" w:hAnsi="Times New Roman"/>
          <w:color w:val="000000"/>
          <w:sz w:val="20"/>
        </w:rPr>
        <w:t>The Company also proposes to issue and sell to the several Underwriters not more than an additional $6,750,000 aggregate principal amount of 7.75% Notes due 2031 (the “</w:t>
      </w:r>
      <w:r>
        <w:rPr>
          <w:rFonts w:ascii="Times New Roman" w:hAnsi="Times New Roman"/>
          <w:b/>
          <w:color w:val="000000"/>
          <w:sz w:val="20"/>
        </w:rPr>
        <w:t>Additional Notes</w:t>
      </w:r>
      <w:r>
        <w:rPr>
          <w:rFonts w:ascii="Times New Roman" w:hAnsi="Times New Roman"/>
          <w:color w:val="000000"/>
          <w:sz w:val="20"/>
        </w:rPr>
        <w:t xml:space="preserve">”), if and to the extent that the Representative shall have determined to exercise, on behalf of the Underwriters, the right to purchase pursuant to an overallotment option such notes granted to the Underwriters in </w:t>
      </w:r>
      <w:r>
        <w:rPr>
          <w:rFonts w:ascii="Times New Roman" w:hAnsi="Times New Roman"/>
          <w:color w:val="000000"/>
          <w:sz w:val="20"/>
          <w:u w:val="single"/>
        </w:rPr>
        <w:t>Section 2</w:t>
      </w:r>
      <w:r>
        <w:rPr>
          <w:rFonts w:ascii="Times New Roman" w:hAnsi="Times New Roman"/>
          <w:color w:val="000000"/>
          <w:sz w:val="20"/>
        </w:rPr>
        <w:t xml:space="preserve"> hereof.</w:t>
      </w:r>
    </w:p>
    <w:p>
      <w:pPr>
        <w:pStyle w:val="TextBody"/>
        <w:bidi w:val="0"/>
        <w:spacing w:before="0" w:after="120"/>
        <w:jc w:val="both"/>
        <w:rPr>
          <w:rFonts w:ascii="Times New Roman" w:hAnsi="Times New Roman"/>
          <w:sz w:val="20"/>
        </w:rPr>
      </w:pPr>
      <w:r>
        <w:rPr>
          <w:rFonts w:ascii="Times New Roman" w:hAnsi="Times New Roman"/>
          <w:color w:val="000000"/>
          <w:sz w:val="20"/>
        </w:rPr>
        <w:t>The Notes and the Additional Notes are hereinafter collectively referred to as the “</w:t>
      </w:r>
      <w:r>
        <w:rPr>
          <w:rFonts w:ascii="Times New Roman" w:hAnsi="Times New Roman"/>
          <w:b/>
          <w:color w:val="000000"/>
          <w:sz w:val="20"/>
        </w:rPr>
        <w:t>Securities</w:t>
      </w:r>
      <w:r>
        <w:rPr>
          <w:rFonts w:ascii="Times New Roman" w:hAnsi="Times New Roman"/>
          <w:color w:val="000000"/>
          <w:sz w:val="20"/>
        </w:rPr>
        <w:t>.” The Securities will be issued under an indenture dated as of July 28, 2022 (the “</w:t>
      </w:r>
      <w:r>
        <w:rPr>
          <w:rFonts w:ascii="Times New Roman" w:hAnsi="Times New Roman"/>
          <w:b/>
          <w:color w:val="000000"/>
          <w:sz w:val="20"/>
        </w:rPr>
        <w:t>Base Indenture</w:t>
      </w:r>
      <w:r>
        <w:rPr>
          <w:rFonts w:ascii="Times New Roman" w:hAnsi="Times New Roman"/>
          <w:color w:val="000000"/>
          <w:sz w:val="20"/>
        </w:rPr>
        <w:t>”), as supplemented by the Fifth Supplemental Indenture dated as of October 1, 2026 (the “</w:t>
      </w:r>
      <w:r>
        <w:rPr>
          <w:rFonts w:ascii="Times New Roman" w:hAnsi="Times New Roman"/>
          <w:b/>
          <w:color w:val="000000"/>
          <w:sz w:val="20"/>
        </w:rPr>
        <w:t>Fifth Supplemental Indenture</w:t>
      </w:r>
      <w:r>
        <w:rPr>
          <w:rFonts w:ascii="Times New Roman" w:hAnsi="Times New Roman"/>
          <w:color w:val="000000"/>
          <w:sz w:val="20"/>
        </w:rPr>
        <w:t>” and, together with the Base Indenture, the “</w:t>
      </w:r>
      <w:r>
        <w:rPr>
          <w:rFonts w:ascii="Times New Roman" w:hAnsi="Times New Roman"/>
          <w:b/>
          <w:color w:val="000000"/>
          <w:sz w:val="20"/>
        </w:rPr>
        <w:t>Indenture</w:t>
      </w:r>
      <w:r>
        <w:rPr>
          <w:rFonts w:ascii="Times New Roman" w:hAnsi="Times New Roman"/>
          <w:color w:val="000000"/>
          <w:sz w:val="20"/>
        </w:rPr>
        <w:t>”) between the Company and U.S. Bank Trust Company, National Association, as Trustee. The Securities will be issued to Cede &amp; Co. as nominee of the Depository Trust Company (“</w:t>
      </w:r>
      <w:r>
        <w:rPr>
          <w:rFonts w:ascii="Times New Roman" w:hAnsi="Times New Roman"/>
          <w:b/>
          <w:color w:val="000000"/>
          <w:sz w:val="20"/>
        </w:rPr>
        <w:t>DTC</w:t>
      </w:r>
      <w:r>
        <w:rPr>
          <w:rFonts w:ascii="Times New Roman" w:hAnsi="Times New Roman"/>
          <w:color w:val="000000"/>
          <w:sz w:val="20"/>
        </w:rPr>
        <w:t>”), pursuant to a blanket letter of representations dated as of July 18, 2022 (the “</w:t>
      </w:r>
      <w:r>
        <w:rPr>
          <w:rFonts w:ascii="Times New Roman" w:hAnsi="Times New Roman"/>
          <w:b/>
          <w:color w:val="000000"/>
          <w:sz w:val="20"/>
        </w:rPr>
        <w:t>DTC Agreement</w:t>
      </w:r>
      <w:r>
        <w:rPr>
          <w:rFonts w:ascii="Times New Roman" w:hAnsi="Times New Roman"/>
          <w:color w:val="000000"/>
          <w:sz w:val="20"/>
        </w:rPr>
        <w:t>”) between the Company and DTC.</w:t>
      </w:r>
    </w:p>
    <w:p>
      <w:pPr>
        <w:pStyle w:val="TextBody"/>
        <w:bidi w:val="0"/>
        <w:spacing w:before="0" w:after="120"/>
        <w:jc w:val="both"/>
        <w:rPr>
          <w:rFonts w:ascii="Times New Roman" w:hAnsi="Times New Roman"/>
          <w:sz w:val="20"/>
        </w:rPr>
      </w:pPr>
      <w:r>
        <w:rPr>
          <w:rFonts w:ascii="Times New Roman" w:hAnsi="Times New Roman"/>
          <w:color w:val="000000"/>
          <w:sz w:val="20"/>
        </w:rPr>
        <w:t>The Company has filed pursuant to the Securities Act of 1933, as amended (collectively with the rules and regulations of the Commission promulgated thereunder, the “</w:t>
      </w:r>
      <w:r>
        <w:rPr>
          <w:rFonts w:ascii="Times New Roman" w:hAnsi="Times New Roman"/>
          <w:b/>
          <w:color w:val="000000"/>
          <w:sz w:val="20"/>
        </w:rPr>
        <w:t>Securities Act</w:t>
      </w:r>
      <w:r>
        <w:rPr>
          <w:rFonts w:ascii="Times New Roman" w:hAnsi="Times New Roman"/>
          <w:color w:val="000000"/>
          <w:sz w:val="20"/>
        </w:rPr>
        <w:t>”), with the U.S. Securities and Exchange Commission (the “</w:t>
      </w:r>
      <w:r>
        <w:rPr>
          <w:rFonts w:ascii="Times New Roman" w:hAnsi="Times New Roman"/>
          <w:b/>
          <w:color w:val="000000"/>
          <w:sz w:val="20"/>
        </w:rPr>
        <w:t>Commission</w:t>
      </w:r>
      <w:r>
        <w:rPr>
          <w:rFonts w:ascii="Times New Roman" w:hAnsi="Times New Roman"/>
          <w:color w:val="000000"/>
          <w:sz w:val="20"/>
        </w:rPr>
        <w:t>”) a shelf registration statement on Form N-2 (File No. 333-284781), which registered the offer and sale of certain securities to be issued from time to time by the Company, including the Notes. Such registration statement was declared effective by the Commission on March 19, 2025. The registration statement as amended as of its most recent effective date, including the exhibits and schedules thereto, all documents incorporated or deemed to be incorporated in the registration statement by reference, any information contained in a prospectus supplement relating to the Securities subsequently filed with the Commission pursuant to Rule 424 under the Securities Act (“</w:t>
      </w:r>
      <w:r>
        <w:rPr>
          <w:rFonts w:ascii="Times New Roman" w:hAnsi="Times New Roman"/>
          <w:b/>
          <w:color w:val="000000"/>
          <w:sz w:val="20"/>
        </w:rPr>
        <w:t>Rule 424</w:t>
      </w:r>
      <w:r>
        <w:rPr>
          <w:rFonts w:ascii="Times New Roman" w:hAnsi="Times New Roman"/>
          <w:color w:val="000000"/>
          <w:sz w:val="20"/>
        </w:rPr>
        <w:t>”) and deemed to be a part of the registration statement at the time of effectiveness pursuant to Rule 430B under the Securities Act (“</w:t>
      </w:r>
      <w:r>
        <w:rPr>
          <w:rFonts w:ascii="Times New Roman" w:hAnsi="Times New Roman"/>
          <w:b/>
          <w:color w:val="000000"/>
          <w:sz w:val="20"/>
        </w:rPr>
        <w:t>Rule 430B</w:t>
      </w:r>
      <w:r>
        <w:rPr>
          <w:rFonts w:ascii="Times New Roman" w:hAnsi="Times New Roman"/>
          <w:color w:val="000000"/>
          <w:sz w:val="20"/>
        </w:rPr>
        <w:t>”), any registration statement filed pursuant to Rule 462(b) under the Securities Act (“</w:t>
      </w:r>
      <w:r>
        <w:rPr>
          <w:rFonts w:ascii="Times New Roman" w:hAnsi="Times New Roman"/>
          <w:b/>
          <w:color w:val="000000"/>
          <w:sz w:val="20"/>
        </w:rPr>
        <w:t>Rule 462(b)</w:t>
      </w:r>
      <w:r>
        <w:rPr>
          <w:rFonts w:ascii="Times New Roman" w:hAnsi="Times New Roman"/>
          <w:color w:val="000000"/>
          <w:sz w:val="20"/>
        </w:rPr>
        <w:t>”), and any post-effective amendment thereto, is hereinafter referred to as the “</w:t>
      </w:r>
      <w:r>
        <w:rPr>
          <w:rFonts w:ascii="Times New Roman" w:hAnsi="Times New Roman"/>
          <w:b/>
          <w:color w:val="000000"/>
          <w:sz w:val="20"/>
        </w:rPr>
        <w:t>Registration Statement</w:t>
      </w:r>
      <w:r>
        <w:rPr>
          <w:rFonts w:ascii="Times New Roman" w:hAnsi="Times New Roman"/>
          <w:color w:val="000000"/>
          <w:sz w:val="20"/>
        </w:rPr>
        <w:t>.”</w:t>
      </w:r>
    </w:p>
    <w:p>
      <w:pPr>
        <w:pStyle w:val="TextBody"/>
        <w:bidi w:val="0"/>
        <w:spacing w:before="0" w:after="120"/>
        <w:jc w:val="both"/>
        <w:rPr>
          <w:rFonts w:ascii="Times New Roman" w:hAnsi="Times New Roman"/>
          <w:sz w:val="20"/>
        </w:rPr>
      </w:pPr>
      <w:bookmarkStart w:id="5" w:name="ole_link10"/>
      <w:bookmarkEnd w:id="5"/>
      <w:r>
        <w:rPr>
          <w:rFonts w:ascii="Times New Roman" w:hAnsi="Times New Roman"/>
          <w:color w:val="000000"/>
          <w:sz w:val="20"/>
        </w:rPr>
        <w:t>The base prospectus included in the Registration Statement as of its most recent effective date, including documents incorporated or deemed to be incorporated therein by reference, is hereinafter referred to as the “</w:t>
      </w:r>
      <w:r>
        <w:rPr>
          <w:rFonts w:ascii="Times New Roman" w:hAnsi="Times New Roman"/>
          <w:b/>
          <w:color w:val="000000"/>
          <w:sz w:val="20"/>
        </w:rPr>
        <w:t>Base Prospectus</w:t>
      </w:r>
      <w:r>
        <w:rPr>
          <w:rFonts w:ascii="Times New Roman" w:hAnsi="Times New Roman"/>
          <w:color w:val="000000"/>
          <w:sz w:val="20"/>
        </w:rPr>
        <w:t>.” The preliminary prospectus supplement, dated September 23, 2026, relating to the Notes that was used prior to the execution and delivery of this Agreement and filed pursuant to Rule 424, including documents incorporated or deemed to be incorporated therein by reference, is herein called the “</w:t>
      </w:r>
      <w:r>
        <w:rPr>
          <w:rFonts w:ascii="Times New Roman" w:hAnsi="Times New Roman"/>
          <w:b/>
          <w:color w:val="000000"/>
          <w:sz w:val="20"/>
        </w:rPr>
        <w:t>Preliminary Prospectus Supplement</w:t>
      </w:r>
      <w:r>
        <w:rPr>
          <w:rFonts w:ascii="Times New Roman" w:hAnsi="Times New Roman"/>
          <w:color w:val="000000"/>
          <w:sz w:val="20"/>
        </w:rPr>
        <w:t>.” The Base Prospectus and the Preliminary Prospectus Supplement are referred to collectively as the “</w:t>
      </w:r>
      <w:r>
        <w:rPr>
          <w:rFonts w:ascii="Times New Roman" w:hAnsi="Times New Roman"/>
          <w:b/>
          <w:color w:val="000000"/>
          <w:sz w:val="20"/>
        </w:rPr>
        <w:t>Preliminary Prospectus</w:t>
      </w:r>
      <w:r>
        <w:rPr>
          <w:rFonts w:ascii="Times New Roman" w:hAnsi="Times New Roman"/>
          <w:color w:val="000000"/>
          <w:sz w:val="20"/>
        </w:rPr>
        <w:t>.” The Company will file with the Commission, in accordance with Rule 424, a final prospectus supplement, including documents incorporated or deemed to be incorporated therein by reference (the “</w:t>
      </w:r>
      <w:r>
        <w:rPr>
          <w:rFonts w:ascii="Times New Roman" w:hAnsi="Times New Roman"/>
          <w:b/>
          <w:color w:val="000000"/>
          <w:sz w:val="20"/>
        </w:rPr>
        <w:t>Final Prospectus Supplement</w:t>
      </w:r>
      <w:r>
        <w:rPr>
          <w:rFonts w:ascii="Times New Roman" w:hAnsi="Times New Roman"/>
          <w:color w:val="000000"/>
          <w:sz w:val="20"/>
        </w:rPr>
        <w:t>”), supplementing the Base Prospectus in connection with the offer and sale of the Notes. The Base Prospectus and the Final Prospectus Supplement are hereinafter referred to collectively as the “</w:t>
      </w:r>
      <w:r>
        <w:rPr>
          <w:rFonts w:ascii="Times New Roman" w:hAnsi="Times New Roman"/>
          <w:b/>
          <w:color w:val="000000"/>
          <w:sz w:val="20"/>
        </w:rPr>
        <w:t>Prospectus</w:t>
      </w:r>
      <w:r>
        <w:rPr>
          <w:rFonts w:ascii="Times New Roman" w:hAnsi="Times New Roman"/>
          <w:color w:val="000000"/>
          <w:sz w:val="20"/>
        </w:rPr>
        <w:t xml:space="preserve">.” Any reference herein to the Registration Statement, the Base Prospectus, the Preliminary Prospectus Supplement, the Preliminary Prospectus, the Final Prospectus Supplement or the Prospectus shall be deemed to refer to and include any supplements or amendments thereto, filed with the Commission after the date of filing of the Prospectus under Rule 424 and prior to the termination of the offering of the Notes by the Representative. All references in this Agreement to financial statements and schedules and other information which is “included” or “stated” in the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120" w:after="120"/>
        <w:jc w:val="both"/>
        <w:rPr>
          <w:rFonts w:ascii="Times New Roman" w:hAnsi="Times New Roman"/>
          <w:sz w:val="20"/>
        </w:rPr>
      </w:pPr>
      <w:r>
        <w:rPr>
          <w:rFonts w:ascii="Times New Roman" w:hAnsi="Times New Roman"/>
          <w:color w:val="000000"/>
          <w:sz w:val="20"/>
        </w:rPr>
        <w:t>Registration Statement, the Preliminary Prospectus or the Prospectus (and all other references of like import) shall be deemed to mean and include all such financial statements and schedules and other information which is or is deemed to be incorporated in or otherwise deemed to be a part of or included in the Registration Statement, the Preliminary Prospectus, or the Prospectus, as the case may be, as of any specified date; and all references in this Agreement to amendments or supplements to the Registration Statement, the Preliminary Prospectus, or the Prospectus, including those made pursuant to Rule 424 or such other rule under the Securities Act as may be applicable to the Company, shall be deemed to mean and include, without limitation, the filing of any document under the Securities Exchange Act of 1934, as amended (the “</w:t>
      </w:r>
      <w:r>
        <w:rPr>
          <w:rFonts w:ascii="Times New Roman" w:hAnsi="Times New Roman"/>
          <w:b/>
          <w:color w:val="000000"/>
          <w:sz w:val="20"/>
        </w:rPr>
        <w:t>Exchange Act</w:t>
      </w:r>
      <w:r>
        <w:rPr>
          <w:rFonts w:ascii="Times New Roman" w:hAnsi="Times New Roman"/>
          <w:color w:val="000000"/>
          <w:sz w:val="20"/>
        </w:rPr>
        <w:t>”), which is or is deemed to be incorporated by reference in the Registration Statement, the Preliminary Prospectus or the Prospectus, as the case may be, as of any specified date.</w:t>
      </w:r>
    </w:p>
    <w:p>
      <w:pPr>
        <w:pStyle w:val="TextBody"/>
        <w:bidi w:val="0"/>
        <w:spacing w:before="0" w:after="120"/>
        <w:jc w:val="both"/>
        <w:rPr>
          <w:rFonts w:ascii="Times New Roman" w:hAnsi="Times New Roman"/>
          <w:sz w:val="20"/>
        </w:rPr>
      </w:pPr>
      <w:r>
        <w:rPr>
          <w:rFonts w:ascii="Times New Roman" w:hAnsi="Times New Roman"/>
          <w:color w:val="000000"/>
          <w:sz w:val="20"/>
        </w:rPr>
        <w:t>The Company has entered into the Third Amended and Restated Investment Advisory Agreement, dated as of January 30, 2025 (the “</w:t>
      </w:r>
      <w:r>
        <w:rPr>
          <w:rFonts w:ascii="Times New Roman" w:hAnsi="Times New Roman"/>
          <w:b/>
          <w:color w:val="000000"/>
          <w:sz w:val="20"/>
        </w:rPr>
        <w:t>Investment Advisory Agreement</w:t>
      </w:r>
      <w:r>
        <w:rPr>
          <w:rFonts w:ascii="Times New Roman" w:hAnsi="Times New Roman"/>
          <w:color w:val="000000"/>
          <w:sz w:val="20"/>
        </w:rPr>
        <w:t>”), with Runway Growth Capital LLC, a Delaware limited liability company registered as an investment adviser (the “</w:t>
      </w:r>
      <w:r>
        <w:rPr>
          <w:rFonts w:ascii="Times New Roman" w:hAnsi="Times New Roman"/>
          <w:b/>
          <w:color w:val="000000"/>
          <w:sz w:val="20"/>
        </w:rPr>
        <w:t>Adviser</w:t>
      </w:r>
      <w:r>
        <w:rPr>
          <w:rFonts w:ascii="Times New Roman" w:hAnsi="Times New Roman"/>
          <w:color w:val="000000"/>
          <w:sz w:val="20"/>
        </w:rPr>
        <w:t>”) under the Investment Advisers Act of 1940, as amended, and the rules and regulations thereunder (the “</w:t>
      </w:r>
      <w:r>
        <w:rPr>
          <w:rFonts w:ascii="Times New Roman" w:hAnsi="Times New Roman"/>
          <w:b/>
          <w:color w:val="000000"/>
          <w:sz w:val="20"/>
        </w:rPr>
        <w:t>Advisers Act</w:t>
      </w:r>
      <w:r>
        <w:rPr>
          <w:rFonts w:ascii="Times New Roman" w:hAnsi="Times New Roman"/>
          <w:color w:val="000000"/>
          <w:sz w:val="20"/>
        </w:rPr>
        <w:t>”).</w:t>
      </w:r>
    </w:p>
    <w:p>
      <w:pPr>
        <w:pStyle w:val="TextBody"/>
        <w:bidi w:val="0"/>
        <w:spacing w:before="0" w:after="120"/>
        <w:jc w:val="both"/>
        <w:rPr>
          <w:rFonts w:ascii="Times New Roman" w:hAnsi="Times New Roman"/>
          <w:sz w:val="20"/>
        </w:rPr>
      </w:pPr>
      <w:r>
        <w:rPr>
          <w:rFonts w:ascii="Times New Roman" w:hAnsi="Times New Roman"/>
          <w:color w:val="000000"/>
          <w:sz w:val="20"/>
        </w:rPr>
        <w:t>The Company has also entered into the Amended and Restated Administration Agreement, dated as of June 28, 2021 (the “</w:t>
      </w:r>
      <w:r>
        <w:rPr>
          <w:rFonts w:ascii="Times New Roman" w:hAnsi="Times New Roman"/>
          <w:b/>
          <w:color w:val="000000"/>
          <w:sz w:val="20"/>
        </w:rPr>
        <w:t>Administration Agreement</w:t>
      </w:r>
      <w:r>
        <w:rPr>
          <w:rFonts w:ascii="Times New Roman" w:hAnsi="Times New Roman"/>
          <w:color w:val="000000"/>
          <w:sz w:val="20"/>
        </w:rPr>
        <w:t>”), with Runway Administrator Services LLC, a Delaware limited liability company (the “</w:t>
      </w:r>
      <w:r>
        <w:rPr>
          <w:rFonts w:ascii="Times New Roman" w:hAnsi="Times New Roman"/>
          <w:b/>
          <w:color w:val="000000"/>
          <w:sz w:val="20"/>
        </w:rPr>
        <w:t>Administrator</w:t>
      </w:r>
      <w:r>
        <w:rPr>
          <w:rFonts w:ascii="Times New Roman" w:hAnsi="Times New Roman"/>
          <w:color w:val="000000"/>
          <w:sz w:val="2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As used in this Agreement: </w:t>
      </w:r>
    </w:p>
    <w:p>
      <w:pPr>
        <w:pStyle w:val="TextBody"/>
        <w:bidi w:val="0"/>
        <w:spacing w:before="0" w:after="120"/>
        <w:jc w:val="both"/>
        <w:rPr/>
      </w:pPr>
      <w:r>
        <w:rPr>
          <w:color w:val="000000"/>
        </w:rPr>
        <w:t>“</w:t>
      </w:r>
      <w:r>
        <w:rPr>
          <w:rFonts w:ascii="Times New Roman" w:hAnsi="Times New Roman"/>
          <w:b/>
          <w:color w:val="000000"/>
          <w:sz w:val="20"/>
        </w:rPr>
        <w:t>Applicable Time</w:t>
      </w:r>
      <w:r>
        <w:rPr>
          <w:rFonts w:ascii="Times New Roman" w:hAnsi="Times New Roman"/>
          <w:color w:val="000000"/>
          <w:sz w:val="20"/>
        </w:rPr>
        <w:t xml:space="preserve">” means 4:00 P.M., New York City time, on September 24, 2026, or such other time as agreed by the Company and the Representative. </w:t>
      </w:r>
    </w:p>
    <w:p>
      <w:pPr>
        <w:pStyle w:val="TextBody"/>
        <w:bidi w:val="0"/>
        <w:spacing w:before="0" w:after="120"/>
        <w:jc w:val="both"/>
        <w:rPr/>
      </w:pPr>
      <w:r>
        <w:rPr>
          <w:color w:val="000000"/>
        </w:rPr>
        <w:t>“</w:t>
      </w:r>
      <w:r>
        <w:rPr>
          <w:rFonts w:ascii="Times New Roman" w:hAnsi="Times New Roman"/>
          <w:b/>
          <w:color w:val="000000"/>
          <w:sz w:val="20"/>
        </w:rPr>
        <w:t>General Disclosure Package</w:t>
      </w:r>
      <w:r>
        <w:rPr>
          <w:rFonts w:ascii="Times New Roman" w:hAnsi="Times New Roman"/>
          <w:color w:val="000000"/>
          <w:sz w:val="20"/>
        </w:rPr>
        <w:t xml:space="preserve">” means (i) the Preliminary Prospectus, and (ii) the information included on </w:t>
      </w:r>
      <w:r>
        <w:rPr>
          <w:rFonts w:ascii="Times New Roman" w:hAnsi="Times New Roman"/>
          <w:color w:val="000000"/>
          <w:sz w:val="20"/>
          <w:u w:val="single"/>
        </w:rPr>
        <w:t>Schedule II</w:t>
      </w:r>
      <w:r>
        <w:rPr>
          <w:rFonts w:ascii="Times New Roman" w:hAnsi="Times New Roman"/>
          <w:color w:val="000000"/>
          <w:sz w:val="20"/>
        </w:rPr>
        <w:t xml:space="preserve"> hereto.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120"/>
        <w:jc w:val="both"/>
        <w:rPr>
          <w:rFonts w:ascii="Times New Roman" w:hAnsi="Times New Roman"/>
          <w:i/>
          <w:color w:val="000000"/>
          <w:sz w:val="20"/>
        </w:rPr>
      </w:pPr>
      <w:r>
        <w:rPr>
          <w:rFonts w:ascii="Times New Roman" w:hAnsi="Times New Roman"/>
          <w:i/>
          <w:color w:val="000000"/>
          <w:sz w:val="20"/>
        </w:rPr>
        <w:t xml:space="preserve">Representations and Warranties.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120"/>
        <w:jc w:val="both"/>
        <w:rPr>
          <w:rFonts w:ascii="Times New Roman" w:hAnsi="Times New Roman"/>
          <w:sz w:val="20"/>
        </w:rPr>
      </w:pPr>
      <w:r>
        <w:rPr>
          <w:rFonts w:ascii="Times New Roman" w:hAnsi="Times New Roman"/>
          <w:i/>
          <w:color w:val="000000"/>
          <w:sz w:val="20"/>
        </w:rPr>
        <w:t>Representations and Warranties of the Company.</w:t>
      </w:r>
      <w:r>
        <w:rPr>
          <w:rFonts w:ascii="Times New Roman" w:hAnsi="Times New Roman"/>
          <w:color w:val="000000"/>
          <w:sz w:val="20"/>
        </w:rPr>
        <w:t xml:space="preserve"> The Company represents and warrants to each Underwriter as of the date hereof, the Applicable Time, and the Closing Date (as defined below), and agrees with each Underwriter, as follows: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Registration Statement has become effective, no stop order suspending the effectiveness of the Registration Statement is in effect, and no proceedings for such purpose are pending before or, to the knowledge of the Company, threatened by the Commission.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The Company is eligible to use Form N-2. In addition, (A) the Registration Statement, when it most recently became effective, did not contain and, as amended or supplemented, if applicable, will not contain any untrue statement of a material fact or omit to state a material fact required to be stated therein or necessary to make the statements therein not misleading, (B) the Registration Statement, General Disclosure Package and the Prospectus comply and, as amended or supplemented, if applicable, will comply in all material respects with the Securities Act and the applicable rules and regulations of the Commission promulgated thereunder, (C) the General Disclosure Package does not, and, at the time of sale of the Securities in connection with the offering when the Prospectus is not yet available to prospective purchasers and at the Closing Date (as defined below), the General Disclosure Package, as then amended or supplemented by the Company, if applicable, will not, contain any untrue statement of a material fact or omit to state a material fact necessary to make the statements therein, in the light of the circumstances under which they were made, not misleading, (D) each Additional Disclosure Item (as defined below) listed on </w:t>
      </w:r>
      <w:r>
        <w:rPr>
          <w:rFonts w:ascii="Times New Roman" w:hAnsi="Times New Roman"/>
          <w:color w:val="000000"/>
          <w:sz w:val="20"/>
          <w:u w:val="single"/>
        </w:rPr>
        <w:t>Schedule III</w:t>
      </w:r>
      <w:r>
        <w:rPr>
          <w:rFonts w:ascii="Times New Roman" w:hAnsi="Times New Roman"/>
          <w:color w:val="000000"/>
          <w:sz w:val="20"/>
        </w:rPr>
        <w:t xml:space="preserve"> hereto does not and will not conflict with the information contained in the Registration Statement or the General Disclosure Package and each such Additional Disclosure Item, as supplemented by and taken together with the General Disclosure Package as of the Applicable Time, did not and will not include any untrue statement of a material fact or omit to state any material fact necessary in order to make the statements therein, in the light of the circumstances under which they were made, not misleading, and (E) the Prospectus, as of the date thereof, does not contain and, as of the Closing Date (as defined in </w:t>
      </w:r>
      <w:r>
        <w:rPr>
          <w:rFonts w:ascii="Times New Roman" w:hAnsi="Times New Roman"/>
          <w:color w:val="000000"/>
          <w:sz w:val="20"/>
          <w:u w:val="single"/>
        </w:rPr>
        <w:t>Section 4</w:t>
      </w:r>
      <w:r>
        <w:rPr>
          <w:rFonts w:ascii="Times New Roman" w:hAnsi="Times New Roman"/>
          <w:color w:val="000000"/>
          <w:sz w:val="20"/>
        </w:rPr>
        <w:t xml:space="preserve"> hereof) and, if applicable, each Option Closing Date (as defined in </w:t>
      </w:r>
      <w:r>
        <w:rPr>
          <w:rFonts w:ascii="Times New Roman" w:hAnsi="Times New Roman"/>
          <w:color w:val="000000"/>
          <w:sz w:val="20"/>
          <w:u w:val="single"/>
        </w:rPr>
        <w:t>Section 2</w:t>
      </w:r>
      <w:r>
        <w:rPr>
          <w:rFonts w:ascii="Times New Roman" w:hAnsi="Times New Roman"/>
          <w:color w:val="000000"/>
          <w:sz w:val="20"/>
        </w:rPr>
        <w:t xml:space="preserve"> hereof), as amended or supplemented, if applicable, will not contain any untrue statement of a material fact or omit to state a material fact necessary to make the statements therein, in the light of the circumstances under which they were made, not misleading; </w:t>
      </w:r>
      <w:r>
        <w:rPr>
          <w:rFonts w:ascii="Times New Roman" w:hAnsi="Times New Roman"/>
          <w:i/>
          <w:color w:val="000000"/>
          <w:sz w:val="20"/>
        </w:rPr>
        <w:t>provided, however</w:t>
      </w:r>
      <w:r>
        <w:rPr>
          <w:rFonts w:ascii="Times New Roman" w:hAnsi="Times New Roman"/>
          <w:color w:val="000000"/>
          <w:sz w:val="20"/>
        </w:rPr>
        <w:t xml:space="preserve">, that the representations and warranties in this paragraph shall not apply to statements in or omissions from the Registration Statement, the General Disclosure Package or the Prospectus, or any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right"/>
        <w:rPr/>
      </w:pPr>
      <w:r>
        <w:rPr/>
        <w:t> </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Fonts w:ascii="Times New Roman" w:hAnsi="Times New Roman"/>
          <w:color w:val="000000"/>
          <w:sz w:val="20"/>
        </w:rPr>
        <w:t>amendments or supplements thereto, made in reliance upon and in conformity with information relating to any Underwriter furnished to the Company in writing by any Underwriter expressly for use in the Registration Statement, the General Disclosure Package or the Prospectus (the “</w:t>
      </w:r>
      <w:r>
        <w:rPr>
          <w:rFonts w:ascii="Times New Roman" w:hAnsi="Times New Roman"/>
          <w:b/>
          <w:color w:val="000000"/>
          <w:sz w:val="20"/>
        </w:rPr>
        <w:t>Underwriter Information</w:t>
      </w:r>
      <w:r>
        <w:rPr>
          <w:color w:val="000000"/>
        </w:rPr>
        <w:t>”</w:t>
      </w:r>
      <w:r>
        <w:rPr>
          <w:rFonts w:ascii="Times New Roman" w:hAnsi="Times New Roman"/>
          <w:color w:val="000000"/>
          <w:sz w:val="20"/>
        </w:rPr>
        <w:t>), it being understood and agreed that the Underwriter Information solely consists of the following information in the Final Prospectus Supplement furnished on behalf of each Underwriter: (1) the names and corresponding principal amount of Notes set forth in the table after the first paragraph of text under the caption “Underwriting” in the Prospectus; (2) the fifth paragraph of text under the caption “Underwriting” in the Prospectus concerning the terms of the offering by the Underwriters; (3) the first and second sentences of the second paragraph of text under the caption “Underwriting</w:t>
      </w:r>
      <w:r>
        <w:rPr>
          <w:color w:val="000000"/>
        </w:rPr>
        <w:t>—</w:t>
      </w:r>
      <w:r>
        <w:rPr>
          <w:rFonts w:ascii="Times New Roman" w:hAnsi="Times New Roman"/>
          <w:color w:val="000000"/>
          <w:sz w:val="20"/>
        </w:rPr>
        <w:t>New Listing of Notes” in the Prospectus; and (4) the text under the caption “Underwriting—Price Stabilization and Short Positions” in the Prospectus.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(iii)</w:t>
      </w:r>
    </w:p>
    <w:p>
      <w:pPr>
        <w:pStyle w:val="TextBody"/>
        <w:bidi w:val="0"/>
        <w:spacing w:before="0" w:after="120"/>
        <w:jc w:val="both"/>
        <w:rPr>
          <w:rFonts w:ascii="Times New Roman" w:hAnsi="Times New Roman"/>
          <w:sz w:val="20"/>
        </w:rPr>
      </w:pPr>
      <w:r>
        <w:rPr>
          <w:rFonts w:ascii="Times New Roman" w:hAnsi="Times New Roman"/>
          <w:color w:val="000000"/>
          <w:sz w:val="20"/>
          <w:u w:val="single"/>
        </w:rPr>
        <w:t>Exchange Act Conformance</w:t>
      </w:r>
      <w:r>
        <w:rPr>
          <w:rFonts w:ascii="Times New Roman" w:hAnsi="Times New Roman"/>
          <w:color w:val="000000"/>
          <w:sz w:val="20"/>
        </w:rPr>
        <w:t>. The documents incorporated by reference in each of the Registration Statement, the Preliminary Prospectus and the Prospectus, when they became effective or were filed with the Commission, as the case may be, conformed or will conform in all material respects to the requirements of the Exchange Act.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(iv)</w:t>
      </w:r>
    </w:p>
    <w:p>
      <w:pPr>
        <w:pStyle w:val="TextBody"/>
        <w:bidi w:val="0"/>
        <w:spacing w:before="0" w:after="120"/>
        <w:jc w:val="both"/>
        <w:rPr>
          <w:rFonts w:ascii="Times New Roman" w:hAnsi="Times New Roman"/>
          <w:sz w:val="20"/>
        </w:rPr>
      </w:pPr>
      <w:r>
        <w:rPr>
          <w:rFonts w:ascii="Times New Roman" w:hAnsi="Times New Roman"/>
          <w:color w:val="000000"/>
          <w:sz w:val="20"/>
          <w:u w:val="single"/>
        </w:rPr>
        <w:t>Company Not Ineligible Issuer</w:t>
      </w:r>
      <w:r>
        <w:rPr>
          <w:rFonts w:ascii="Times New Roman" w:hAnsi="Times New Roman"/>
          <w:color w:val="000000"/>
          <w:sz w:val="20"/>
        </w:rPr>
        <w:t xml:space="preserve">. At the time of filing the Registration Statement and any post-effective amendment thereto, at the earliest time thereafter that the Company or another offering participant made a </w:t>
      </w:r>
      <w:r>
        <w:rPr>
          <w:rFonts w:ascii="Times New Roman" w:hAnsi="Times New Roman"/>
          <w:i/>
          <w:color w:val="000000"/>
          <w:sz w:val="20"/>
        </w:rPr>
        <w:t>bona fide</w:t>
      </w:r>
      <w:r>
        <w:rPr>
          <w:rFonts w:ascii="Times New Roman" w:hAnsi="Times New Roman"/>
          <w:color w:val="000000"/>
          <w:sz w:val="20"/>
        </w:rPr>
        <w:t xml:space="preserve"> offer (within the meaning of Rule 164(h)(2) under the Securities Act) of the Securities and at the date hereof, the Company was not and is not an “ineligible issuer,” as defined in Rule 405 under the Securities Act (“</w:t>
      </w:r>
      <w:r>
        <w:rPr>
          <w:rFonts w:ascii="Times New Roman" w:hAnsi="Times New Roman"/>
          <w:b/>
          <w:color w:val="000000"/>
          <w:sz w:val="20"/>
        </w:rPr>
        <w:t>Rule 405</w:t>
      </w:r>
      <w:r>
        <w:rPr>
          <w:rFonts w:ascii="Times New Roman" w:hAnsi="Times New Roman"/>
          <w:color w:val="000000"/>
          <w:sz w:val="20"/>
        </w:rPr>
        <w:t xml:space="preserve">”), without taking account of any determination by the Commission pursuant to Rule 405 that it is not necessary that the Company be considered an ineligible issuer.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(v)</w:t>
      </w:r>
    </w:p>
    <w:p>
      <w:pPr>
        <w:pStyle w:val="TextBody"/>
        <w:bidi w:val="0"/>
        <w:spacing w:before="0" w:after="120"/>
        <w:jc w:val="both"/>
        <w:rPr>
          <w:rFonts w:ascii="Times New Roman" w:hAnsi="Times New Roman"/>
          <w:sz w:val="20"/>
        </w:rPr>
      </w:pPr>
      <w:r>
        <w:rPr>
          <w:rFonts w:ascii="Times New Roman" w:hAnsi="Times New Roman"/>
          <w:color w:val="000000"/>
          <w:sz w:val="20"/>
          <w:u w:val="single"/>
        </w:rPr>
        <w:t>Emerging Growth Company Status</w:t>
      </w:r>
      <w:r>
        <w:rPr>
          <w:rFonts w:ascii="Times New Roman" w:hAnsi="Times New Roman"/>
          <w:color w:val="000000"/>
          <w:sz w:val="20"/>
        </w:rPr>
        <w:t>. The Company is an “emerging growth company,” as defined in Section 2(a)(19) of the Securities Act (an “</w:t>
      </w:r>
      <w:r>
        <w:rPr>
          <w:rFonts w:ascii="Times New Roman" w:hAnsi="Times New Roman"/>
          <w:b/>
          <w:color w:val="000000"/>
          <w:sz w:val="20"/>
        </w:rPr>
        <w:t>Emerging Growth Company</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(vi)</w:t>
      </w:r>
    </w:p>
    <w:p>
      <w:pPr>
        <w:pStyle w:val="TextBody"/>
        <w:bidi w:val="0"/>
        <w:spacing w:before="0" w:after="120"/>
        <w:jc w:val="both"/>
        <w:rPr>
          <w:rFonts w:ascii="Times New Roman" w:hAnsi="Times New Roman"/>
          <w:sz w:val="20"/>
        </w:rPr>
      </w:pPr>
      <w:r>
        <w:rPr>
          <w:rFonts w:ascii="Times New Roman" w:hAnsi="Times New Roman"/>
          <w:color w:val="000000"/>
          <w:sz w:val="20"/>
          <w:u w:val="single"/>
        </w:rPr>
        <w:t>Independent Accountants</w:t>
      </w:r>
      <w:r>
        <w:rPr>
          <w:rFonts w:ascii="Times New Roman" w:hAnsi="Times New Roman"/>
          <w:color w:val="000000"/>
          <w:sz w:val="20"/>
        </w:rPr>
        <w:t xml:space="preserve">. The accountants who certified the financial statements and supporting schedules included in the Registration Statement, the General Disclosure Package and the Prospectus are independent public accountants as required by the Securities Act, the Exchange Act and the Public Company Accounting Oversight Board.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(vii)</w:t>
      </w:r>
    </w:p>
    <w:p>
      <w:pPr>
        <w:pStyle w:val="TextBody"/>
        <w:bidi w:val="0"/>
        <w:spacing w:before="0" w:after="120"/>
        <w:jc w:val="both"/>
        <w:rPr>
          <w:rFonts w:ascii="Times New Roman" w:hAnsi="Times New Roman"/>
          <w:sz w:val="20"/>
        </w:rPr>
      </w:pPr>
      <w:r>
        <w:rPr>
          <w:rFonts w:ascii="Times New Roman" w:hAnsi="Times New Roman"/>
          <w:color w:val="000000"/>
          <w:sz w:val="20"/>
          <w:u w:val="single"/>
        </w:rPr>
        <w:t>Financial Statements</w:t>
      </w:r>
      <w:r>
        <w:rPr>
          <w:rFonts w:ascii="Times New Roman" w:hAnsi="Times New Roman"/>
          <w:color w:val="000000"/>
          <w:sz w:val="20"/>
        </w:rPr>
        <w:t>. The financial statements included or incorporated by reference in the Registration Statement, the General Disclosure Package and the Prospectus, together with the related schedules and notes, present fairly in all material respects the financial position of the Company at the dates indicated and the results of their operations and the changes in the cash flows for the periods specified, and said financial statements have been prepared in conformity with U.S. generally accepted accounting principles (“</w:t>
      </w:r>
      <w:r>
        <w:rPr>
          <w:rFonts w:ascii="Times New Roman" w:hAnsi="Times New Roman"/>
          <w:b/>
          <w:color w:val="000000"/>
          <w:sz w:val="20"/>
        </w:rPr>
        <w:t>GAAP</w:t>
      </w:r>
      <w:r>
        <w:rPr>
          <w:rFonts w:ascii="Times New Roman" w:hAnsi="Times New Roman"/>
          <w:color w:val="000000"/>
          <w:sz w:val="20"/>
        </w:rPr>
        <w:t xml:space="preserve">”) applied on a consistent basis throughout the periods involved. The supporting schedules included in the Registration Statement, if any, present fairly in all material respects in accordance with GAAP the information required to be stated therein. No historical or pro forma financial statements or supporting schedules are required to be included in the Registration Statement, the General Disclosure Package or the Prospectus under the Securities Act that are not so included.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(viii)</w:t>
      </w:r>
    </w:p>
    <w:p>
      <w:pPr>
        <w:pStyle w:val="TextBody"/>
        <w:bidi w:val="0"/>
        <w:spacing w:before="0" w:after="120"/>
        <w:jc w:val="both"/>
        <w:rPr>
          <w:rFonts w:ascii="Times New Roman" w:hAnsi="Times New Roman"/>
          <w:sz w:val="20"/>
        </w:rPr>
      </w:pPr>
      <w:r>
        <w:rPr>
          <w:rFonts w:ascii="Times New Roman" w:hAnsi="Times New Roman"/>
          <w:color w:val="000000"/>
          <w:sz w:val="20"/>
          <w:u w:val="single"/>
        </w:rPr>
        <w:t>No Material Adverse Change in Business</w:t>
      </w:r>
      <w:r>
        <w:rPr>
          <w:rFonts w:ascii="Times New Roman" w:hAnsi="Times New Roman"/>
          <w:color w:val="000000"/>
          <w:sz w:val="20"/>
        </w:rPr>
        <w:t>. Since the respective dates as of which information is given in the Registration Statement, the General Disclosure Package or the Prospectus, except as disclosed in the Registration Statement, the General Disclosure Package or the Prospectus, (A) there has been no material adverse change in the condition, financial or otherwise, or in the earnings, business affairs or business prospects of the Company, whether or not arising in the ordinary course of business (a “</w:t>
      </w:r>
      <w:r>
        <w:rPr>
          <w:rFonts w:ascii="Times New Roman" w:hAnsi="Times New Roman"/>
          <w:b/>
          <w:color w:val="000000"/>
          <w:sz w:val="20"/>
        </w:rPr>
        <w:t>Material Adverse Effect</w:t>
      </w:r>
      <w:r>
        <w:rPr>
          <w:rFonts w:ascii="Times New Roman" w:hAnsi="Times New Roman"/>
          <w:color w:val="000000"/>
          <w:sz w:val="20"/>
        </w:rPr>
        <w:t xml:space="preserve">”), (B) there have been no transactions entered into by the Company, other than those in the ordinary course of business, which are material with respect to the Company, and (C) there has been no dividend or distribution of any kind declared, paid or made by the Company on any class of its capital stock.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(ix)</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jc w:val="both"/>
        <w:rPr/>
      </w:pPr>
      <w:r>
        <w:rPr>
          <w:rFonts w:ascii="Times New Roman" w:hAnsi="Times New Roman"/>
          <w:color w:val="000000"/>
          <w:sz w:val="20"/>
          <w:u w:val="single"/>
        </w:rPr>
        <w:t>Good Standing of the Company</w:t>
      </w:r>
      <w:r>
        <w:rPr>
          <w:rFonts w:ascii="Times New Roman" w:hAnsi="Times New Roman"/>
          <w:color w:val="000000"/>
          <w:sz w:val="20"/>
        </w:rPr>
        <w:t xml:space="preserve">. The Company has been duly organized and is validly existing as a corporation in good standing under the laws of the State of Maryland and has corporate power and authority to own, lease and operate its properties and to conduct its business as described in the Registration Statement, the General Disclosure Package and the Prospectus, to perform its obligations under the Investment Advisory Agreement and the Administration Agreement, and to enter into and perform its obligations under this Agreement; and the Company is duly qualified as a foreign corporation to transact business and is in good standing in each other jurisdiction in which such qualification is required, whether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by reason of the ownership or leasing of property or the conduct of business, except where the failure so to qualify or to be in good standing would not reasonably be expected to result in a Material Adverse Effect.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(x)</w:t>
      </w:r>
    </w:p>
    <w:p>
      <w:pPr>
        <w:pStyle w:val="TextBody"/>
        <w:bidi w:val="0"/>
        <w:spacing w:before="0" w:after="120"/>
        <w:jc w:val="both"/>
        <w:rPr>
          <w:rFonts w:ascii="Times New Roman" w:hAnsi="Times New Roman"/>
          <w:sz w:val="20"/>
        </w:rPr>
      </w:pPr>
      <w:r>
        <w:rPr>
          <w:rFonts w:ascii="Times New Roman" w:hAnsi="Times New Roman"/>
          <w:color w:val="000000"/>
          <w:sz w:val="20"/>
          <w:u w:val="single"/>
        </w:rPr>
        <w:t>No Significant Subsidiaries of the Company; Portfolio Companies</w:t>
      </w:r>
      <w:r>
        <w:rPr>
          <w:rFonts w:ascii="Times New Roman" w:hAnsi="Times New Roman"/>
          <w:color w:val="000000"/>
          <w:sz w:val="20"/>
        </w:rPr>
        <w:t>. The Company does not own any significant subsidiaries, as defined in Rule 1-02(w) of Regulation S-X, that are consolidated with the Company for financial reporting purposes under GAAP as of the date hereof. Except for any investments made in the ordinary course of business since the most recent quarter-end, the Company does not own, directly or indirectly, any investments or shares of stock or any other equity or long-term debt securities of any corporation or other entity other than those corporations or other entities described in the Registration Statement, the General Disclosure Package and the Prospectus (each, a “</w:t>
      </w:r>
      <w:r>
        <w:rPr>
          <w:rFonts w:ascii="Times New Roman" w:hAnsi="Times New Roman"/>
          <w:b/>
          <w:color w:val="000000"/>
          <w:sz w:val="20"/>
        </w:rPr>
        <w:t>Portfolio Company</w:t>
      </w:r>
      <w:r>
        <w:rPr>
          <w:rFonts w:ascii="Times New Roman" w:hAnsi="Times New Roman"/>
          <w:color w:val="000000"/>
          <w:sz w:val="20"/>
        </w:rPr>
        <w:t>” and collectively, the “</w:t>
      </w:r>
      <w:r>
        <w:rPr>
          <w:rFonts w:ascii="Times New Roman" w:hAnsi="Times New Roman"/>
          <w:b/>
          <w:color w:val="000000"/>
          <w:sz w:val="20"/>
        </w:rPr>
        <w:t>Portfolio Companies</w:t>
      </w:r>
      <w:r>
        <w:rPr>
          <w:rFonts w:ascii="Times New Roman" w:hAnsi="Times New Roman"/>
          <w:color w:val="000000"/>
          <w:sz w:val="20"/>
        </w:rPr>
        <w:t>”) as of the date hereof. Except as otherwise disclosed in the Registration Statement, the General Disclosure Package and the Prospectus, the Company does not control (as defined in Section 2(a)(9) of the Investment Company Act of 1940, as amended (the “</w:t>
      </w:r>
      <w:r>
        <w:rPr>
          <w:rFonts w:ascii="Times New Roman" w:hAnsi="Times New Roman"/>
          <w:b/>
          <w:color w:val="000000"/>
          <w:sz w:val="20"/>
        </w:rPr>
        <w:t>1940 Act</w:t>
      </w:r>
      <w:r>
        <w:rPr>
          <w:rFonts w:ascii="Times New Roman" w:hAnsi="Times New Roman"/>
          <w:color w:val="000000"/>
          <w:sz w:val="20"/>
        </w:rPr>
        <w:t xml:space="preserve">”)) any of the Portfolio Companies or any corporation or other entity in which it invested since the most recent quarter-end.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(xi)</w:t>
      </w:r>
    </w:p>
    <w:p>
      <w:pPr>
        <w:pStyle w:val="TextBody"/>
        <w:bidi w:val="0"/>
        <w:spacing w:before="0" w:after="120"/>
        <w:jc w:val="both"/>
        <w:rPr>
          <w:rFonts w:ascii="Times New Roman" w:hAnsi="Times New Roman"/>
          <w:sz w:val="20"/>
        </w:rPr>
      </w:pPr>
      <w:r>
        <w:rPr>
          <w:rFonts w:ascii="Times New Roman" w:hAnsi="Times New Roman"/>
          <w:color w:val="000000"/>
          <w:sz w:val="20"/>
          <w:u w:val="single"/>
        </w:rPr>
        <w:t>Capitalization</w:t>
      </w:r>
      <w:r>
        <w:rPr>
          <w:rFonts w:ascii="Times New Roman" w:hAnsi="Times New Roman"/>
          <w:color w:val="000000"/>
          <w:sz w:val="20"/>
        </w:rPr>
        <w:t xml:space="preserve">. The authorized, issued and outstanding shares of capital stock of the Company are as set forth in the Registration Statement, the General Disclosure Package and the Prospectus in the column entitled “Actual” under the caption “Capitalization.” The outstanding shares of capital stock of the Company have been duly authorized and validly issued and are fully paid and non-assessable. None of the outstanding shares of capital stock of the Company were issued in violation of the preemptive or other similar rights of any securityholder of the Company.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(xii)</w:t>
      </w:r>
    </w:p>
    <w:p>
      <w:pPr>
        <w:pStyle w:val="TextBody"/>
        <w:bidi w:val="0"/>
        <w:spacing w:before="0" w:after="120"/>
        <w:jc w:val="both"/>
        <w:rPr>
          <w:rFonts w:ascii="Times New Roman" w:hAnsi="Times New Roman"/>
          <w:sz w:val="20"/>
        </w:rPr>
      </w:pPr>
      <w:r>
        <w:rPr>
          <w:rFonts w:ascii="Times New Roman" w:hAnsi="Times New Roman"/>
          <w:color w:val="000000"/>
          <w:sz w:val="20"/>
          <w:u w:val="single"/>
        </w:rPr>
        <w:t>Authorization of Agreements</w:t>
      </w:r>
      <w:r>
        <w:rPr>
          <w:rFonts w:ascii="Times New Roman" w:hAnsi="Times New Roman"/>
          <w:color w:val="000000"/>
          <w:sz w:val="20"/>
        </w:rPr>
        <w:t xml:space="preserve">. This Agreement, the Investment Advisory Agreement and the Administration Agreement have each been duly authorized, executed and delivered by the Company. This Agreement, the Investment Advisory Agreement and the Administration Agreement are each valid and binding obligations of the Company, enforceable against the Company in accordance with their terms, except as the enforcement thereof may be subject to (A) bankruptcy, insolvency, reorganization, moratorium or other similar laws now or thereafter in effect relating to creditors’ rights generally and (B) general principles of equity and the discretion of the court before which any proceeding therefor may be brought.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(xiii)</w:t>
      </w:r>
    </w:p>
    <w:p>
      <w:pPr>
        <w:pStyle w:val="TextBody"/>
        <w:bidi w:val="0"/>
        <w:spacing w:before="0" w:after="120"/>
        <w:jc w:val="both"/>
        <w:rPr>
          <w:rFonts w:ascii="Times New Roman" w:hAnsi="Times New Roman"/>
          <w:sz w:val="20"/>
        </w:rPr>
      </w:pPr>
      <w:r>
        <w:rPr>
          <w:rFonts w:ascii="Times New Roman" w:hAnsi="Times New Roman"/>
          <w:color w:val="000000"/>
          <w:sz w:val="20"/>
          <w:u w:val="single"/>
        </w:rPr>
        <w:t>Authorization of Base Indenture</w:t>
      </w:r>
      <w:r>
        <w:rPr>
          <w:rFonts w:ascii="Times New Roman" w:hAnsi="Times New Roman"/>
          <w:color w:val="000000"/>
          <w:sz w:val="20"/>
        </w:rPr>
        <w:t>. The Base Indenture has been duly authorized, executed and delivered by the Company and constitutes a valid and binding obligation of the Company, enforceable against the Company in accordance with its terms, except as the enforcement thereof may be subject to (A) bankruptcy, insolvency, reorganization, moratorium or other similar laws now or thereafter in effect relating to creditors’ rights generally and (B) general principles of equity and the discretion of the court before which any proceeding therefor may be brought.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(xiv)</w:t>
      </w:r>
    </w:p>
    <w:p>
      <w:pPr>
        <w:pStyle w:val="TextBody"/>
        <w:bidi w:val="0"/>
        <w:spacing w:before="0" w:after="120"/>
        <w:jc w:val="both"/>
        <w:rPr>
          <w:rFonts w:ascii="Times New Roman" w:hAnsi="Times New Roman"/>
          <w:sz w:val="20"/>
        </w:rPr>
      </w:pPr>
      <w:r>
        <w:rPr>
          <w:rFonts w:ascii="Times New Roman" w:hAnsi="Times New Roman"/>
          <w:color w:val="000000"/>
          <w:sz w:val="20"/>
          <w:u w:val="single"/>
        </w:rPr>
        <w:t>Authorization of Fifth Supplemental Indenture</w:t>
      </w:r>
      <w:r>
        <w:rPr>
          <w:rFonts w:ascii="Times New Roman" w:hAnsi="Times New Roman"/>
          <w:color w:val="000000"/>
          <w:sz w:val="20"/>
        </w:rPr>
        <w:t>. The Fifth Supplemental Indenture has been duly authorized by the Company and at the Closing Date will be executed and delivered by the Company, and when executed and delivered by both of the Company and the Trustee will constitute a valid and binding obligation of the Company, enforceable against the Company in accordance with its terms, except as the enforcement thereof may be subject to (A) bankruptcy, insolvency, reorganization, moratorium or other similar laws now or thereafter in effect relating to creditors’ rights generally and (B) general principles of equity and the discretion of the court before which any proceeding therefor may be brought.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(xv)</w:t>
      </w:r>
    </w:p>
    <w:p>
      <w:pPr>
        <w:pStyle w:val="TextBody"/>
        <w:bidi w:val="0"/>
        <w:spacing w:before="0" w:after="120"/>
        <w:jc w:val="both"/>
        <w:rPr>
          <w:rFonts w:ascii="Times New Roman" w:hAnsi="Times New Roman"/>
          <w:sz w:val="20"/>
        </w:rPr>
      </w:pPr>
      <w:r>
        <w:rPr>
          <w:rFonts w:ascii="Times New Roman" w:hAnsi="Times New Roman"/>
          <w:color w:val="000000"/>
          <w:sz w:val="20"/>
          <w:u w:val="single"/>
        </w:rPr>
        <w:t>Authorization of DTC Agreement</w:t>
      </w:r>
      <w:r>
        <w:rPr>
          <w:rFonts w:ascii="Times New Roman" w:hAnsi="Times New Roman"/>
          <w:color w:val="000000"/>
          <w:sz w:val="20"/>
        </w:rPr>
        <w:t xml:space="preserve">. The DTC Agreement has been duly authorized, executed and delivered by the Company and constitutes a valid and binding obligation of the Company, enforceable against the Company in accordance with its terms, except as the enforcement thereof may be subject to (A) bankruptcy, insolvency, reorganization, moratorium or other similar laws now or thereafter in effect relating to creditors’ rights generally and (B) general principles of equity and the discretion of the court before which any proceeding therefor may be brought.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(xvi)</w:t>
      </w:r>
    </w:p>
    <w:p>
      <w:pPr>
        <w:pStyle w:val="TextBody"/>
        <w:bidi w:val="0"/>
        <w:spacing w:before="0" w:after="120"/>
        <w:jc w:val="both"/>
        <w:rPr>
          <w:rFonts w:ascii="Times New Roman" w:hAnsi="Times New Roman"/>
          <w:sz w:val="20"/>
        </w:rPr>
      </w:pPr>
      <w:r>
        <w:rPr>
          <w:rFonts w:ascii="Times New Roman" w:hAnsi="Times New Roman"/>
          <w:color w:val="000000"/>
          <w:sz w:val="20"/>
          <w:u w:val="single"/>
        </w:rPr>
        <w:t>Qualification of Base Indenture</w:t>
      </w:r>
      <w:r>
        <w:rPr>
          <w:rFonts w:ascii="Times New Roman" w:hAnsi="Times New Roman"/>
          <w:color w:val="000000"/>
          <w:sz w:val="20"/>
        </w:rPr>
        <w:t>. The Base Indenture has been duly qualified under the Trust Indenture Act of 1939, as amended.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(xvii)</w:t>
      </w:r>
    </w:p>
    <w:p>
      <w:pPr>
        <w:pStyle w:val="TextBody"/>
        <w:bidi w:val="0"/>
        <w:spacing w:before="0" w:after="120"/>
        <w:jc w:val="both"/>
        <w:rPr>
          <w:rFonts w:ascii="Times New Roman" w:hAnsi="Times New Roman"/>
          <w:sz w:val="20"/>
        </w:rPr>
      </w:pPr>
      <w:r>
        <w:rPr>
          <w:rFonts w:ascii="Times New Roman" w:hAnsi="Times New Roman"/>
          <w:color w:val="000000"/>
          <w:sz w:val="20"/>
          <w:u w:val="single"/>
        </w:rPr>
        <w:t>Registration Rights</w:t>
      </w:r>
      <w:r>
        <w:rPr>
          <w:rFonts w:ascii="Times New Roman" w:hAnsi="Times New Roman"/>
          <w:color w:val="000000"/>
          <w:sz w:val="20"/>
        </w:rPr>
        <w:t>. No person has the right to require the Company to register any securities for sale under the Securities Act by reason of the filing of the Registration Statement with the Commission or the issuance and sale of the Securities.</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(xviii)</w:t>
      </w:r>
    </w:p>
    <w:p>
      <w:pPr>
        <w:pStyle w:val="TextBody"/>
        <w:bidi w:val="0"/>
        <w:spacing w:before="120" w:after="120"/>
        <w:jc w:val="both"/>
        <w:rPr>
          <w:rFonts w:ascii="Times New Roman" w:hAnsi="Times New Roman"/>
          <w:sz w:val="20"/>
        </w:rPr>
      </w:pPr>
      <w:r>
        <w:rPr>
          <w:rFonts w:ascii="Times New Roman" w:hAnsi="Times New Roman"/>
          <w:color w:val="000000"/>
          <w:sz w:val="20"/>
          <w:u w:val="single"/>
        </w:rPr>
        <w:t>Absence of Violations, Defaults and Conflicts</w:t>
      </w:r>
      <w:r>
        <w:rPr>
          <w:rFonts w:ascii="Times New Roman" w:hAnsi="Times New Roman"/>
          <w:color w:val="000000"/>
          <w:sz w:val="20"/>
        </w:rPr>
        <w:t>. The Company is not (A) in violation of its charter or bylaws, each as amended or supplemented as of the date of this Agreement and the Closing Date, as applicable, (B) in default in the performance or observance of any obligation, agreement, covenant or condition contained in any contract, indenture, mortgage, deed of trust, loan or credit agreement, note, lease or other agreement or instrument to which the Company is a party or by which it may be bound or to which any of the properties or assets of the Company is subject (collectively, “</w:t>
      </w:r>
      <w:r>
        <w:rPr>
          <w:rFonts w:ascii="Times New Roman" w:hAnsi="Times New Roman"/>
          <w:b/>
          <w:color w:val="000000"/>
          <w:sz w:val="20"/>
        </w:rPr>
        <w:t>Agreements and Instruments</w:t>
      </w:r>
      <w:r>
        <w:rPr>
          <w:rFonts w:ascii="Times New Roman" w:hAnsi="Times New Roman"/>
          <w:color w:val="000000"/>
          <w:sz w:val="20"/>
        </w:rPr>
        <w:t>”), except for such defaults that would not reasonably be expected, singly or in the aggregate, to result in a Material Adverse Effect, or (C) in violation of any law, statute, rule, regulation, judgment, order, writ or decree of any arbitrator, court, governmental body, regulatory body, administrative agency or other authority, body or agency having jurisdiction over the Company or any of its respective properties, assets or operations (each, a “</w:t>
      </w:r>
      <w:r>
        <w:rPr>
          <w:rFonts w:ascii="Times New Roman" w:hAnsi="Times New Roman"/>
          <w:b/>
          <w:color w:val="000000"/>
          <w:sz w:val="20"/>
        </w:rPr>
        <w:t>Governmental Entity</w:t>
      </w:r>
      <w:r>
        <w:rPr>
          <w:rFonts w:ascii="Times New Roman" w:hAnsi="Times New Roman"/>
          <w:color w:val="000000"/>
          <w:sz w:val="20"/>
        </w:rPr>
        <w:t>”), except for such violations that would not reasonably be expected, singly or in the aggregate, to result in a Material Adverse Effect. The execution, delivery and performance of this Agreement, the Investment Advisory Agreement, the Administration Agreement, and the consummation of the transactions contemplated herein and therein and in the Registration Statement, the General Disclosure Package and the Prospectus (including the issuance and sale of the Securities and the use of the proceeds from the sale of the Securities as described in the General Disclosure Package and the Prospectus under the caption “Use of Proceeds”) and compliance by the Company with its obligations hereunder and thereunder have been duly authorized by all necessary corporate action and do not and will not, whether with or without the giving of notice or passage of time or both, conflict with or constitute a breach of, or default or Repayment Event (as defined below) under, or result in the creation or imposition of any lien, charge or encumbrance upon any properties or assets of the Company pursuant to, the Agreements and Instruments (except for such conflicts, breaches, defaults or Repayment Events or liens, charges or encumbrances that would not reasonably be expected, singly or in the aggregate, to result in a Material Adverse Effect), nor will such action result in any violation of the provisions of (1) the charter or bylaws of the Company, each as amended or supplemented as of the date of this Agreement and the Closing Date, as applicable, or (2) any law, statute, rule, regulation, judgment, order, writ or decree of any Governmental Entity, except, in the case of (2) above, any violation that would not reasonably be expected, singly or in the aggregate, to result in a Material Adverse Effect. As used herein, a “</w:t>
      </w:r>
      <w:r>
        <w:rPr>
          <w:rFonts w:ascii="Times New Roman" w:hAnsi="Times New Roman"/>
          <w:b/>
          <w:color w:val="000000"/>
          <w:sz w:val="20"/>
        </w:rPr>
        <w:t>Repayment Event</w:t>
      </w:r>
      <w:r>
        <w:rPr>
          <w:rFonts w:ascii="Times New Roman" w:hAnsi="Times New Roman"/>
          <w:color w:val="000000"/>
          <w:sz w:val="20"/>
        </w:rPr>
        <w:t xml:space="preserve">” means any event or condition which gives the holder of any note, debenture or other evidence of indebtedness (or any person acting on such holder’s behalf) the right to require the repurchase, redemption or repayment of all or a portion of such indebtedness by the Company.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(xix)</w:t>
      </w:r>
    </w:p>
    <w:p>
      <w:pPr>
        <w:pStyle w:val="TextBody"/>
        <w:bidi w:val="0"/>
        <w:spacing w:before="0" w:after="120"/>
        <w:jc w:val="both"/>
        <w:rPr>
          <w:rFonts w:ascii="Times New Roman" w:hAnsi="Times New Roman"/>
          <w:sz w:val="20"/>
        </w:rPr>
      </w:pPr>
      <w:r>
        <w:rPr>
          <w:rFonts w:ascii="Times New Roman" w:hAnsi="Times New Roman"/>
          <w:color w:val="000000"/>
          <w:sz w:val="20"/>
          <w:u w:val="single"/>
        </w:rPr>
        <w:t>Employees</w:t>
      </w:r>
      <w:r>
        <w:rPr>
          <w:rFonts w:ascii="Times New Roman" w:hAnsi="Times New Roman"/>
          <w:color w:val="000000"/>
          <w:sz w:val="20"/>
        </w:rPr>
        <w:t xml:space="preserve">. As of the date hereof, the Company does not have, and as of the Closing Date the Company will not have, any employees.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(xx)</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jc w:val="both"/>
        <w:rPr/>
      </w:pPr>
      <w:r>
        <w:rPr>
          <w:rFonts w:ascii="Times New Roman" w:hAnsi="Times New Roman"/>
          <w:color w:val="000000"/>
          <w:sz w:val="20"/>
          <w:u w:val="single"/>
        </w:rPr>
        <w:t>Absence of Proceedings</w:t>
      </w:r>
      <w:r>
        <w:rPr>
          <w:rFonts w:ascii="Times New Roman" w:hAnsi="Times New Roman"/>
          <w:color w:val="000000"/>
          <w:sz w:val="20"/>
        </w:rPr>
        <w:t>. Except as disclosed in the Registration Statement, the General Disclosure Package and the Prospectus, there is no action, suit, proceeding or, to the knowledge of the Company, inquiry or investigation before or brought by any Governmental Entity now pending or, to the knowledge of the Company, threatened, against or affecting the Company, which would reasonably be expected to result in a Material Adverse Effect or which would reasonably be expected to materially and adversely affect the properties or assets of the Company, the consummation of the transactions contemplated in this Agreement, the Investment Advisory</w:t>
      </w:r>
      <w:r>
        <w:rPr>
          <w:color w:val="000000"/>
        </w:rPr>
        <w:t xml:space="preserve"> </w:t>
      </w:r>
      <w:r>
        <w:rPr>
          <w:rFonts w:ascii="Times New Roman" w:hAnsi="Times New Roman"/>
          <w:color w:val="000000"/>
          <w:sz w:val="20"/>
        </w:rPr>
        <w:t xml:space="preserve">Agreement, or the Administration Agreement, or the performance by the Company of its obligations hereunder or thereunder; and the aggregate of all pending legal or governmental proceedings to which the Company is a party or of which any of its properties or assets is the subject which are not described in the Registration Statement, the General Disclosure Package and the Prospectus, including ordinary routine litigation incidental to the business of the Company, would not reasonably be expected to result in a Material Adverse Effect.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both"/>
        <w:rPr>
          <w:rFonts w:ascii="Times New Roman" w:hAnsi="Times New Roman"/>
          <w:color w:val="000000"/>
          <w:sz w:val="20"/>
        </w:rPr>
      </w:pPr>
      <w:r>
        <w:rPr>
          <w:rFonts w:ascii="Times New Roman" w:hAnsi="Times New Roman"/>
          <w:color w:val="000000"/>
          <w:sz w:val="20"/>
        </w:rPr>
        <w:t>(xxi)</w:t>
      </w:r>
    </w:p>
    <w:p>
      <w:pPr>
        <w:pStyle w:val="TextBody"/>
        <w:bidi w:val="0"/>
        <w:spacing w:before="0" w:after="120"/>
        <w:jc w:val="both"/>
        <w:rPr>
          <w:rFonts w:ascii="Times New Roman" w:hAnsi="Times New Roman"/>
          <w:sz w:val="20"/>
        </w:rPr>
      </w:pPr>
      <w:r>
        <w:rPr>
          <w:rFonts w:ascii="Times New Roman" w:hAnsi="Times New Roman"/>
          <w:color w:val="000000"/>
          <w:sz w:val="20"/>
          <w:u w:val="single"/>
        </w:rPr>
        <w:t>Exchange Act Compliance</w:t>
      </w:r>
      <w:r>
        <w:rPr>
          <w:rFonts w:ascii="Times New Roman" w:hAnsi="Times New Roman"/>
          <w:color w:val="000000"/>
          <w:sz w:val="20"/>
        </w:rPr>
        <w:t>. The Company is subject to and in compliance in all material respects with the reporting requirements of Section 13 and Section 15(d) of the Exchange Act, and has timely filed all reports required to be filed pursuant to Sections 13(a) and 15(d) of the Exchange Act during the preceding twelve (12) months.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(xxii)</w:t>
      </w:r>
    </w:p>
    <w:p>
      <w:pPr>
        <w:pStyle w:val="TextBody"/>
        <w:bidi w:val="0"/>
        <w:spacing w:before="0" w:after="120"/>
        <w:jc w:val="both"/>
        <w:rPr>
          <w:rFonts w:ascii="Times New Roman" w:hAnsi="Times New Roman"/>
          <w:sz w:val="20"/>
        </w:rPr>
      </w:pPr>
      <w:r>
        <w:rPr>
          <w:rFonts w:ascii="Times New Roman" w:hAnsi="Times New Roman"/>
          <w:color w:val="000000"/>
          <w:sz w:val="20"/>
          <w:u w:val="single"/>
        </w:rPr>
        <w:t>Accuracy of Exhibits</w:t>
      </w:r>
      <w:r>
        <w:rPr>
          <w:rFonts w:ascii="Times New Roman" w:hAnsi="Times New Roman"/>
          <w:color w:val="000000"/>
          <w:sz w:val="20"/>
        </w:rPr>
        <w:t xml:space="preserve">. There are no contracts or documents that are required to be described in the Registration Statement, the General Disclosure Package or the Prospectus or to be filed as exhibits to the Registration Statement that have not been so described and filed as required.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(xxiii)</w:t>
      </w:r>
    </w:p>
    <w:p>
      <w:pPr>
        <w:pStyle w:val="TextBody"/>
        <w:bidi w:val="0"/>
        <w:spacing w:before="0" w:after="120"/>
        <w:jc w:val="both"/>
        <w:rPr>
          <w:rFonts w:ascii="Times New Roman" w:hAnsi="Times New Roman"/>
          <w:sz w:val="20"/>
        </w:rPr>
      </w:pPr>
      <w:r>
        <w:rPr>
          <w:rFonts w:ascii="Times New Roman" w:hAnsi="Times New Roman"/>
          <w:color w:val="000000"/>
          <w:sz w:val="20"/>
          <w:u w:val="single"/>
        </w:rPr>
        <w:t>Absence of Further Requirements</w:t>
      </w:r>
      <w:r>
        <w:rPr>
          <w:rFonts w:ascii="Times New Roman" w:hAnsi="Times New Roman"/>
          <w:color w:val="000000"/>
          <w:sz w:val="20"/>
        </w:rPr>
        <w:t xml:space="preserve">. No filing with, or authorization, approval, consent, license, order, registration, qualification or decree of, any Governmental Entity is necessary or required for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20"/>
        <w:jc w:val="both"/>
        <w:rPr>
          <w:rFonts w:ascii="Times New Roman" w:hAnsi="Times New Roman"/>
          <w:sz w:val="20"/>
        </w:rPr>
      </w:pPr>
      <w:r>
        <w:rPr>
          <w:rFonts w:ascii="Times New Roman" w:hAnsi="Times New Roman"/>
          <w:color w:val="000000"/>
          <w:sz w:val="20"/>
        </w:rPr>
        <w:t>the performance by the Company of its obligations hereunder, in connection with the offering, issuance or sale of the Securities hereunder, or to effectuate the consummation of the transactions contemplated by this Agreement, except (A) such as have been already obtained or as may be required under the Securities Act, the 1940 Act, the rules of the NASDAQ Global Select Market, state securities laws or the rules of the Financial Industry Regulatory Authority, Inc. (“</w:t>
      </w:r>
      <w:r>
        <w:rPr>
          <w:rFonts w:ascii="Times New Roman" w:hAnsi="Times New Roman"/>
          <w:b/>
          <w:color w:val="000000"/>
          <w:sz w:val="20"/>
        </w:rPr>
        <w:t>FINRA</w:t>
      </w:r>
      <w:r>
        <w:rPr>
          <w:rFonts w:ascii="Times New Roman" w:hAnsi="Times New Roman"/>
          <w:color w:val="000000"/>
          <w:sz w:val="20"/>
        </w:rPr>
        <w:t xml:space="preserve">”) and (B) where the failure to obtain any such filing, authorization, approval, consent, license, order, registration, qualification or decree would not reasonably be expected, singly or in the aggregate, to have a Material Adverse Effect.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(xxiv)</w:t>
      </w:r>
    </w:p>
    <w:p>
      <w:pPr>
        <w:pStyle w:val="TextBody"/>
        <w:bidi w:val="0"/>
        <w:spacing w:before="0" w:after="120"/>
        <w:jc w:val="both"/>
        <w:rPr>
          <w:rFonts w:ascii="Times New Roman" w:hAnsi="Times New Roman"/>
          <w:sz w:val="20"/>
        </w:rPr>
      </w:pPr>
      <w:r>
        <w:rPr>
          <w:rFonts w:ascii="Times New Roman" w:hAnsi="Times New Roman"/>
          <w:color w:val="000000"/>
          <w:sz w:val="20"/>
          <w:u w:val="single"/>
        </w:rPr>
        <w:t>Possession of Licenses and Permits</w:t>
      </w:r>
      <w:r>
        <w:rPr>
          <w:rFonts w:ascii="Times New Roman" w:hAnsi="Times New Roman"/>
          <w:color w:val="000000"/>
          <w:sz w:val="20"/>
        </w:rPr>
        <w:t>. The Company possesses such permits, licenses, approvals, consents and other authorizations (collectively, “</w:t>
      </w:r>
      <w:r>
        <w:rPr>
          <w:rFonts w:ascii="Times New Roman" w:hAnsi="Times New Roman"/>
          <w:b/>
          <w:color w:val="000000"/>
          <w:sz w:val="20"/>
        </w:rPr>
        <w:t>Governmental Licenses</w:t>
      </w:r>
      <w:r>
        <w:rPr>
          <w:rFonts w:ascii="Times New Roman" w:hAnsi="Times New Roman"/>
          <w:color w:val="000000"/>
          <w:sz w:val="20"/>
        </w:rPr>
        <w:t xml:space="preserve">”) issued by the appropriate Governmental Entities necessary to conduct the business now operated by the Company, except where the failure so to possess would not reasonably be expected, singly or in the aggregate, to result in a Material Adverse Effect. The Company is in compliance with the terms and conditions of all Governmental Licenses, except where the failure so to comply would not reasonably be expected, singly or in the aggregate, to result in a Material Adverse Effect. All of the Governmental Licenses are valid and in full force and effect, except when the invalidity of such Governmental Licenses or the failure of such Governmental Licenses to be in full force and effect would not reasonably be expected, singly or in the aggregate, to result in a Material Adverse Effect. The Company has not received any notice of proceedings relating to the revocation or modification of any Governmental Licenses which, singly or in the aggregate, if the subject of an unfavorable decision, ruling or finding, would reasonably be expected to result in a Material Adverse Effect.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(xxv)</w:t>
      </w:r>
    </w:p>
    <w:p>
      <w:pPr>
        <w:pStyle w:val="TextBody"/>
        <w:bidi w:val="0"/>
        <w:spacing w:before="0" w:after="120"/>
        <w:jc w:val="both"/>
        <w:rPr>
          <w:rFonts w:ascii="Times New Roman" w:hAnsi="Times New Roman"/>
          <w:sz w:val="20"/>
        </w:rPr>
      </w:pPr>
      <w:r>
        <w:rPr>
          <w:rFonts w:ascii="Times New Roman" w:hAnsi="Times New Roman"/>
          <w:color w:val="000000"/>
          <w:sz w:val="20"/>
          <w:u w:val="single"/>
        </w:rPr>
        <w:t>Title to Property</w:t>
      </w:r>
      <w:r>
        <w:rPr>
          <w:rFonts w:ascii="Times New Roman" w:hAnsi="Times New Roman"/>
          <w:color w:val="000000"/>
          <w:sz w:val="20"/>
        </w:rPr>
        <w:t xml:space="preserve">. The Company does not own any real property. Any leases and subleases material to the business of the Company, and under which the Company holds properties, if any, are in full force and effect, and the Company has not received any notice of any material claim of any sort that has been asserted by anyone adverse to the rights of the Company under any of the foregoing leases or subleases, or affecting or questioning the rights of the Company to the continued possession of the leased or subleased premises under any such lease or sublease that, singly or in the aggregate, would reasonably be expected to result in a Material Adverse Effect.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(xxvi)</w:t>
      </w:r>
    </w:p>
    <w:p>
      <w:pPr>
        <w:pStyle w:val="TextBody"/>
        <w:bidi w:val="0"/>
        <w:spacing w:before="0" w:after="120"/>
        <w:jc w:val="both"/>
        <w:rPr>
          <w:rFonts w:ascii="Times New Roman" w:hAnsi="Times New Roman"/>
          <w:sz w:val="20"/>
        </w:rPr>
      </w:pPr>
      <w:r>
        <w:rPr>
          <w:rFonts w:ascii="Times New Roman" w:hAnsi="Times New Roman"/>
          <w:color w:val="000000"/>
          <w:sz w:val="20"/>
          <w:u w:val="single"/>
        </w:rPr>
        <w:t>Possession of Intellectual Property</w:t>
      </w:r>
      <w:r>
        <w:rPr>
          <w:rFonts w:ascii="Times New Roman" w:hAnsi="Times New Roman"/>
          <w:color w:val="000000"/>
          <w:sz w:val="20"/>
        </w:rPr>
        <w:t>. Except as would not reasonably be expected, singly or in the aggregate, to result in a Material Adverse Effect, the Company owns or possesses, or can acquire on reasonable terms, adequate patents, patent rights, licenses, inventions, copyrights, know-how (including trade secrets and other unpatented and/or unpatentable proprietary or confidential information, systems or procedures), trademarks, service marks, trade names or other intellectual property (collectively, “</w:t>
      </w:r>
      <w:r>
        <w:rPr>
          <w:rFonts w:ascii="Times New Roman" w:hAnsi="Times New Roman"/>
          <w:b/>
          <w:color w:val="000000"/>
          <w:sz w:val="20"/>
        </w:rPr>
        <w:t>Intellectual Property</w:t>
      </w:r>
      <w:r>
        <w:rPr>
          <w:rFonts w:ascii="Times New Roman" w:hAnsi="Times New Roman"/>
          <w:color w:val="000000"/>
          <w:sz w:val="20"/>
        </w:rPr>
        <w:t xml:space="preserve">”) necessary to carry on the business now operated by the Company, and the Company has not received any notice or is otherwise aware of any infringement of or conflict with asserted rights of others with respect to any Intellectual Property or of any facts or circumstances which would render any Intellectual Property invalid or inadequate to protect the interest of the Company therein, and which infringement or conflict (if the subject of any unfavorable decision, ruling or finding) or invalidity or inadequacy, singly or in the aggregate, would reasonably be expected to result in a Material Adverse Effect.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(xxvii)</w:t>
      </w:r>
    </w:p>
    <w:p>
      <w:pPr>
        <w:pStyle w:val="TextBody"/>
        <w:bidi w:val="0"/>
        <w:spacing w:before="0" w:after="120"/>
        <w:jc w:val="both"/>
        <w:rPr>
          <w:rFonts w:ascii="Times New Roman" w:hAnsi="Times New Roman"/>
          <w:sz w:val="20"/>
        </w:rPr>
      </w:pPr>
      <w:r>
        <w:rPr>
          <w:rFonts w:ascii="Times New Roman" w:hAnsi="Times New Roman"/>
          <w:color w:val="000000"/>
          <w:sz w:val="20"/>
          <w:u w:val="single"/>
        </w:rPr>
        <w:t>Accounting Controls</w:t>
      </w:r>
      <w:r>
        <w:rPr>
          <w:rFonts w:ascii="Times New Roman" w:hAnsi="Times New Roman"/>
          <w:color w:val="000000"/>
          <w:sz w:val="20"/>
        </w:rPr>
        <w:t xml:space="preserve">. The Company maintains a system of internal control over financial reporting (as defined in Rules 13a-15(f) and 15d-15(f) under the Exchange Act) and a system of internal accounting controls sufficient to provide reasonable assurances that (A) transactions are executed in accordance with management’s general or specific authorization, (B) transactions are recorded as necessary to permit preparation of financial statements in conformity with GAAP and to maintain accountability for assets, (C) access to the Company’s consolidated assets is permitted only in accordance with management’s general or specific authorization, and (D) the recorded accountability for assets is compared with the existing assets at reasonable intervals and appropriate action is taken with respect to any differences. Except as described in the Registration Statement, the General Disclosure Package and the Prospectus, since the end of the Company’s most recent audited fiscal year, there has been (1) no material weakness in the Company’s internal control over financial reporting (whether or not remediated) and (2) no change in the Company’s internal control over financial reporting that has materially affected, or is reasonably likely to materially affect, the Company’s internal control over financial reporting (it being understood that the Company is newly required to comply with the auditor attestation requirements under Section 404(b) of the Sarbanes Oxley Act of 2002, as amended).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(xxviii)</w:t>
      </w:r>
    </w:p>
    <w:p>
      <w:pPr>
        <w:pStyle w:val="TextBody"/>
        <w:bidi w:val="0"/>
        <w:spacing w:before="120" w:after="120"/>
        <w:jc w:val="both"/>
        <w:rPr>
          <w:rFonts w:ascii="Times New Roman" w:hAnsi="Times New Roman"/>
          <w:sz w:val="20"/>
        </w:rPr>
      </w:pPr>
      <w:r>
        <w:rPr>
          <w:rFonts w:ascii="Times New Roman" w:hAnsi="Times New Roman"/>
          <w:color w:val="000000"/>
          <w:sz w:val="20"/>
          <w:u w:val="single"/>
        </w:rPr>
        <w:t>Payment of Taxes</w:t>
      </w:r>
      <w:r>
        <w:rPr>
          <w:rFonts w:ascii="Times New Roman" w:hAnsi="Times New Roman"/>
          <w:color w:val="000000"/>
          <w:sz w:val="20"/>
        </w:rPr>
        <w:t xml:space="preserve">. All United States federal income tax returns of the Company required by law to have been filed by the Company (taking into account any applicable extensions) have been filed and all taxes shown by such returns or otherwise assessed, which are due and payable, have been paid, or insofar as the failure to do so would not reasonably be expected, singly or in the aggregate, to result in a Material Adverse Effect. The United States federal income tax returns of the Company through the fiscal year ended December 31, 2024 have been filed, and no assessment in connection therewith has been made against the Company. The Company has filed all other tax returns that are required to have been filed by the Company (taking into account any applicable extensions) pursuant to applicable foreign, state, local or other law and has paid all taxes due pursuant to such returns or pursuant to any assessment received by the Company, insofar as the failure to pay such taxes or file such returns would not reasonably be expected to result in a Material Adverse Effect. The charges, accruals and reserves on the books of the Company in respect of any income and corporation tax liability for any years not finally determined are adequate to meet any current assessments or re-assessments for additional income tax for any fiscal year not finally determined, except to the extent of any inadequacy that would not reasonably be expected to result in a Material Adverse Effect.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(xxix)</w:t>
      </w:r>
    </w:p>
    <w:p>
      <w:pPr>
        <w:pStyle w:val="TextBody"/>
        <w:bidi w:val="0"/>
        <w:spacing w:before="0" w:after="120"/>
        <w:jc w:val="both"/>
        <w:rPr>
          <w:rFonts w:ascii="Times New Roman" w:hAnsi="Times New Roman"/>
          <w:sz w:val="20"/>
        </w:rPr>
      </w:pPr>
      <w:r>
        <w:rPr>
          <w:rFonts w:ascii="Times New Roman" w:hAnsi="Times New Roman"/>
          <w:color w:val="000000"/>
          <w:sz w:val="20"/>
          <w:u w:val="single"/>
        </w:rPr>
        <w:t>Insurance</w:t>
      </w:r>
      <w:r>
        <w:rPr>
          <w:rFonts w:ascii="Times New Roman" w:hAnsi="Times New Roman"/>
          <w:color w:val="000000"/>
          <w:sz w:val="20"/>
        </w:rPr>
        <w:t xml:space="preserve">. The Company carries or is entitled to the benefits of insurance, with financially sound and reputable insurers, in such amounts and covering such risks as the Company reasonably believes is prudent, and all such insurance is in full force and effect. The Company has no reason to believe that it will not be able (A) to renew its existing insurance coverage as and when such policies expire or (B) to obtain comparable coverage from similar institutions as may be necessary or appropriate to conduct its business as now conducted and at a cost that would not reasonably be expected to result in a Material Adverse Effect.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(xxx)</w:t>
      </w:r>
    </w:p>
    <w:p>
      <w:pPr>
        <w:pStyle w:val="TextBody"/>
        <w:bidi w:val="0"/>
        <w:spacing w:before="0" w:after="120"/>
        <w:jc w:val="both"/>
        <w:rPr>
          <w:rFonts w:ascii="Times New Roman" w:hAnsi="Times New Roman"/>
          <w:sz w:val="20"/>
        </w:rPr>
      </w:pPr>
      <w:r>
        <w:rPr>
          <w:rFonts w:ascii="Times New Roman" w:hAnsi="Times New Roman"/>
          <w:color w:val="000000"/>
          <w:sz w:val="20"/>
          <w:u w:val="single"/>
        </w:rPr>
        <w:t>1940 Act</w:t>
      </w:r>
      <w:r>
        <w:rPr>
          <w:rFonts w:ascii="Times New Roman" w:hAnsi="Times New Roman"/>
          <w:color w:val="000000"/>
          <w:sz w:val="20"/>
        </w:rPr>
        <w:t xml:space="preserve">. The Company is not required, and upon the issuance and sale of the Securities as herein contemplated and the application of the net proceeds therefrom as described in the Prospectus will not be required, to register as a “management investment company” under the 1940 Act.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(xxxi)</w:t>
      </w:r>
    </w:p>
    <w:p>
      <w:pPr>
        <w:pStyle w:val="TextBody"/>
        <w:bidi w:val="0"/>
        <w:spacing w:before="0" w:after="120"/>
        <w:jc w:val="both"/>
        <w:rPr>
          <w:rFonts w:ascii="Times New Roman" w:hAnsi="Times New Roman"/>
          <w:sz w:val="20"/>
        </w:rPr>
      </w:pPr>
      <w:r>
        <w:rPr>
          <w:rFonts w:ascii="Times New Roman" w:hAnsi="Times New Roman"/>
          <w:color w:val="000000"/>
          <w:sz w:val="20"/>
          <w:u w:val="single"/>
        </w:rPr>
        <w:t>Stabilization and Manipulation</w:t>
      </w:r>
      <w:r>
        <w:rPr>
          <w:rFonts w:ascii="Times New Roman" w:hAnsi="Times New Roman"/>
          <w:color w:val="000000"/>
          <w:sz w:val="20"/>
        </w:rPr>
        <w:t xml:space="preserve">. The Company has not taken nor will it take, directly or indirectly, without giving effect to any activities by the Underwriters, any action designed, or that would reasonably be expected to cause or result in, or that constitutes, any stabilization or manipulation of the price of any security of the Company to facilitate the sale or resale of the Securities.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(xxxii)</w:t>
      </w:r>
    </w:p>
    <w:p>
      <w:pPr>
        <w:pStyle w:val="TextBody"/>
        <w:bidi w:val="0"/>
        <w:spacing w:before="0" w:after="120"/>
        <w:jc w:val="both"/>
        <w:rPr>
          <w:rFonts w:ascii="Times New Roman" w:hAnsi="Times New Roman"/>
          <w:sz w:val="20"/>
        </w:rPr>
      </w:pPr>
      <w:r>
        <w:rPr>
          <w:rFonts w:ascii="Times New Roman" w:hAnsi="Times New Roman"/>
          <w:color w:val="000000"/>
          <w:sz w:val="20"/>
          <w:u w:val="single"/>
        </w:rPr>
        <w:t>No Unlawful Payments</w:t>
      </w:r>
      <w:r>
        <w:rPr>
          <w:rFonts w:ascii="Times New Roman" w:hAnsi="Times New Roman"/>
          <w:color w:val="000000"/>
          <w:sz w:val="20"/>
        </w:rPr>
        <w:t>. The Company has not, nor has any director, officer or employee of the Company or, to the knowledge of the Company, any agent, affiliate or other person associated with or acting on behalf of the Company (i) used any corporate funds for any unlawful contribution, gift, entertainment or other unlawful expense relating to political activity; (ii) made or taken an act in furtherance of an offer, payment, promise or authorization of any direct or indirect unlawful payment or benefit to any foreign or domestic government official or employee, including of any government-owned or controlled entity or of a public international organization, or any person acting in an official capacity for or on behalf of any of the foregoing, or any political party or party official or candidate for political office, or any person in violation of any applicable anti-corruption laws; (iii) violated or is in violation of any provision of the Foreign Corrupt Practices Act of 1977, as amended (the “</w:t>
      </w:r>
      <w:r>
        <w:rPr>
          <w:rFonts w:ascii="Times New Roman" w:hAnsi="Times New Roman"/>
          <w:b/>
          <w:color w:val="000000"/>
          <w:sz w:val="20"/>
        </w:rPr>
        <w:t>FCPA</w:t>
      </w:r>
      <w:r>
        <w:rPr>
          <w:rFonts w:ascii="Times New Roman" w:hAnsi="Times New Roman"/>
          <w:color w:val="000000"/>
          <w:sz w:val="20"/>
        </w:rPr>
        <w:t>”),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 or (iv) made, offered, agreed, requested or taken an act in furtherance of any unlawful bribe or other unlawful benefit, including, without limitation, any rebate, payoff, influence payment, kickback or other unlawful or improper payment or benefit. The Company has conducted its business in compliance with applicable anti-corruption laws and has instituted, maintained and enforced, and will continue to maintain and enforce policies and procedures designed to promote and ensure compliance with all applicable anti-bribery and anti-corruption laws and with the representations and warranties contained herein, and the Company will not use, directly or indirectly, the proceeds of the offering of the Securities in furtherance of any payment, promise to pay, or authorization of the payment or giving of money, or anything else of value, to any person in violation of any applicable anti-corruption laws.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(xxxiii)</w:t>
      </w:r>
    </w:p>
    <w:p>
      <w:pPr>
        <w:pStyle w:val="TextBody"/>
        <w:bidi w:val="0"/>
        <w:spacing w:before="0" w:after="120"/>
        <w:jc w:val="both"/>
        <w:rPr>
          <w:rFonts w:ascii="Times New Roman" w:hAnsi="Times New Roman"/>
          <w:sz w:val="20"/>
        </w:rPr>
      </w:pPr>
      <w:r>
        <w:rPr>
          <w:rFonts w:ascii="Times New Roman" w:hAnsi="Times New Roman"/>
          <w:color w:val="000000"/>
          <w:sz w:val="20"/>
          <w:u w:val="single"/>
        </w:rPr>
        <w:t>Compliance with Anti-Money Laundering Laws</w:t>
      </w:r>
      <w:r>
        <w:rPr>
          <w:rFonts w:ascii="Times New Roman" w:hAnsi="Times New Roman"/>
          <w:color w:val="000000"/>
          <w:sz w:val="20"/>
        </w:rPr>
        <w:t>. The operations of the Company are and have been conducted at all times in compliance with applicable financial recordkeeping and reporting requirements, including those of the Currency and Foreign Transactions Reporting Act of 1970, as amended by the USA Patriot Act (Title III of Pub. L. 107-56 (signed into law October 26, 2001)) (the “</w:t>
      </w:r>
      <w:r>
        <w:rPr>
          <w:rFonts w:ascii="Times New Roman" w:hAnsi="Times New Roman"/>
          <w:b/>
          <w:color w:val="000000"/>
          <w:sz w:val="20"/>
        </w:rPr>
        <w:t>USA Patriot Act</w:t>
      </w:r>
      <w:r>
        <w:rPr>
          <w:rFonts w:ascii="Times New Roman" w:hAnsi="Times New Roman"/>
          <w:color w:val="000000"/>
          <w:sz w:val="20"/>
        </w:rPr>
        <w:t xml:space="preserve">”), the applicable money laundering statutes of all jurisdictions where the Company conducts business,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20"/>
        <w:jc w:val="both"/>
        <w:rPr>
          <w:rFonts w:ascii="Times New Roman" w:hAnsi="Times New Roman"/>
          <w:sz w:val="20"/>
        </w:rPr>
      </w:pPr>
      <w:r>
        <w:rPr>
          <w:rFonts w:ascii="Times New Roman" w:hAnsi="Times New Roman"/>
          <w:color w:val="000000"/>
          <w:sz w:val="20"/>
        </w:rPr>
        <w:t>the rules and regulations thereunder and any related or similar rules, regulations or guidelines issued, administered or enforced by any Governmental Entity (collectively, the “</w:t>
      </w:r>
      <w:r>
        <w:rPr>
          <w:rFonts w:ascii="Times New Roman" w:hAnsi="Times New Roman"/>
          <w:b/>
          <w:color w:val="000000"/>
          <w:sz w:val="20"/>
        </w:rPr>
        <w:t>Anti-Money Laundering Laws</w:t>
      </w:r>
      <w:r>
        <w:rPr>
          <w:rFonts w:ascii="Times New Roman" w:hAnsi="Times New Roman"/>
          <w:color w:val="000000"/>
          <w:sz w:val="20"/>
        </w:rPr>
        <w:t>”), and no action, suit or proceeding by or before any Governmental Entity involving the Company with respect to the Anti-Money Laundering Laws is pending or, to the knowledge of the Company, threatened.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(xxxiv)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jc w:val="both"/>
        <w:rPr/>
      </w:pPr>
      <w:r>
        <w:rPr>
          <w:rFonts w:ascii="Times New Roman" w:hAnsi="Times New Roman"/>
          <w:color w:val="000000"/>
          <w:sz w:val="20"/>
          <w:u w:val="single"/>
        </w:rPr>
        <w:t>No Conflicts with Sanctions Laws</w:t>
      </w:r>
      <w:r>
        <w:rPr>
          <w:rFonts w:ascii="Times New Roman" w:hAnsi="Times New Roman"/>
          <w:color w:val="000000"/>
          <w:sz w:val="20"/>
        </w:rPr>
        <w:t>. None of the Company or any of its subsidiaries, directors, officers, or employees, or, to the knowledge of the Company, any agent, affiliate or other person associated with or acting on behalf of the Company, is an individual or entity that is, or is owned or controlled by one or more individuals or entities that are currently the subject or the target of any economic sanctions laws, regulations, embargoes or restrictive measures administered, enacted or enforced by the U.S. government, (including, without limitation, the Office of Foreign Assets Control of the U.S. Department of the Treasury, the U.S. Department of Commerce or the U.S. Department of State and including, without limitation, the designation as a “specially designated national” or “blocked person”), the United Nations Security Council, the European Union, His Majesty’s Treasury, or any other relevant sanctions authority (collectively, “</w:t>
      </w:r>
      <w:r>
        <w:rPr>
          <w:rFonts w:ascii="Times New Roman" w:hAnsi="Times New Roman"/>
          <w:b/>
          <w:color w:val="000000"/>
          <w:sz w:val="20"/>
        </w:rPr>
        <w:t>Sanctions</w:t>
      </w:r>
      <w:r>
        <w:rPr>
          <w:color w:val="000000"/>
        </w:rPr>
        <w:t>”</w:t>
      </w:r>
      <w:r>
        <w:rPr>
          <w:rFonts w:ascii="Times New Roman" w:hAnsi="Times New Roman"/>
          <w:color w:val="000000"/>
          <w:sz w:val="20"/>
        </w:rPr>
        <w:t>), nor is the Company or any of its subsidiaries, directors, officers, or employees, or, to the knowledge of the Company, any agent, affiliate, or other person associated with or acting on behalf of the Company, an individual or entity that is, or is owned or controlled by one or more individuals or entities that are, located, organized or resident in a country or territory that is the subject or target of comprehensive Sanctions, including, without limitation, as of the date hereof, the Crimea regions of Ukraine, Cuba, Iran, North Korea, the so-called Donetsk People’s Republic and the so-called Luhansk People’s Republic (each, a “</w:t>
      </w:r>
      <w:r>
        <w:rPr>
          <w:rFonts w:ascii="Times New Roman" w:hAnsi="Times New Roman"/>
          <w:b/>
          <w:color w:val="000000"/>
          <w:sz w:val="20"/>
        </w:rPr>
        <w:t>Sanctioned Jurisdiction</w:t>
      </w:r>
      <w:r>
        <w:rPr>
          <w:color w:val="000000"/>
        </w:rPr>
        <w:t>”</w:t>
      </w:r>
      <w:r>
        <w:rPr>
          <w:rFonts w:ascii="Times New Roman" w:hAnsi="Times New Roman"/>
          <w:color w:val="000000"/>
          <w:sz w:val="20"/>
        </w:rPr>
        <w:t>); and the Company will not directly or indirectly use the proceeds of the offering of the Securities hereunder, or lend, contribute or otherwise make available such proceeds to any subsidiary, joint venture partner or other individual or entity (A) to fund or facilitate any activities of or business with any individual or entity that, at the time of such funding or facilitation, is the subject or target of Sanctions, (B) to fund or facilitate any activities of or business in any Sanctioned Jurisdiction, or (C) in any other manner that will result in a violation by any individual or entity participating in the transaction, whether as underwriter, advisor, investor or otherwise, of Sanctions. Since its inception, the Company has not knowingly engaged in, is not now knowingly engaged in, and will not knowingly engage in, any dealings or transactions with any person that at the time of the dealing or transaction is or was the subject or the target of Sanctions or with any Sanctioned Jurisdiction.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both"/>
        <w:rPr>
          <w:rFonts w:ascii="Times New Roman" w:hAnsi="Times New Roman"/>
          <w:color w:val="000000"/>
          <w:sz w:val="20"/>
        </w:rPr>
      </w:pPr>
      <w:r>
        <w:rPr>
          <w:rFonts w:ascii="Times New Roman" w:hAnsi="Times New Roman"/>
          <w:color w:val="000000"/>
          <w:sz w:val="20"/>
        </w:rPr>
        <w:t>(xxxv)</w:t>
      </w:r>
    </w:p>
    <w:p>
      <w:pPr>
        <w:pStyle w:val="TextBody"/>
        <w:bidi w:val="0"/>
        <w:spacing w:before="0" w:after="120"/>
        <w:jc w:val="both"/>
        <w:rPr>
          <w:rFonts w:ascii="Times New Roman" w:hAnsi="Times New Roman"/>
          <w:sz w:val="20"/>
        </w:rPr>
      </w:pPr>
      <w:r>
        <w:rPr>
          <w:rFonts w:ascii="Times New Roman" w:hAnsi="Times New Roman"/>
          <w:color w:val="000000"/>
          <w:sz w:val="20"/>
          <w:u w:val="single"/>
        </w:rPr>
        <w:t>Lending Relationship</w:t>
      </w:r>
      <w:r>
        <w:rPr>
          <w:rFonts w:ascii="Times New Roman" w:hAnsi="Times New Roman"/>
          <w:i/>
          <w:color w:val="000000"/>
          <w:sz w:val="20"/>
        </w:rPr>
        <w:t xml:space="preserve">. </w:t>
      </w:r>
      <w:r>
        <w:rPr>
          <w:rFonts w:ascii="Times New Roman" w:hAnsi="Times New Roman"/>
          <w:color w:val="000000"/>
          <w:sz w:val="20"/>
        </w:rPr>
        <w:t xml:space="preserve">Except as disclosed in the Registration Statement, the General Disclosure Package and the Prospectus, the Company (A) does not have any material lending or other relationship with any bank or lending affiliate of any Underwriter and (B) does not intend to use any of the proceeds from the sale of the Securities to repay any outstanding debt owed to any affiliate of any Underwriter.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(xxxvi)</w:t>
      </w:r>
    </w:p>
    <w:p>
      <w:pPr>
        <w:pStyle w:val="TextBody"/>
        <w:bidi w:val="0"/>
        <w:spacing w:before="0" w:after="120"/>
        <w:jc w:val="both"/>
        <w:rPr>
          <w:rFonts w:ascii="Times New Roman" w:hAnsi="Times New Roman"/>
          <w:sz w:val="20"/>
        </w:rPr>
      </w:pPr>
      <w:r>
        <w:rPr>
          <w:rFonts w:ascii="Times New Roman" w:hAnsi="Times New Roman"/>
          <w:color w:val="000000"/>
          <w:sz w:val="20"/>
          <w:u w:val="single"/>
        </w:rPr>
        <w:t>Statistical and Market-Related Data</w:t>
      </w:r>
      <w:r>
        <w:rPr>
          <w:rFonts w:ascii="Times New Roman" w:hAnsi="Times New Roman"/>
          <w:color w:val="000000"/>
          <w:sz w:val="20"/>
        </w:rPr>
        <w:t xml:space="preserve">. Any statistical and market-related data included in the Registration Statement, the General Disclosure Package or the Prospectus are based on or derived from sources that the Company believes to be reliable and accurate and, to the extent required, the Company has obtained the written consent to the use of such data from such sources.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(xxxvii)</w:t>
      </w:r>
    </w:p>
    <w:p>
      <w:pPr>
        <w:pStyle w:val="TextBody"/>
        <w:bidi w:val="0"/>
        <w:spacing w:before="0" w:after="120"/>
        <w:jc w:val="both"/>
        <w:rPr>
          <w:rFonts w:ascii="Times New Roman" w:hAnsi="Times New Roman"/>
          <w:sz w:val="20"/>
        </w:rPr>
      </w:pPr>
      <w:r>
        <w:rPr>
          <w:rFonts w:ascii="Times New Roman" w:hAnsi="Times New Roman"/>
          <w:color w:val="000000"/>
          <w:sz w:val="20"/>
          <w:u w:val="single"/>
        </w:rPr>
        <w:t>Related Party Transactions</w:t>
      </w:r>
      <w:r>
        <w:rPr>
          <w:rFonts w:ascii="Times New Roman" w:hAnsi="Times New Roman"/>
          <w:color w:val="000000"/>
          <w:sz w:val="20"/>
        </w:rPr>
        <w:t xml:space="preserve">. There are no business relationships or related party transactions involving the Company or any other person required to be described in the Registration Statement, the General Disclosure Package or the Prospectus which have not been described as required.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(xxxviii)</w:t>
      </w:r>
    </w:p>
    <w:p>
      <w:pPr>
        <w:pStyle w:val="TextBody"/>
        <w:bidi w:val="0"/>
        <w:spacing w:before="0" w:after="120"/>
        <w:jc w:val="both"/>
        <w:rPr>
          <w:rFonts w:ascii="Times New Roman" w:hAnsi="Times New Roman"/>
          <w:sz w:val="20"/>
        </w:rPr>
      </w:pPr>
      <w:r>
        <w:rPr>
          <w:rFonts w:ascii="Times New Roman" w:hAnsi="Times New Roman"/>
          <w:color w:val="000000"/>
          <w:sz w:val="20"/>
          <w:u w:val="single"/>
        </w:rPr>
        <w:t>Notification of Election</w:t>
      </w:r>
      <w:r>
        <w:rPr>
          <w:rFonts w:ascii="Times New Roman" w:hAnsi="Times New Roman"/>
          <w:color w:val="000000"/>
          <w:sz w:val="20"/>
        </w:rPr>
        <w:t xml:space="preserve">. When the Company filed its Notification of Election to be subject to Sections 55 through 65 of the 1940 Act on Form N-54A with the Commission pursuant to Section 54(a) of the 1940 Act, such Form N-54A (A) contained all statements required to be stated therein in accordance with, and complied in all material respects with the requirements of, the 1940 Act, and (B) did not include any untrue statement of a material fact or omit to state a material fact necessary in order to make the statements therein, in the light of the circumstances under which they were made, not misleading.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(xxxix)</w:t>
      </w:r>
    </w:p>
    <w:p>
      <w:pPr>
        <w:pStyle w:val="TextBody"/>
        <w:bidi w:val="0"/>
        <w:spacing w:before="0" w:after="120"/>
        <w:jc w:val="both"/>
        <w:rPr>
          <w:rFonts w:ascii="Times New Roman" w:hAnsi="Times New Roman"/>
          <w:sz w:val="20"/>
        </w:rPr>
      </w:pPr>
      <w:r>
        <w:rPr>
          <w:rFonts w:ascii="Times New Roman" w:hAnsi="Times New Roman"/>
          <w:color w:val="000000"/>
          <w:sz w:val="20"/>
          <w:u w:val="single"/>
        </w:rPr>
        <w:t>Investment Advisory Agreement</w:t>
      </w:r>
      <w:r>
        <w:rPr>
          <w:rFonts w:ascii="Times New Roman" w:hAnsi="Times New Roman"/>
          <w:color w:val="000000"/>
          <w:sz w:val="20"/>
        </w:rPr>
        <w:t xml:space="preserve">. The Company confirms that (A) the terms of the Investment Advisory Agreement, including compensation terms, comply in all material respects with all applicable provisions of the 1940 Act and the Advisers Act, and (B) the approvals by the board of directors and the stockholders of the Company of the Investment Advisory Agreement have been made in accordance with the requirements of Sections 15(a) and 15(c) of the 1940 Act and the rules and regulations promulgated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under the 1940 Act that are applicable to companies that have elected to be regulated as business development companies under the 1940 Act.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(xl)</w:t>
      </w:r>
    </w:p>
    <w:p>
      <w:pPr>
        <w:pStyle w:val="TextBody"/>
        <w:bidi w:val="0"/>
        <w:spacing w:before="0" w:after="120"/>
        <w:jc w:val="both"/>
        <w:rPr>
          <w:rFonts w:ascii="Times New Roman" w:hAnsi="Times New Roman"/>
          <w:sz w:val="20"/>
        </w:rPr>
      </w:pPr>
      <w:r>
        <w:rPr>
          <w:rFonts w:ascii="Times New Roman" w:hAnsi="Times New Roman"/>
          <w:color w:val="000000"/>
          <w:sz w:val="20"/>
          <w:u w:val="single"/>
        </w:rPr>
        <w:t>Interested Persons</w:t>
      </w:r>
      <w:r>
        <w:rPr>
          <w:rFonts w:ascii="Times New Roman" w:hAnsi="Times New Roman"/>
          <w:color w:val="000000"/>
          <w:sz w:val="20"/>
        </w:rPr>
        <w:t xml:space="preserve">. Except as disclosed in the Registration Statement and the Prospectus, (A) no person is serving or acting as an officer, director or investment adviser of the Company, except in accordance with the provisions of the 1940 Act and the Advisers Act, and (B) to the knowledge of the Company, no director of the Company is an “interested person” (as defined in the 1940 Act) of the Company or an “affiliated person” (as defined in the 1940 Act) of any of the Underwriters.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(xli)</w:t>
      </w:r>
    </w:p>
    <w:p>
      <w:pPr>
        <w:pStyle w:val="TextBody"/>
        <w:bidi w:val="0"/>
        <w:spacing w:before="0" w:after="120"/>
        <w:jc w:val="both"/>
        <w:rPr>
          <w:rFonts w:ascii="Times New Roman" w:hAnsi="Times New Roman"/>
          <w:sz w:val="20"/>
        </w:rPr>
      </w:pPr>
      <w:r>
        <w:rPr>
          <w:rFonts w:ascii="Times New Roman" w:hAnsi="Times New Roman"/>
          <w:color w:val="000000"/>
          <w:sz w:val="20"/>
          <w:u w:val="single"/>
        </w:rPr>
        <w:t>Business Development Company</w:t>
      </w:r>
      <w:r>
        <w:rPr>
          <w:rFonts w:ascii="Times New Roman" w:hAnsi="Times New Roman"/>
          <w:color w:val="000000"/>
          <w:sz w:val="20"/>
        </w:rPr>
        <w:t xml:space="preserve">. The Company has duly elected to be regulated by the Commission under the 1940 Act as a business development company, such election is effective and all required action has been taken by the Company under the Securities Act and the 1940 Act to make the public offering and consummate the sale of the Securities as provided in this Agreement, the provisions of the charter and bylaws of the Company, and the investment objectives, policies and restrictions described in the Prospectus, assuming they are implemented as described, will comply in all material respects with the requirements of the 1940 Act, and the operations of the Company are in compliance in all material respects with the provisions of the 1940 Act and the 1940 Act rules and regulations applicable to business development companies.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(xlii)</w:t>
      </w:r>
    </w:p>
    <w:p>
      <w:pPr>
        <w:pStyle w:val="TextBody"/>
        <w:bidi w:val="0"/>
        <w:spacing w:before="0" w:after="120"/>
        <w:jc w:val="both"/>
        <w:rPr>
          <w:rFonts w:ascii="Times New Roman" w:hAnsi="Times New Roman"/>
          <w:sz w:val="20"/>
        </w:rPr>
      </w:pPr>
      <w:r>
        <w:rPr>
          <w:rFonts w:ascii="Times New Roman" w:hAnsi="Times New Roman"/>
          <w:color w:val="000000"/>
          <w:sz w:val="20"/>
          <w:u w:val="single"/>
        </w:rPr>
        <w:t>No Extension of Credit</w:t>
      </w:r>
      <w:r>
        <w:rPr>
          <w:rFonts w:ascii="Times New Roman" w:hAnsi="Times New Roman"/>
          <w:color w:val="000000"/>
          <w:sz w:val="20"/>
        </w:rPr>
        <w:t xml:space="preserve">. The Company has not, directly or indirectly, extended credit, agreed to extend credit, arranged to extend credit or renewed any extension of credit, in the form of a personal loan, to or for any director or executive officer of the Company, or to or for any family member or affiliate of any director or executive officer of the Company.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(xliii)</w:t>
      </w:r>
    </w:p>
    <w:p>
      <w:pPr>
        <w:pStyle w:val="TextBody"/>
        <w:bidi w:val="0"/>
        <w:spacing w:before="0" w:after="120"/>
        <w:jc w:val="both"/>
        <w:rPr>
          <w:rFonts w:ascii="Times New Roman" w:hAnsi="Times New Roman"/>
          <w:sz w:val="20"/>
        </w:rPr>
      </w:pPr>
      <w:r>
        <w:rPr>
          <w:rFonts w:ascii="Times New Roman" w:hAnsi="Times New Roman"/>
          <w:color w:val="000000"/>
          <w:sz w:val="20"/>
          <w:u w:val="single"/>
        </w:rPr>
        <w:t>Regulated Investment Company</w:t>
      </w:r>
      <w:r>
        <w:rPr>
          <w:rFonts w:ascii="Times New Roman" w:hAnsi="Times New Roman"/>
          <w:color w:val="000000"/>
          <w:sz w:val="20"/>
        </w:rPr>
        <w:t>. The Company has elected to be treated and has operated and intends to continue to operate its business in such a manner as to enable the Company to continue to qualify as a regulated investment company under subchapter M of the Internal Revenue Code of 1986, as amended (the “</w:t>
      </w:r>
      <w:r>
        <w:rPr>
          <w:rFonts w:ascii="Times New Roman" w:hAnsi="Times New Roman"/>
          <w:b/>
          <w:color w:val="000000"/>
          <w:sz w:val="20"/>
        </w:rPr>
        <w:t>Code</w:t>
      </w:r>
      <w:r>
        <w:rPr>
          <w:rFonts w:ascii="Times New Roman" w:hAnsi="Times New Roman"/>
          <w:color w:val="000000"/>
          <w:sz w:val="20"/>
        </w:rPr>
        <w:t xml:space="preserve">”). The Company intends to direct the investment of the proceeds of the offering of the Securities in a manner as to comply with the requirements of subchapter M of the Code.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(xliv)</w:t>
      </w:r>
    </w:p>
    <w:p>
      <w:pPr>
        <w:pStyle w:val="TextBody"/>
        <w:bidi w:val="0"/>
        <w:spacing w:before="0" w:after="120"/>
        <w:jc w:val="both"/>
        <w:rPr>
          <w:rFonts w:ascii="Times New Roman" w:hAnsi="Times New Roman"/>
          <w:sz w:val="20"/>
        </w:rPr>
      </w:pPr>
      <w:r>
        <w:rPr>
          <w:rFonts w:ascii="Times New Roman" w:hAnsi="Times New Roman"/>
          <w:color w:val="000000"/>
          <w:sz w:val="20"/>
          <w:u w:val="single"/>
        </w:rPr>
        <w:t>Cybersecurity; Data Protection</w:t>
      </w:r>
      <w:r>
        <w:rPr>
          <w:rFonts w:ascii="Times New Roman" w:hAnsi="Times New Roman"/>
          <w:color w:val="000000"/>
          <w:sz w:val="20"/>
        </w:rPr>
        <w:t>. The Company’s information technology assets and equipment, computers, systems, networks, hardware, software, websites, applications, and databases (collectively, “</w:t>
      </w:r>
      <w:r>
        <w:rPr>
          <w:rFonts w:ascii="Times New Roman" w:hAnsi="Times New Roman"/>
          <w:b/>
          <w:color w:val="000000"/>
          <w:sz w:val="20"/>
        </w:rPr>
        <w:t>IT Systems</w:t>
      </w:r>
      <w:r>
        <w:rPr>
          <w:rFonts w:ascii="Times New Roman" w:hAnsi="Times New Roman"/>
          <w:color w:val="000000"/>
          <w:sz w:val="20"/>
        </w:rPr>
        <w:t>”) are adequate for, and operate and perform in all material respects as required in connection with, the operation of the business of the Company as currently conducted. The Company has implemented and maintained commercially reasonable controls, policies, procedures, and safeguards to maintain and protect its material confidential information and the integrity, continuous operation, redundancy and security of all IT Systems and data (including all personal, personally identifiable, sensitive, confidential or regulated data (“</w:t>
      </w:r>
      <w:r>
        <w:rPr>
          <w:rFonts w:ascii="Times New Roman" w:hAnsi="Times New Roman"/>
          <w:b/>
          <w:color w:val="000000"/>
          <w:sz w:val="20"/>
        </w:rPr>
        <w:t>Personal Data</w:t>
      </w:r>
      <w:r>
        <w:rPr>
          <w:rFonts w:ascii="Times New Roman" w:hAnsi="Times New Roman"/>
          <w:color w:val="000000"/>
          <w:sz w:val="20"/>
        </w:rPr>
        <w:t>”)) used in connection with the Company’s businesses, and there have been no breaches, violations, outages or unauthorized uses of or accesses to same, except for those that have been remedied without material cost or liability or the duty to notify any other person, nor are there any incidents under internal review or investigations relating to the same. The Company is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(xlv)</w:t>
      </w:r>
    </w:p>
    <w:p>
      <w:pPr>
        <w:pStyle w:val="TextBody"/>
        <w:bidi w:val="0"/>
        <w:spacing w:before="0" w:after="120"/>
        <w:jc w:val="both"/>
        <w:rPr>
          <w:rFonts w:ascii="Times New Roman" w:hAnsi="Times New Roman"/>
          <w:sz w:val="20"/>
        </w:rPr>
      </w:pPr>
      <w:r>
        <w:rPr>
          <w:rFonts w:ascii="Times New Roman" w:hAnsi="Times New Roman"/>
          <w:color w:val="000000"/>
          <w:sz w:val="20"/>
          <w:u w:val="single"/>
        </w:rPr>
        <w:t>Distribution of Offering Materials</w:t>
      </w:r>
      <w:r>
        <w:rPr>
          <w:rFonts w:ascii="Times New Roman" w:hAnsi="Times New Roman"/>
          <w:color w:val="000000"/>
          <w:sz w:val="20"/>
        </w:rPr>
        <w:t xml:space="preserve">. The Company has not distributed and will not distribute any offering material in connection with the sale of the Securities other than the Registration Statement, the Prospectus, the General Disclosure Package and the Additional Disclosure Items (as defined in </w:t>
      </w:r>
      <w:r>
        <w:rPr>
          <w:rFonts w:ascii="Times New Roman" w:hAnsi="Times New Roman"/>
          <w:color w:val="000000"/>
          <w:sz w:val="20"/>
          <w:u w:val="single"/>
        </w:rPr>
        <w:t>Section 6(c)</w:t>
      </w:r>
      <w:r>
        <w:rPr>
          <w:rFonts w:ascii="Times New Roman" w:hAnsi="Times New Roman"/>
          <w:color w:val="000000"/>
          <w:sz w:val="2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120"/>
        <w:jc w:val="both"/>
        <w:rPr>
          <w:rFonts w:ascii="Times New Roman" w:hAnsi="Times New Roman"/>
          <w:sz w:val="20"/>
        </w:rPr>
      </w:pPr>
      <w:r>
        <w:rPr>
          <w:rFonts w:ascii="Times New Roman" w:hAnsi="Times New Roman"/>
          <w:i/>
          <w:color w:val="000000"/>
          <w:sz w:val="20"/>
        </w:rPr>
        <w:t>Representations and Warranties by the Adviser.</w:t>
      </w:r>
      <w:r>
        <w:rPr>
          <w:rFonts w:ascii="Times New Roman" w:hAnsi="Times New Roman"/>
          <w:color w:val="000000"/>
          <w:sz w:val="20"/>
        </w:rPr>
        <w:t xml:space="preserve"> The Adviser represents to each Underwriter as of the date hereof, the Applicable Time, and the Closing Date (as defined below), and agrees with each Underwriter, as follows: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120"/>
        <w:jc w:val="both"/>
        <w:rPr>
          <w:rFonts w:ascii="Times New Roman" w:hAnsi="Times New Roman"/>
          <w:sz w:val="20"/>
        </w:rPr>
      </w:pPr>
      <w:r>
        <w:rPr>
          <w:rFonts w:ascii="Times New Roman" w:hAnsi="Times New Roman"/>
          <w:color w:val="000000"/>
          <w:sz w:val="20"/>
          <w:u w:val="single"/>
        </w:rPr>
        <w:t>No Material Adverse Change in Business</w:t>
      </w:r>
      <w:r>
        <w:rPr>
          <w:rFonts w:ascii="Times New Roman" w:hAnsi="Times New Roman"/>
          <w:color w:val="000000"/>
          <w:sz w:val="20"/>
        </w:rPr>
        <w:t xml:space="preserve">. Except as otherwise stated therein, since the respective dates as of which information is given in the Registration Statement, the General Disclosure Package or the Prospectus, there has been no material adverse change in the condition, financial or otherwise, or in the earnings, business affairs, business prospects or regulatory status of the Adviser, whether or not arising in the ordinary course of business, or on the ability of the Adviser or the Administrator to carry out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20"/>
        <w:jc w:val="both"/>
        <w:rPr>
          <w:rFonts w:ascii="Times New Roman" w:hAnsi="Times New Roman"/>
          <w:sz w:val="20"/>
        </w:rPr>
      </w:pPr>
      <w:r>
        <w:rPr>
          <w:rFonts w:ascii="Times New Roman" w:hAnsi="Times New Roman"/>
          <w:color w:val="000000"/>
          <w:sz w:val="20"/>
        </w:rPr>
        <w:t>its obligations under this Agreement, the Investment Advisory Agreement or the Administration Agreement, as applicable (collectively, an “</w:t>
      </w:r>
      <w:r>
        <w:rPr>
          <w:rFonts w:ascii="Times New Roman" w:hAnsi="Times New Roman"/>
          <w:b/>
          <w:color w:val="000000"/>
          <w:sz w:val="20"/>
        </w:rPr>
        <w:t>Adviser Material Adverse Effect</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120"/>
        <w:jc w:val="both"/>
        <w:rPr>
          <w:rFonts w:ascii="Times New Roman" w:hAnsi="Times New Roman"/>
          <w:sz w:val="20"/>
        </w:rPr>
      </w:pPr>
      <w:r>
        <w:rPr>
          <w:rFonts w:ascii="Times New Roman" w:hAnsi="Times New Roman"/>
          <w:color w:val="000000"/>
          <w:sz w:val="20"/>
          <w:u w:val="single"/>
        </w:rPr>
        <w:t>Good Standing</w:t>
      </w:r>
      <w:r>
        <w:rPr>
          <w:rFonts w:ascii="Times New Roman" w:hAnsi="Times New Roman"/>
          <w:color w:val="000000"/>
          <w:sz w:val="20"/>
        </w:rPr>
        <w:t xml:space="preserve">. The Adviser has been duly organized and is validly existing as a limited liability company, in good standing under the laws of its state of organization and has limited liability company power and authority to own, lease and operate its properties and to conduct its business as described in the Registration Statement, the General Disclosure Package and the Prospectus and to enter into and perform its obligations under this Agreement. The Adviser has limited liability company power and authority to perform its obligations under the Investment Advisory Agreement, and the Adviser is duly qualified as a foreign entity to transact business and is in good standing in each other jurisdiction in which such qualification is required, whether by reason of the ownership or leasing of property or the conduct of business, except where the failure so to qualify or to be in good standing would not otherwise reasonably be expected to result in an Adviser Material Adverse Effect.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(iii)</w:t>
      </w:r>
    </w:p>
    <w:p>
      <w:pPr>
        <w:pStyle w:val="TextBody"/>
        <w:bidi w:val="0"/>
        <w:spacing w:before="0" w:after="120"/>
        <w:jc w:val="both"/>
        <w:rPr>
          <w:rFonts w:ascii="Times New Roman" w:hAnsi="Times New Roman"/>
          <w:sz w:val="20"/>
        </w:rPr>
      </w:pPr>
      <w:r>
        <w:rPr>
          <w:rFonts w:ascii="Times New Roman" w:hAnsi="Times New Roman"/>
          <w:color w:val="000000"/>
          <w:sz w:val="20"/>
          <w:u w:val="single"/>
        </w:rPr>
        <w:t>Registration Under Advisers Act</w:t>
      </w:r>
      <w:r>
        <w:rPr>
          <w:rFonts w:ascii="Times New Roman" w:hAnsi="Times New Roman"/>
          <w:color w:val="000000"/>
          <w:sz w:val="20"/>
        </w:rPr>
        <w:t xml:space="preserve">. The Adviser is duly registered with the Commission as an investment adviser under the Advisers Act and is not prohibited by the Advisers Act or the 1940 Act from acting under the Investment Advisory Agreement for the Company as contemplated by the Registration Statement, the General Disclosure Package and the Prospectus. There does not exist any proceeding or, to the Adviser’s knowledge, any facts or circumstances the existence of which could lead to any proceeding which might adversely affect the registration of the Adviser with the Commission.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(iv)</w:t>
      </w:r>
    </w:p>
    <w:p>
      <w:pPr>
        <w:pStyle w:val="TextBody"/>
        <w:bidi w:val="0"/>
        <w:spacing w:before="0" w:after="120"/>
        <w:jc w:val="both"/>
        <w:rPr>
          <w:rFonts w:ascii="Times New Roman" w:hAnsi="Times New Roman"/>
          <w:sz w:val="20"/>
        </w:rPr>
      </w:pPr>
      <w:r>
        <w:rPr>
          <w:rFonts w:ascii="Times New Roman" w:hAnsi="Times New Roman"/>
          <w:color w:val="000000"/>
          <w:sz w:val="20"/>
          <w:u w:val="single"/>
        </w:rPr>
        <w:t>Absence of Proceedings</w:t>
      </w:r>
      <w:r>
        <w:rPr>
          <w:rFonts w:ascii="Times New Roman" w:hAnsi="Times New Roman"/>
          <w:color w:val="000000"/>
          <w:sz w:val="20"/>
        </w:rPr>
        <w:t xml:space="preserve">. Except as disclosed in the Registration Statement, the General Disclosure Package and the Prospectus, there is no action, suit, proceeding or, to the knowledge of the Adviser, inquiry or investigation before or brought by any arbitrator, court, governmental body, regulatory body, administrative agency or other authority, body or agency having jurisdiction over the Adviser, its subsidiaries or any of their properties, assets or operations now pending or, to the knowledge of the Adviser, threatened, against or affecting the Adviser or its subsidiaries, which is required to be disclosed in the Registration Statement (other than disclosed therein) or which would reasonably be expected to result in an Adviser Material Adverse Effect, or which would reasonably be expected to materially and adversely affect their properties or assets or the consummation of the transactions contemplated in this Agreement, the Investment Advisory Agreement or the Administration Agreement or the performance by the Adviser of its obligations hereunder or thereunder; and the aggregate of all pending legal or governmental proceedings to which the Adviser or any of its subsidiaries is a party or of which any of their properties or assets is the subject which are not described in the Registration Statement, the General Disclosure Package and the Prospectus, including ordinary routine litigation incidental to their business, would not reasonably be expected to result in an Adviser Material Adverse Effect.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(v)</w:t>
      </w:r>
    </w:p>
    <w:p>
      <w:pPr>
        <w:pStyle w:val="TextBody"/>
        <w:bidi w:val="0"/>
        <w:spacing w:before="0" w:after="120"/>
        <w:jc w:val="both"/>
        <w:rPr>
          <w:rFonts w:ascii="Times New Roman" w:hAnsi="Times New Roman"/>
          <w:sz w:val="20"/>
        </w:rPr>
      </w:pPr>
      <w:r>
        <w:rPr>
          <w:rFonts w:ascii="Times New Roman" w:hAnsi="Times New Roman"/>
          <w:color w:val="000000"/>
          <w:sz w:val="20"/>
          <w:u w:val="single"/>
        </w:rPr>
        <w:t>Absence of Violations, Defaults and Conflicts</w:t>
      </w:r>
      <w:r>
        <w:rPr>
          <w:rFonts w:ascii="Times New Roman" w:hAnsi="Times New Roman"/>
          <w:color w:val="000000"/>
          <w:sz w:val="20"/>
        </w:rPr>
        <w:t>. The Adviser is not (A) in violation of its limited liability company agreement, (B) in default in the performance or observance of any obligation, agreement, covenant or condition contained in any contract, indenture, mortgage, deed of trust, loan or credit agreement, note, lease or other agreement or instrument to which the Adviser is a party or by which it may be bound or to which any of its properties or assets is subject (collectively, the “</w:t>
      </w:r>
      <w:r>
        <w:rPr>
          <w:rFonts w:ascii="Times New Roman" w:hAnsi="Times New Roman"/>
          <w:b/>
          <w:color w:val="000000"/>
          <w:sz w:val="20"/>
        </w:rPr>
        <w:t>Adviser Agreements and Instruments</w:t>
      </w:r>
      <w:r>
        <w:rPr>
          <w:rFonts w:ascii="Times New Roman" w:hAnsi="Times New Roman"/>
          <w:color w:val="000000"/>
          <w:sz w:val="20"/>
        </w:rPr>
        <w:t xml:space="preserve">”), except for such defaults that would not reasonably be expected, singly or in the aggregate, to result in an Adviser Material Adverse Effect, or (C) in violation of any applicable law, statute, rule, regulation, judgment, order, writ or decree of any arbitrator, court, governmental body, regulatory body, administrative agency or other authority, body or agency having jurisdiction over the Adviser or any of its properties, assets or operations, except for such violations that would not reasonably be expected, singly or in the aggregate, to result in an Adviser Material Adverse Effect. The execution, delivery and performance of this Agreement, the Investment Advisory Agreement and the Administration Agreement by the Adviser or the Administrator and the consummation of the transactions contemplated herein and therein and in the Registration Statement, the General Disclosure Package and the Prospectus (including the issuance and sale of the Securities and the use of the proceeds from the sale of the Securities as described therein under the caption “Use of Proceeds”) and compliance by the Adviser and the Administrator with their obligations hereunder and under the Investment Advisory Agreement and Administration Agreement do not and will not, whether with or without the giving of notice or passage of time or both, conflict with or constitute a breach of, or default under, or result in the creation or imposition of any lien, charge or encumbrance upon any properties or assets of the Adviser or pursuant to the Adviser Agreements and Instruments (except for such conflicts, breaches, defaults, events or conditions giving the holder of any note, debenture or other evidence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of indebtedness (or any person acting on such holder’s behalf) the right to require the repurchase, redemption or repayment of all or a portion of such indebtedness by the Adviser, or liens, charges or encumbrances that would not reasonably be expected, singly or in the aggregate, to result in an Adviser Material Adverse Effect), nor will such action result in any violation of the provisions of (a) the limited liability company agreement of the Adviser, or (b) any applicable law, statute, rule, regulation, judgment, order, writ or decree of any arbitrator, court, governmental body, regulatory body, administrative agency or other authority, body or agency having jurisdiction over the Adviser or any of its properties, assets or operations except, in the case of (b) above, for any violations that would not reasonably be expected, singly or in the aggregate, to result in an Adviser Material Adverse Effect.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(vi)</w:t>
      </w:r>
    </w:p>
    <w:p>
      <w:pPr>
        <w:pStyle w:val="TextBody"/>
        <w:bidi w:val="0"/>
        <w:spacing w:before="0" w:after="120"/>
        <w:jc w:val="both"/>
        <w:rPr>
          <w:rFonts w:ascii="Times New Roman" w:hAnsi="Times New Roman"/>
          <w:sz w:val="20"/>
        </w:rPr>
      </w:pPr>
      <w:r>
        <w:rPr>
          <w:rFonts w:ascii="Times New Roman" w:hAnsi="Times New Roman"/>
          <w:color w:val="000000"/>
          <w:sz w:val="20"/>
          <w:u w:val="single"/>
        </w:rPr>
        <w:t>Authorization of Agreements</w:t>
      </w:r>
      <w:r>
        <w:rPr>
          <w:rFonts w:ascii="Times New Roman" w:hAnsi="Times New Roman"/>
          <w:color w:val="000000"/>
          <w:sz w:val="20"/>
        </w:rPr>
        <w:t>. This Agreement, the Investment Advisory Agreement and the Administration Agreement have each been duly authorized, executed and delivered by the Adviser or the Administrator. This Agreement and the Investment Advisory Agreement are valid and binding obligations of the Adviser, enforceable against it in accordance with their terms, except as the enforcement thereof may be subject to (i) bankruptcy, insolvency, reorganization, moratorium or other similar laws now or thereafter in effect relating to creditors’ rights generally and (ii) general principles of equity and the discretion of the court before which any proceeding therefor may be brought.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(vii)</w:t>
      </w:r>
    </w:p>
    <w:p>
      <w:pPr>
        <w:pStyle w:val="TextBody"/>
        <w:bidi w:val="0"/>
        <w:spacing w:before="0" w:after="120"/>
        <w:jc w:val="both"/>
        <w:rPr>
          <w:rFonts w:ascii="Times New Roman" w:hAnsi="Times New Roman"/>
          <w:sz w:val="20"/>
        </w:rPr>
      </w:pPr>
      <w:r>
        <w:rPr>
          <w:rFonts w:ascii="Times New Roman" w:hAnsi="Times New Roman"/>
          <w:color w:val="000000"/>
          <w:sz w:val="20"/>
          <w:u w:val="single"/>
        </w:rPr>
        <w:t>Absence of Further Requirements</w:t>
      </w:r>
      <w:r>
        <w:rPr>
          <w:rFonts w:ascii="Times New Roman" w:hAnsi="Times New Roman"/>
          <w:color w:val="000000"/>
          <w:sz w:val="20"/>
        </w:rPr>
        <w:t xml:space="preserve">. No filing with, or authorization, approval, consent, license, order, registration, qualification or decree of, any court or governmental authority or agency is necessary or required for the performance by the Adviser of its obligations hereunder, in connection with the offering, issuance or sale of the Securities hereunder or the consummation of the transactions contemplated by this Agreement or the Investment Advisory Agreement, except (A) such as have been already obtained or as may be required under the Securities Act, the 1940 Act, the rules of the NASDAQ Global Select Market, state securities laws or the rules of FINRA and (B) where the failure to obtain any such filing, authorization, approval, consent, license, order, registration, qualification or decree would not reasonably be expected, singly or in the aggregate, to result in an Adviser Material Adverse Effect.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(viii)</w:t>
      </w:r>
    </w:p>
    <w:p>
      <w:pPr>
        <w:pStyle w:val="TextBody"/>
        <w:bidi w:val="0"/>
        <w:spacing w:before="0" w:after="120"/>
        <w:jc w:val="both"/>
        <w:rPr>
          <w:rFonts w:ascii="Times New Roman" w:hAnsi="Times New Roman"/>
          <w:sz w:val="20"/>
        </w:rPr>
      </w:pPr>
      <w:r>
        <w:rPr>
          <w:rFonts w:ascii="Times New Roman" w:hAnsi="Times New Roman"/>
          <w:color w:val="000000"/>
          <w:sz w:val="20"/>
          <w:u w:val="single"/>
        </w:rPr>
        <w:t>Description of Adviser</w:t>
      </w:r>
      <w:r>
        <w:rPr>
          <w:rFonts w:ascii="Times New Roman" w:hAnsi="Times New Roman"/>
          <w:color w:val="000000"/>
          <w:sz w:val="20"/>
        </w:rPr>
        <w:t xml:space="preserve">. The description of the Adviser contained in the Registration Statement, the General Disclosure Package and the Prospectus does not contain any untrue statement of a material fact or omit to state a material fact required to be stated therein or necessary to make the statements therein, in the light of the circumstances under which they were made, not misleading.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(ix)</w:t>
      </w:r>
    </w:p>
    <w:p>
      <w:pPr>
        <w:pStyle w:val="TextBody"/>
        <w:bidi w:val="0"/>
        <w:spacing w:before="0" w:after="120"/>
        <w:jc w:val="both"/>
        <w:rPr>
          <w:rFonts w:ascii="Times New Roman" w:hAnsi="Times New Roman"/>
          <w:sz w:val="20"/>
        </w:rPr>
      </w:pPr>
      <w:r>
        <w:rPr>
          <w:rFonts w:ascii="Times New Roman" w:hAnsi="Times New Roman"/>
          <w:color w:val="000000"/>
          <w:sz w:val="20"/>
          <w:u w:val="single"/>
        </w:rPr>
        <w:t>Possession of Licenses and Permits</w:t>
      </w:r>
      <w:r>
        <w:rPr>
          <w:rFonts w:ascii="Times New Roman" w:hAnsi="Times New Roman"/>
          <w:color w:val="000000"/>
          <w:sz w:val="20"/>
        </w:rPr>
        <w:t xml:space="preserve">. The Adviser and its subsidiaries each possess such Governmental Licenses issued by the appropriate federal, state, local or foreign regulatory agencies or bodies necessary to conduct the business now operated by them, except where the failure so to possess would not reasonably be expected, singly or in the aggregate, to result in an Adviser Material Adverse Effect. The Adviser and its subsidiaries are in compliance with the terms and conditions of all such Governmental Licenses, except where the failure so to comply would not reasonably be expected, singly or in the aggregate, to result in an Adviser Material Adverse Effect. All of the Governmental Licenses are valid and in full force and effect, except when the invalidity of such Governmental Licenses or the failure of such Governmental Licenses to be in full force and effect would not reasonably be expected, singly or in the aggregate, to result in an Adviser Material Adverse Effect. The Adviser and its subsidiaries have not received any notice of proceedings relating to the revocation or modification of any such Governmental Licenses which, singly or in the aggregate, if the subject of an unfavorable decision, ruling or finding, would reasonably be expected to result in an Adviser Material Adverse Effect.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(x)</w:t>
      </w:r>
    </w:p>
    <w:p>
      <w:pPr>
        <w:pStyle w:val="TextBody"/>
        <w:bidi w:val="0"/>
        <w:spacing w:before="0" w:after="120"/>
        <w:jc w:val="both"/>
        <w:rPr>
          <w:rFonts w:ascii="Times New Roman" w:hAnsi="Times New Roman"/>
          <w:sz w:val="20"/>
        </w:rPr>
      </w:pPr>
      <w:r>
        <w:rPr>
          <w:rFonts w:ascii="Times New Roman" w:hAnsi="Times New Roman"/>
          <w:color w:val="000000"/>
          <w:sz w:val="20"/>
          <w:u w:val="single"/>
        </w:rPr>
        <w:t>Stabilization and Manipulation</w:t>
      </w:r>
      <w:r>
        <w:rPr>
          <w:rFonts w:ascii="Times New Roman" w:hAnsi="Times New Roman"/>
          <w:color w:val="000000"/>
          <w:sz w:val="20"/>
        </w:rPr>
        <w:t xml:space="preserve">. The Adviser has not taken, nor will the Adviser take, directly or indirectly, without giving effect to any activities by the Underwriters, any action designed, or that would reasonably be expected, to cause or result in, or which constitutes, the stabilization or manipulation of the price of the Securities.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(xi)</w:t>
      </w:r>
    </w:p>
    <w:p>
      <w:pPr>
        <w:pStyle w:val="TextBody"/>
        <w:bidi w:val="0"/>
        <w:spacing w:before="0" w:after="120"/>
        <w:jc w:val="both"/>
        <w:rPr>
          <w:rFonts w:ascii="Times New Roman" w:hAnsi="Times New Roman"/>
          <w:sz w:val="20"/>
        </w:rPr>
      </w:pPr>
      <w:r>
        <w:rPr>
          <w:rFonts w:ascii="Times New Roman" w:hAnsi="Times New Roman"/>
          <w:color w:val="000000"/>
          <w:sz w:val="20"/>
          <w:u w:val="single"/>
        </w:rPr>
        <w:t>No Unlawful Payments</w:t>
      </w:r>
      <w:r>
        <w:rPr>
          <w:rFonts w:ascii="Times New Roman" w:hAnsi="Times New Roman"/>
          <w:color w:val="000000"/>
          <w:sz w:val="20"/>
        </w:rPr>
        <w:t xml:space="preserve">. Neither the Adviser nor any of its subsidiaries, nor any director, officer or employee of the Adviser or any of its subsidiaries nor, to the knowledge of the Adviser, any agent, affiliate or other person associated with or acting on behalf of the Adviser or any of its subsidiaries has (i) used any corporate funds for any unlawful contribution, gift, entertainment or other unlawful expense relating to political activity; (ii) made or taken an act in furtherance of an offer, payment, promise or authorization of any direct or indirect unlawful payment or benefit to any foreign or domestic government official or employee, including of any government-owned or controlled entity or of a public international organization,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or any person acting in an official capacity for or on behalf of any of the foregoing, or any political party or party official or candidate for political office, or any person in violation of any applicable anti-corruption laws; (iii) violated or is in violation of any provision of the FCPA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 or (iv) made, offered, agreed, requested or taken an act in furtherance of any unlawful bribe or other unlawful benefit, including, without limitation, any rebate, payoff, influence payment, kickback or other unlawful or improper payment or benefit. The Adviser and its subsidiaries have conducted their business in compliance with applicable anti-corruption laws and have instituted, maintained and enforced, and will continue to maintain and enforce policies and procedures designed to promote and ensure compliance with all applicable anti-bribery and anti-corruption laws and with the representations and warranties contained herein; and the Adviser and its subsidiaries will not cause the Company to use, directly or indirectly, the proceeds of the offering of the Securities in furtherance of any payment, promise to pay, or authorization of the payment or giving of money, or anything else of value, to any person in violation of any applicable anti-corruption laws.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(xii)</w:t>
      </w:r>
    </w:p>
    <w:p>
      <w:pPr>
        <w:pStyle w:val="TextBody"/>
        <w:bidi w:val="0"/>
        <w:spacing w:before="0" w:after="120"/>
        <w:jc w:val="both"/>
        <w:rPr>
          <w:rFonts w:ascii="Times New Roman" w:hAnsi="Times New Roman"/>
          <w:sz w:val="20"/>
        </w:rPr>
      </w:pPr>
      <w:r>
        <w:rPr>
          <w:rFonts w:ascii="Times New Roman" w:hAnsi="Times New Roman"/>
          <w:color w:val="000000"/>
          <w:sz w:val="20"/>
          <w:u w:val="single"/>
        </w:rPr>
        <w:t>Compliance with Anti-Money Laundering Laws</w:t>
      </w:r>
      <w:r>
        <w:rPr>
          <w:rFonts w:ascii="Times New Roman" w:hAnsi="Times New Roman"/>
          <w:color w:val="000000"/>
          <w:sz w:val="20"/>
        </w:rPr>
        <w:t>. The operations of the Adviser and its subsidiaries are and have been conducted at all times in compliance with applicable financial recordkeeping and reporting requirements of the Anti-Money Laundering Laws, and no action, suit or proceeding by or before any Governmental Entity or other authority, body or agency having jurisdiction over the Adviser or any of its subsidiaries or any of their properties, assets or operations involving the Adviser or any of its subsidiaries with respect to the Anti-Money Laundering Laws is pending or, to the knowledge of the Adviser, threatened.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(xiii)</w:t>
      </w:r>
    </w:p>
    <w:p>
      <w:pPr>
        <w:pStyle w:val="TextBody"/>
        <w:bidi w:val="0"/>
        <w:spacing w:before="0" w:after="120"/>
        <w:jc w:val="both"/>
        <w:rPr>
          <w:rFonts w:ascii="Times New Roman" w:hAnsi="Times New Roman"/>
          <w:sz w:val="20"/>
        </w:rPr>
      </w:pPr>
      <w:r>
        <w:rPr>
          <w:rFonts w:ascii="Times New Roman" w:hAnsi="Times New Roman"/>
          <w:color w:val="000000"/>
          <w:sz w:val="20"/>
          <w:u w:val="single"/>
        </w:rPr>
        <w:t>No Conflicts with Sanctions Laws</w:t>
      </w:r>
      <w:r>
        <w:rPr>
          <w:rFonts w:ascii="Times New Roman" w:hAnsi="Times New Roman"/>
          <w:color w:val="000000"/>
          <w:sz w:val="20"/>
        </w:rPr>
        <w:t>. Neither the Adviser nor any of its subsidiaries or, to the knowledge of the Adviser, any agent, affiliate or other person associated with or acting on behalf of the Adviser or any of its subsidiaries is an individual or entity that is, or is owned or controlled by one or more individuals or entities that are currently the subject or the target of any Sanctions, nor is the Adviser or any its subsidiaries located, organized or resident in a Sanctioned Jurisdiction. For the past five years, the Adviser has not knowingly engaged in, is not now knowingly engaged in, and will not engage in, any dealings or transactions with any person that at the time of the dealing or transaction is or was the subject or the target of Sanctions or with any Sanctioned Jurisdiction.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(xiv)</w:t>
      </w:r>
    </w:p>
    <w:p>
      <w:pPr>
        <w:pStyle w:val="TextBody"/>
        <w:bidi w:val="0"/>
        <w:spacing w:before="0" w:after="120"/>
        <w:jc w:val="both"/>
        <w:rPr>
          <w:rFonts w:ascii="Times New Roman" w:hAnsi="Times New Roman"/>
          <w:sz w:val="20"/>
        </w:rPr>
      </w:pPr>
      <w:r>
        <w:rPr>
          <w:rFonts w:ascii="Times New Roman" w:hAnsi="Times New Roman"/>
          <w:color w:val="000000"/>
          <w:sz w:val="20"/>
          <w:u w:val="single"/>
        </w:rPr>
        <w:t>Key Employees</w:t>
      </w:r>
      <w:r>
        <w:rPr>
          <w:rFonts w:ascii="Times New Roman" w:hAnsi="Times New Roman"/>
          <w:i/>
          <w:color w:val="000000"/>
          <w:sz w:val="20"/>
        </w:rPr>
        <w:t xml:space="preserve">. </w:t>
      </w:r>
      <w:r>
        <w:rPr>
          <w:rFonts w:ascii="Times New Roman" w:hAnsi="Times New Roman"/>
          <w:color w:val="000000"/>
          <w:sz w:val="20"/>
        </w:rPr>
        <w:t xml:space="preserve">The Adviser is not aware that (i) any of the executive officers, key employees or significant group of employees that provide services to the Company pursuant to the Investment Advisory Agreement or Administration Agreement plans to terminate employment with the Adviser or the Administrator or (ii) any such executive officer or key employee is subject to any noncompete, nondisclosure, confidentiality, employment, consulting or similar agreement that would be violated by either the Adviser’s present or proposed business activities, except, in each case, as would not reasonably be expected, singly or in the aggregate, to result in an Adviser Material Adverse Effect.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(xv)</w:t>
      </w:r>
    </w:p>
    <w:p>
      <w:pPr>
        <w:pStyle w:val="TextBody"/>
        <w:bidi w:val="0"/>
        <w:spacing w:before="0" w:after="120"/>
        <w:jc w:val="both"/>
        <w:rPr>
          <w:rFonts w:ascii="Times New Roman" w:hAnsi="Times New Roman"/>
          <w:sz w:val="20"/>
        </w:rPr>
      </w:pPr>
      <w:r>
        <w:rPr>
          <w:rFonts w:ascii="Times New Roman" w:hAnsi="Times New Roman"/>
          <w:color w:val="000000"/>
          <w:sz w:val="20"/>
          <w:u w:val="single"/>
        </w:rPr>
        <w:t>No Labor Disputes</w:t>
      </w:r>
      <w:r>
        <w:rPr>
          <w:rFonts w:ascii="Times New Roman" w:hAnsi="Times New Roman"/>
          <w:i/>
          <w:color w:val="000000"/>
          <w:sz w:val="20"/>
        </w:rPr>
        <w:t>.</w:t>
      </w:r>
      <w:r>
        <w:rPr>
          <w:rFonts w:ascii="Times New Roman" w:hAnsi="Times New Roman"/>
          <w:color w:val="000000"/>
          <w:sz w:val="20"/>
        </w:rPr>
        <w:t xml:space="preserve"> No labor disturbance by or dispute with employees of the Adviser or the Administrator exists or, to the knowledge of the Adviser, is contemplated or threatened, and the Adviser is not aware of any existing or imminent labor disturbance by, or dispute with, the employees, except in each case as would not reasonably be expected to result in an Adviser Material Adverse Effect.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(xvi)</w:t>
      </w:r>
    </w:p>
    <w:p>
      <w:pPr>
        <w:pStyle w:val="TextBody"/>
        <w:bidi w:val="0"/>
        <w:spacing w:before="0" w:after="120"/>
        <w:jc w:val="both"/>
        <w:rPr>
          <w:rFonts w:ascii="Times New Roman" w:hAnsi="Times New Roman"/>
          <w:sz w:val="20"/>
        </w:rPr>
      </w:pPr>
      <w:r>
        <w:rPr>
          <w:rFonts w:ascii="Times New Roman" w:hAnsi="Times New Roman"/>
          <w:color w:val="000000"/>
          <w:sz w:val="20"/>
          <w:u w:val="single"/>
        </w:rPr>
        <w:t>Accounting Controls</w:t>
      </w:r>
      <w:r>
        <w:rPr>
          <w:rFonts w:ascii="Times New Roman" w:hAnsi="Times New Roman"/>
          <w:color w:val="000000"/>
          <w:sz w:val="20"/>
        </w:rPr>
        <w:t>. The Adviser maintains a system of internal accounting controls sufficient to provide reasonable assurance that (A) transactions effectuated by the Adviser under the Investment Advisory Agreement are executed in accordance with its management’s general or specific authorization, (B) access to the Company’s consolidated assets that are in its possession or control is permitted only in accordance with its management’s general or specific authorization, (C) transactions for which the Adviser has bookkeeping and record-keeping responsibility under the Investment Advisory Agreement are recorded as necessary to permit preparation of the Company’s financial statements in conformity with GAAP and to maintain accountability for the Company’s assets, and (D) the recorded accountability for such assets is compared with existing assets at reasonable intervals and appropriate action is taken with respect to any differences.</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(xvii)</w:t>
      </w:r>
    </w:p>
    <w:p>
      <w:pPr>
        <w:pStyle w:val="TextBody"/>
        <w:bidi w:val="0"/>
        <w:spacing w:before="120" w:after="120"/>
        <w:jc w:val="both"/>
        <w:rPr>
          <w:rFonts w:ascii="Times New Roman" w:hAnsi="Times New Roman"/>
          <w:sz w:val="20"/>
        </w:rPr>
      </w:pPr>
      <w:r>
        <w:rPr>
          <w:rFonts w:ascii="Times New Roman" w:hAnsi="Times New Roman"/>
          <w:color w:val="000000"/>
          <w:sz w:val="20"/>
          <w:u w:val="single"/>
        </w:rPr>
        <w:t>Financial Resources</w:t>
      </w:r>
      <w:r>
        <w:rPr>
          <w:rFonts w:ascii="Times New Roman" w:hAnsi="Times New Roman"/>
          <w:color w:val="000000"/>
          <w:sz w:val="20"/>
        </w:rPr>
        <w:t xml:space="preserve">. The Adviser has the financial resources available to it necessary for the performance of its services and obligations as contemplated by the Registration Statement, the General Disclosure Package, the Prospectus and the Investment Advisory Agreement.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120"/>
        <w:jc w:val="both"/>
        <w:rPr>
          <w:rFonts w:ascii="Times New Roman" w:hAnsi="Times New Roman"/>
          <w:sz w:val="20"/>
        </w:rPr>
      </w:pPr>
      <w:r>
        <w:rPr>
          <w:rFonts w:ascii="Times New Roman" w:hAnsi="Times New Roman"/>
          <w:i/>
          <w:color w:val="000000"/>
          <w:sz w:val="20"/>
        </w:rPr>
        <w:t>Officer’s Certificates.</w:t>
      </w:r>
      <w:r>
        <w:rPr>
          <w:rFonts w:ascii="Times New Roman" w:hAnsi="Times New Roman"/>
          <w:color w:val="000000"/>
          <w:sz w:val="20"/>
        </w:rPr>
        <w:t xml:space="preserve"> Any certificate signed by any officer of the Company or the Adviser delivered to the Representative or to counsel for the Underwriters shall be deemed a representation and warranty by the Company or the Adviser, as applicable, to each Underwriter as to the matters covered thereby.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jc w:val="both"/>
        <w:rPr>
          <w:rFonts w:ascii="Times New Roman" w:hAnsi="Times New Roman"/>
          <w:sz w:val="20"/>
        </w:rPr>
      </w:pPr>
      <w:r>
        <w:rPr>
          <w:rFonts w:ascii="Times New Roman" w:hAnsi="Times New Roman"/>
          <w:i/>
          <w:color w:val="000000"/>
          <w:sz w:val="20"/>
        </w:rPr>
        <w:t>Agreements to Sell and Purchase</w:t>
      </w:r>
      <w:r>
        <w:rPr>
          <w:rFonts w:ascii="Times New Roman" w:hAnsi="Times New Roman"/>
          <w:color w:val="000000"/>
          <w:sz w:val="20"/>
        </w:rPr>
        <w:t>. The Company agrees to sell to the several Underwriters, and each Underwriter, upon the basis of the representations and warranties herein contained but subject to the conditions hereinafter stated, agrees severally and not jointly to purchase from the Company, at the price (the “</w:t>
      </w:r>
      <w:r>
        <w:rPr>
          <w:rFonts w:ascii="Times New Roman" w:hAnsi="Times New Roman"/>
          <w:b/>
          <w:color w:val="000000"/>
          <w:sz w:val="20"/>
        </w:rPr>
        <w:t>Purchase Price</w:t>
      </w:r>
      <w:r>
        <w:rPr>
          <w:rFonts w:ascii="Times New Roman" w:hAnsi="Times New Roman"/>
          <w:color w:val="000000"/>
          <w:sz w:val="20"/>
        </w:rPr>
        <w:t xml:space="preserve">”) set forth in </w:t>
      </w:r>
      <w:r>
        <w:rPr>
          <w:rFonts w:ascii="Times New Roman" w:hAnsi="Times New Roman"/>
          <w:color w:val="000000"/>
          <w:sz w:val="20"/>
          <w:u w:val="single"/>
        </w:rPr>
        <w:t>Schedule II</w:t>
      </w:r>
      <w:r>
        <w:rPr>
          <w:rFonts w:ascii="Times New Roman" w:hAnsi="Times New Roman"/>
          <w:color w:val="000000"/>
          <w:sz w:val="20"/>
        </w:rPr>
        <w:t xml:space="preserve">, the aggregate principal amount of Securities set forth in </w:t>
      </w:r>
      <w:r>
        <w:rPr>
          <w:rFonts w:ascii="Times New Roman" w:hAnsi="Times New Roman"/>
          <w:color w:val="000000"/>
          <w:sz w:val="20"/>
          <w:u w:val="single"/>
        </w:rPr>
        <w:t>Schedule I</w:t>
      </w:r>
      <w:r>
        <w:rPr>
          <w:rFonts w:ascii="Times New Roman" w:hAnsi="Times New Roman"/>
          <w:color w:val="000000"/>
          <w:sz w:val="20"/>
        </w:rPr>
        <w:t xml:space="preserve"> hereto opposite the name of such Underwriter, plus any additional aggregate principal amount of Securities which such Underwriter may become obligated to purchase pursuant to the provisions of </w:t>
      </w:r>
      <w:r>
        <w:rPr>
          <w:rFonts w:ascii="Times New Roman" w:hAnsi="Times New Roman"/>
          <w:color w:val="000000"/>
          <w:sz w:val="20"/>
          <w:u w:val="single"/>
        </w:rPr>
        <w:t>Section 2</w:t>
      </w:r>
      <w:r>
        <w:rPr>
          <w:rFonts w:ascii="Times New Roman" w:hAnsi="Times New Roman"/>
          <w:color w:val="000000"/>
          <w:sz w:val="20"/>
        </w:rPr>
        <w:t xml:space="preserve"> and </w:t>
      </w:r>
      <w:r>
        <w:rPr>
          <w:rFonts w:ascii="Times New Roman" w:hAnsi="Times New Roman"/>
          <w:color w:val="000000"/>
          <w:sz w:val="20"/>
          <w:u w:val="single"/>
        </w:rPr>
        <w:t>Section 10</w:t>
      </w:r>
      <w:r>
        <w:rPr>
          <w:rFonts w:ascii="Times New Roman" w:hAnsi="Times New Roman"/>
          <w:color w:val="000000"/>
          <w:sz w:val="20"/>
        </w:rPr>
        <w:t xml:space="preserve"> hereof.</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On the basis of the representations and warranties contained in this Agreement and subject to its terms and conditions the Company agrees to sell to the Underwriters, and the Underwriters shall have the right to purchase severally and not jointly, up to an additional $6,750,000 aggregate principal amount of Securities at the Purchase Price without giving effect to any accrued interest from the Closing Date to the relevant Option Closing Date as those terms are defined herein. The Representative may exercise this right on behalf of the Underwriters in whole or from time to time in part by giving written notice not later than 30 days after the date of this Agreement. Any exercise notice shall specify the aggregate principal amount of Additional Notes to be purchased by the Underwriters and the date on which such aggregate principal amount of Additional Notes are to be purchased. Each purchase date must be at least one business day after the written notice is given and may not be earlier than the Closing Date nor later than ten business days after the date of such notice. Additional Notes may be purchased as provided in </w:t>
      </w:r>
      <w:r>
        <w:rPr>
          <w:rFonts w:ascii="Times New Roman" w:hAnsi="Times New Roman"/>
          <w:color w:val="000000"/>
          <w:sz w:val="20"/>
          <w:u w:val="single"/>
        </w:rPr>
        <w:t>Section 4</w:t>
      </w:r>
      <w:r>
        <w:rPr>
          <w:rFonts w:ascii="Times New Roman" w:hAnsi="Times New Roman"/>
          <w:color w:val="000000"/>
          <w:sz w:val="20"/>
        </w:rPr>
        <w:t xml:space="preserve"> hereof solely for the purpose of covering over-allotments made in connection with the offering of the Notes. On each day, if any, that Additional Notes are to be purchased (an “</w:t>
      </w:r>
      <w:r>
        <w:rPr>
          <w:rFonts w:ascii="Times New Roman" w:hAnsi="Times New Roman"/>
          <w:b/>
          <w:color w:val="000000"/>
          <w:sz w:val="20"/>
        </w:rPr>
        <w:t>Option Closing Date</w:t>
      </w:r>
      <w:r>
        <w:rPr>
          <w:rFonts w:ascii="Times New Roman" w:hAnsi="Times New Roman"/>
          <w:color w:val="000000"/>
          <w:sz w:val="20"/>
        </w:rPr>
        <w:t xml:space="preserve">”), each Underwriter agrees severally and not jointly to purchase the aggregate principal amount of Additional Notes that bears the same proportion to the total aggregate principal amount of Additional Notes to be purchased on such Option Closing Date as the aggregate principal amount of Notes set forth in </w:t>
      </w:r>
      <w:r>
        <w:rPr>
          <w:rFonts w:ascii="Times New Roman" w:hAnsi="Times New Roman"/>
          <w:color w:val="000000"/>
          <w:sz w:val="20"/>
          <w:u w:val="single"/>
        </w:rPr>
        <w:t>Schedule I</w:t>
      </w:r>
      <w:r>
        <w:rPr>
          <w:rFonts w:ascii="Times New Roman" w:hAnsi="Times New Roman"/>
          <w:color w:val="000000"/>
          <w:sz w:val="20"/>
        </w:rPr>
        <w:t xml:space="preserve"> hereto opposite the name of such Underwriter bears to the total aggregate principal amount of Notes.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During the period of 90 days from the date of the Prospectus, the Company will not, without the prior written consent of the Representative, directly or indirectly offer, pledge, sell, contract to sell, grant any option for the sale of or otherwise transfer or dispose of any debt securities issued or guaranteed by the Company or any securities convertible into or exercisable or exchangeable for debt securities issued or guaranteed by the Company or file any registration statement under the Securities Act with respect to any of the foregoing; provided that the foregoing limitation will not apply to the Company’s ability to file a post-effective amendment to the Registration Statement for purposes of adding this Agreement, the Indenture and certain other documents related to the transactions contemplated by this Agreement as exhibits to the Registration Statement.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jc w:val="both"/>
        <w:rPr/>
      </w:pPr>
      <w:r>
        <w:rPr>
          <w:rFonts w:ascii="Times New Roman" w:hAnsi="Times New Roman"/>
          <w:i/>
          <w:color w:val="000000"/>
          <w:sz w:val="20"/>
        </w:rPr>
        <w:t>Terms of Public Offering</w:t>
      </w:r>
      <w:r>
        <w:rPr>
          <w:rFonts w:ascii="Times New Roman" w:hAnsi="Times New Roman"/>
          <w:color w:val="000000"/>
          <w:sz w:val="20"/>
        </w:rPr>
        <w:t>. The Company is advised by the Representative that the Underwriters propose to make a public offering of their respective portions of the Securities as soon after this Agreement has become effective as in the Representative’s judgment is advisable. The Company is further advised by the Representative</w:t>
      </w:r>
      <w:r>
        <w:rPr>
          <w:color w:val="000000"/>
        </w:rPr>
        <w:t xml:space="preserve"> </w:t>
      </w:r>
      <w:r>
        <w:rPr>
          <w:rFonts w:ascii="Times New Roman" w:hAnsi="Times New Roman"/>
          <w:color w:val="000000"/>
          <w:sz w:val="20"/>
        </w:rPr>
        <w:t>that the Securities are to be offered to the public from time to time in one or more negotiated transactions at prices that may be different than par. These sales may occur at market prices prevailing at the time of sale, at prices related to such prevailing market prices, or at negotiated prices.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rFonts w:ascii="Times New Roman" w:hAnsi="Times New Roman"/>
          <w:color w:val="000000"/>
          <w:sz w:val="20"/>
        </w:rPr>
      </w:pPr>
      <w:r>
        <w:rPr>
          <w:rFonts w:ascii="Times New Roman" w:hAnsi="Times New Roman"/>
          <w:color w:val="000000"/>
          <w:sz w:val="20"/>
        </w:rPr>
        <w:t>4.</w:t>
      </w:r>
    </w:p>
    <w:p>
      <w:pPr>
        <w:pStyle w:val="TextBody"/>
        <w:bidi w:val="0"/>
        <w:jc w:val="both"/>
        <w:rPr>
          <w:rFonts w:ascii="Times New Roman" w:hAnsi="Times New Roman"/>
          <w:sz w:val="20"/>
        </w:rPr>
      </w:pPr>
      <w:r>
        <w:rPr>
          <w:rFonts w:ascii="Times New Roman" w:hAnsi="Times New Roman"/>
          <w:i/>
          <w:color w:val="000000"/>
          <w:sz w:val="20"/>
        </w:rPr>
        <w:t>Payment and Delivery</w:t>
      </w:r>
      <w:r>
        <w:rPr>
          <w:rFonts w:ascii="Times New Roman" w:hAnsi="Times New Roman"/>
          <w:color w:val="000000"/>
          <w:sz w:val="20"/>
        </w:rPr>
        <w:t>. Payment for the Notes to be sold by the Company shall be made to the Company in Federal or other funds immediately available in New York City against delivery of such Notes for the respective accounts of the several Underwriters at the offices of Eversheds Sutherland (US) LLP, 1114 Sixth Ave, New York, New York 10036, or at such other places as shall be agreed upon by the Representative and the Company at 10:00 a.m. New York City time on October 1, 2026, or at such other time on the same or such other date as shall be designated in writing by the Representative. The time and date of such payment are hereinafter referred to as the “</w:t>
      </w:r>
      <w:r>
        <w:rPr>
          <w:rFonts w:ascii="Times New Roman" w:hAnsi="Times New Roman"/>
          <w:b/>
          <w:color w:val="000000"/>
          <w:sz w:val="20"/>
        </w:rPr>
        <w:t>Closing Date</w:t>
      </w:r>
      <w:r>
        <w:rPr>
          <w:rFonts w:ascii="Times New Roman" w:hAnsi="Times New Roman"/>
          <w:color w:val="000000"/>
          <w:sz w:val="20"/>
        </w:rPr>
        <w:t>.”</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Payment for any Additional Notes shall be made to the Company in Federal or other funds immediately available in New York City against delivery of such Additional Notes for the respective accounts of the several Underwriters at the above-mentioned offices, or at such other place as shall be agreed upon by the Representative and the Company, at 10:00 a.m. New York City time on the date specified in the corresponding notice described in </w:t>
      </w:r>
      <w:r>
        <w:rPr>
          <w:rFonts w:ascii="Times New Roman" w:hAnsi="Times New Roman"/>
          <w:color w:val="000000"/>
          <w:sz w:val="20"/>
          <w:u w:val="single"/>
        </w:rPr>
        <w:t>Section</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120" w:after="120"/>
        <w:jc w:val="both"/>
        <w:rPr>
          <w:rFonts w:ascii="Times New Roman" w:hAnsi="Times New Roman"/>
          <w:sz w:val="20"/>
        </w:rPr>
      </w:pPr>
      <w:r>
        <w:rPr>
          <w:rFonts w:ascii="Times New Roman" w:hAnsi="Times New Roman"/>
          <w:color w:val="000000"/>
          <w:sz w:val="20"/>
          <w:u w:val="single"/>
        </w:rPr>
        <w:t>2</w:t>
      </w:r>
      <w:r>
        <w:rPr>
          <w:rFonts w:ascii="Times New Roman" w:hAnsi="Times New Roman"/>
          <w:color w:val="000000"/>
          <w:sz w:val="20"/>
        </w:rPr>
        <w:t>, or at such other time on the same or on such other date in any event not later than October 31, 2026, as shall be designated in writing by the Representative.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Notes and Additional Notes shall be registered in such names as the Representative shall request in writing not later than one full business day prior to the Closing Date or the applicable Option Closing Date, as the case may be. The Notes and Additional Notes shall be delivered to the Representative on the Closing Date or an Option Closing Date, as the case may be, for the respective accounts of the several Underwriters, with any transfer taxes payable in connection with the transfer of the Securities to the Underwriters duly paid against payment of the Purchase Price therefor.</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5.</w:t>
      </w:r>
    </w:p>
    <w:p>
      <w:pPr>
        <w:pStyle w:val="TextBody"/>
        <w:bidi w:val="0"/>
        <w:spacing w:before="0" w:after="120"/>
        <w:jc w:val="both"/>
        <w:rPr>
          <w:rFonts w:ascii="Times New Roman" w:hAnsi="Times New Roman"/>
          <w:sz w:val="20"/>
        </w:rPr>
      </w:pPr>
      <w:r>
        <w:rPr>
          <w:rFonts w:ascii="Times New Roman" w:hAnsi="Times New Roman"/>
          <w:i/>
          <w:color w:val="000000"/>
          <w:sz w:val="20"/>
        </w:rPr>
        <w:t>Conditions to the Underwriters’ Obligations</w:t>
      </w:r>
      <w:r>
        <w:rPr>
          <w:rFonts w:ascii="Times New Roman" w:hAnsi="Times New Roman"/>
          <w:color w:val="000000"/>
          <w:sz w:val="20"/>
        </w:rPr>
        <w:t>. The several obligations of the Underwriters are subject to the following conditions: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Subsequent to the execution and delivery of this Agreement and prior to the Closing Date: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there shall not have occurred any downgrading, nor shall any notice have been given of any intended or potential downgrading or of any review for a possible change that does not indicate the direction of the possible change, in the rating accorded any of the securities of the Company by any “nationally recognized statistical rating organization,” as such term is defined in Section 3(a)(62) of the Exchange Act;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there shall not have occurred any change, or any development involving a prospective change, in the condition, financial or otherwise, or in the earnings, business or operations of the Company from that set forth in the General Disclosure Package as of the date of this Agreement that, in the judgment of the Representative, is material and adverse and that makes it, in the judgment of the Representative, impracticable to market the Securities on the terms and in the manner contemplated in the General Disclosure Package;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(iii)</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there shall not have occurred any change, or any development involving a prospective change, in the condition, financial or otherwise, or in the business or operations of the Adviser from that set forth in the General Disclosure Package as of the date of this Agreement that, in the judgment of the Representative, is material and adverse and that makes it, in the judgment of the Representative, impracticable to market the Securities on the terms and in the manner contemplated in the General Disclosure Package; and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(iv)</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Company and the Trustee shall have executed and delivered the Indenture and the Securities.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Underwriters shall have received on the Closing Date: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a certificate, dated the Closing Date and signed by an executive officer of the Company, in the form attached as </w:t>
      </w:r>
      <w:r>
        <w:rPr>
          <w:rFonts w:ascii="Times New Roman" w:hAnsi="Times New Roman"/>
          <w:color w:val="000000"/>
          <w:sz w:val="20"/>
          <w:u w:val="single"/>
        </w:rPr>
        <w:t>Exhibit B</w:t>
      </w:r>
      <w:r>
        <w:rPr>
          <w:rFonts w:ascii="Times New Roman" w:hAnsi="Times New Roman"/>
          <w:color w:val="000000"/>
          <w:sz w:val="20"/>
        </w:rPr>
        <w:t xml:space="preserve"> hereto; and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 certificate, dated the Closing Date and signed by an executive officer of the Adviser, to the effect that the representations and warranties of the Adviser contained in this Agreement are true and correct as of the Closing Date and that the Adviser has complied with all of the agreements and satisfied all of the conditions on its part to be performed or satisfied hereunder on or before the Closing Date.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officer signing and delivering such certificates may rely upon the best of his or her knowledge as to proceedings threatened.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Underwriters shall have received on the Closing Date: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an opinion and negative assurance letter of Dechert LLP, outside counsel for the Company, dated the Closing Date, to the effect set forth in </w:t>
      </w:r>
      <w:r>
        <w:rPr>
          <w:rFonts w:ascii="Times New Roman" w:hAnsi="Times New Roman"/>
          <w:color w:val="000000"/>
          <w:sz w:val="20"/>
          <w:u w:val="single"/>
        </w:rPr>
        <w:t>Exhibit A</w:t>
      </w:r>
      <w:r>
        <w:rPr>
          <w:rFonts w:ascii="Times New Roman" w:hAnsi="Times New Roman"/>
          <w:color w:val="000000"/>
          <w:sz w:val="20"/>
        </w:rPr>
        <w:t xml:space="preserve"> hereto; and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an opinion and negative assurance letter of Eversheds Sutherland (US) LLP, counsel for the Underwriters, dated the Closing Date.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opinion of Dechert LLP described in clause (c)(i) above shall be rendered to the Underwriters at the request of the Company and shall so state therein.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Underwriters shall have received, on each of the date hereof and the Closing Date, a letter dated the date hereof or the Closing Date, as the case may be, in form and substance satisfactory to the Underwriters, from each of Deloitte &amp; Touche LLP and RSM US LLP, current and prior independent public accountants of the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Company, respectively, containing statements and information of the type ordinarily included in accountants’ “comfort letters” to underwriters with respect to the financial statements and certain financial information included or incorporated by reference in the Registration Statement, the General Disclosure Package and the Prospectus; provided that the letter delivered on the Closing Date shall use a “cut-off date” not earlier than the date hereof.</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The Underwriters shall have received, on each of the date hereof and the Closing Date, a certificate dated as of the date hereof or the Closing Date, as the case may be, of the Chief Financial Officer of the Company in substantially the form of </w:t>
      </w:r>
      <w:r>
        <w:rPr>
          <w:rFonts w:ascii="Times New Roman" w:hAnsi="Times New Roman"/>
          <w:color w:val="000000"/>
          <w:sz w:val="20"/>
          <w:u w:val="single"/>
        </w:rPr>
        <w:t>Exhibit C</w:t>
      </w:r>
      <w:r>
        <w:rPr>
          <w:rFonts w:ascii="Times New Roman" w:hAnsi="Times New Roman"/>
          <w:color w:val="000000"/>
          <w:sz w:val="20"/>
        </w:rPr>
        <w:t xml:space="preserve"> hereto.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several obligations of the Underwriters to purchase Additional Notes hereunder are subject to the delivery to the Underwriters on the applicable Option Closing Date of such documents as the Representative may reasonably request with respect to the good standing of the Company, the due authorization and issuance of the Additional Notes to be sold on such Option Closing Date, the legal opinions and certificates set forth above, and other matters related to the issuance of such Additional Notes.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6.</w:t>
      </w:r>
    </w:p>
    <w:p>
      <w:pPr>
        <w:pStyle w:val="TextBody"/>
        <w:bidi w:val="0"/>
        <w:spacing w:before="0" w:after="120"/>
        <w:jc w:val="both"/>
        <w:rPr>
          <w:rFonts w:ascii="Times New Roman" w:hAnsi="Times New Roman"/>
          <w:sz w:val="20"/>
        </w:rPr>
      </w:pPr>
      <w:r>
        <w:rPr>
          <w:rFonts w:ascii="Times New Roman" w:hAnsi="Times New Roman"/>
          <w:i/>
          <w:color w:val="000000"/>
          <w:sz w:val="20"/>
        </w:rPr>
        <w:t>Covenants of the Company</w:t>
      </w:r>
      <w:r>
        <w:rPr>
          <w:rFonts w:ascii="Times New Roman" w:hAnsi="Times New Roman"/>
          <w:color w:val="000000"/>
          <w:sz w:val="20"/>
        </w:rPr>
        <w:t>. The Company covenants with each Underwriter as follows: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To furnish to the Representative, without charge, two signed copies of the Registration Statement (including exhibits thereto) and, for delivery to each other Underwriter, a conformed copy of the Registration Statement (without exhibits thereto) and to furnish to the Representative in New York City, without charge, prior to 10:00 a.m. New York City time on the business day next succeeding the date of this Agreement and during the period mentioned in Section 6(d) or 6(e) below, as applicable, as many copies of the General Disclosure Package, the Prospectus and any supplements and amendments thereto or to the Registration Statement as the Representative may reasonably request.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Before amending or supplementing the Registration Statement, the General Disclosure Package or the Prospectus, to furnish to the Representative a copy of each such proposed amendment or supplement and not to file any such proposed amendment or supplement to which the Representative reasonably objects, and to file with the Commission within the applicable period specified in Rule 424(b) under the Securities Act any prospectus required to be filed pursuant to such rule.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120"/>
        <w:jc w:val="both"/>
        <w:rPr>
          <w:rFonts w:ascii="Times New Roman" w:hAnsi="Times New Roman"/>
          <w:sz w:val="20"/>
        </w:rPr>
      </w:pPr>
      <w:r>
        <w:rPr>
          <w:rFonts w:ascii="Times New Roman" w:hAnsi="Times New Roman"/>
          <w:color w:val="000000"/>
          <w:sz w:val="20"/>
          <w:u w:val="single"/>
        </w:rPr>
        <w:t>Additional Disclosure Items</w:t>
      </w:r>
      <w:r>
        <w:rPr>
          <w:rFonts w:ascii="Times New Roman" w:hAnsi="Times New Roman"/>
          <w:color w:val="000000"/>
          <w:sz w:val="20"/>
        </w:rPr>
        <w:t xml:space="preserve">. The Company represents and agrees that, without the prior consent of the Representative, (i) it will not distribute any offering material other than the Registration Statement, the Prospectus, the General Disclosure Package and the Additional Disclosure Items, and (ii) it has not made and will not make any offer relating to the Securities that would constitute a “free writing prospectus,” as defined in Rule 405 under the Securities Act, and which the parties agree for the purposes of this Agreement includes (x) any “advertisement,” as defined in Rule 482 under the Securities Act and (y) any sales literature, materials or information provided to investors by, or with the approval of, the Company in connection with the marketing of the offering of the Securities, including any in-person road show or investor presentations (including slides and scripts relating thereto) made to investors by or on behalf of the Company (each of the materials and information referred to in this </w:t>
      </w:r>
      <w:r>
        <w:rPr>
          <w:rFonts w:ascii="Times New Roman" w:hAnsi="Times New Roman"/>
          <w:color w:val="000000"/>
          <w:sz w:val="20"/>
          <w:u w:val="single"/>
        </w:rPr>
        <w:t>Section 6(c)</w:t>
      </w:r>
      <w:r>
        <w:rPr>
          <w:rFonts w:ascii="Times New Roman" w:hAnsi="Times New Roman"/>
          <w:color w:val="000000"/>
          <w:sz w:val="20"/>
        </w:rPr>
        <w:t xml:space="preserve"> are herein referred to as an “</w:t>
      </w:r>
      <w:r>
        <w:rPr>
          <w:rFonts w:ascii="Times New Roman" w:hAnsi="Times New Roman"/>
          <w:b/>
          <w:color w:val="000000"/>
          <w:sz w:val="20"/>
        </w:rPr>
        <w:t>Additional Disclosure Item</w:t>
      </w:r>
      <w:r>
        <w:rPr>
          <w:rFonts w:ascii="Times New Roman" w:hAnsi="Times New Roman"/>
          <w:color w:val="000000"/>
          <w:sz w:val="20"/>
        </w:rPr>
        <w:t xml:space="preserve">”). Any Additional Disclosure Item the use of which has been consented to by the Representative is listed on </w:t>
      </w:r>
      <w:r>
        <w:rPr>
          <w:rFonts w:ascii="Times New Roman" w:hAnsi="Times New Roman"/>
          <w:color w:val="000000"/>
          <w:sz w:val="20"/>
          <w:u w:val="single"/>
        </w:rPr>
        <w:t>Schedule III</w:t>
      </w:r>
      <w:r>
        <w:rPr>
          <w:rFonts w:ascii="Times New Roman" w:hAnsi="Times New Roman"/>
          <w:color w:val="000000"/>
          <w:sz w:val="20"/>
        </w:rPr>
        <w:t xml:space="preserve"> hereto.</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If the General Disclosure Package is being used to solicit offers to buy the Securities at a time when the Prospectus is not yet available to prospective purchasers and any event shall occur or condition exist as a result of which it is necessary to amend or supplement the General Disclosure Package in order to make the statements therein, in the light of the circumstances, not misleading, or if any event shall occur or condition exist as a result of which the General Disclosure Package conflicts with the information contained in the Registration Statement then on file, or if, in the opinion of counsel for the Underwriters, it is necessary to amend or supplement the General Disclosure Package to comply with applicable law, forthwith to prepare, file with the Commission and furnish, at its own expense, to the Underwriters and to any dealer upon request, either amendments or supplements to the General Disclosure Package so that the statements in the General Disclosure Package as so amended or supplemented will not, in the light of the circumstances when the General Disclosure Package is delivered to a prospective purchaser, be misleading, or so that the General Disclosure Package, as amended or supplemented, will no longer conflict with the Registration Statement, or so that the General Disclosure Package, as amended or supplemented, will comply with applicable law.</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If, during such period after the first date of the public offering of the Securities as in the opinion of counsel for the Underwriters the Prospectus is required by law to be delivered in connection with sales by an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Underwriter or dealer, any event shall occur or condition exist as a result of which it is necessary to amend or supplement the Prospectus in order to make the statements therein, in the light of the circumstances when the Prospectus is delivered to a purchaser, not misleading, or if, in the opinion of counsel for the Underwriters, it is necessary to amend or supplement the Prospectus to comply with applicable law, forthwith to prepare, file with the Commission and furnish, at its own expense, to the Underwriters and to the dealers (whose names and addresses the Representative will furnish to the Company) to which Securities may have been sold by the Representative on behalf of the Underwriters and to any other dealers upon request, either amendments or supplements to the Prospectus so that the statements in the Prospectus as so amended or supplemented will not, in the light of the circumstances when the Prospectus is delivered to a purchaser, be misleading or so that the Prospectus, as amended or supplemented, will comply with applicable law.</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To endeavor to qualify the Securities for offer and sale under the securities or “blue sky” laws of such jurisdictions as the Representative shall reasonably request.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(g)</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To make generally available to the Company’s security holders and to the Representative as soon as practicable an earnings statement covering a period of at least twelve months beginning with the first fiscal quarter of the Company occurring after the date of this Agreement which shall satisfy the provisions of Section 11(a) of the Securities Act and the rules and regulations of the Commission thereunder.</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To use reasonable efforts to maintain its status as a business development company under the 1940 Act; provided, however, that the Company may only cease to be, or withdraw its election to be treated as, a business development company with the approval of its Board of Directors and a vote of stockholders as required by Section 58 of the 1940 Act.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To use reasonable efforts to qualify and elect to be treated as a regulated investment company under subchapter M of the Code and to maintain such qualification and election in effect for each full fiscal year during which it is a business development company under the 1940 Act.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(j)</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To cooperate with the Representative and use its commercially reasonable efforts to permit the offered Securities to be eligible for clearance and settlement through the facilities of DTC.</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(k)</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To use its commercially reasonable efforts to effect within 30 days of the Closing Date the listing of the Securities on the NASDAQ Global Select Market and to use commercially reasonable efforts to maintain such listing.</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7.</w:t>
      </w:r>
    </w:p>
    <w:p>
      <w:pPr>
        <w:pStyle w:val="TextBody"/>
        <w:bidi w:val="0"/>
        <w:spacing w:before="0" w:after="120"/>
        <w:jc w:val="both"/>
        <w:rPr>
          <w:rFonts w:ascii="Times New Roman" w:hAnsi="Times New Roman"/>
          <w:sz w:val="20"/>
        </w:rPr>
      </w:pPr>
      <w:r>
        <w:rPr>
          <w:rFonts w:ascii="Times New Roman" w:hAnsi="Times New Roman"/>
          <w:i/>
          <w:color w:val="000000"/>
          <w:sz w:val="20"/>
        </w:rPr>
        <w:t>Expenses</w:t>
      </w:r>
      <w:r>
        <w:rPr>
          <w:rFonts w:ascii="Times New Roman" w:hAnsi="Times New Roman"/>
          <w:color w:val="000000"/>
          <w:sz w:val="20"/>
        </w:rPr>
        <w:t xml:space="preserve">. Whether or not the transactions contemplated in this Agreement are consummated or this Agreement is terminated, the Company agrees to pay or cause to be paid all expenses incident to the performance of its obligations under this Agreement, including: (i) the fees, disbursements and expenses of the Company’s counsel and the Company’s accountants in connection with the registration and delivery of the Securities under the Securities Act and all other fees or expenses in connection with the preparation and filing of the Registration Statement, any preliminary prospectus, the General Disclosure Package, the Prospectus and amendments and supplements to any of the foregoing, including all printing costs associated therewith, and the mailing and delivering of copies thereof to the Underwriters and dealers, in the quantities hereinabove specified, (ii) all costs and expenses related to the transfer and delivery of the issued Securities to the Underwriters, including any transfer or other taxes payable thereon, (iii) the cost of printing or producing any “blue sky” or legal memorandum in connection with the offer and sale of the Securities under state securities laws, and all expenses in connection with the qualification of the Securities for offer and sale under state securities laws as provided in </w:t>
      </w:r>
      <w:r>
        <w:rPr>
          <w:rFonts w:ascii="Times New Roman" w:hAnsi="Times New Roman"/>
          <w:color w:val="000000"/>
          <w:sz w:val="20"/>
          <w:u w:val="single"/>
        </w:rPr>
        <w:t>Section 6(f)</w:t>
      </w:r>
      <w:r>
        <w:rPr>
          <w:rFonts w:ascii="Times New Roman" w:hAnsi="Times New Roman"/>
          <w:color w:val="000000"/>
          <w:sz w:val="20"/>
        </w:rPr>
        <w:t xml:space="preserve"> hereof, including filing fees and the reasonable fees and disbursements of counsel for the Underwriters in connection with such qualification and in connection with the “blue sky” or legal memorandum, (iv) all costs and expenses incident to listing the Securities on the NASDAQ Global Select Market, (v) the costs and expenses of any trustee, (vi) the costs and charges of any transfer agent, registrar or depository, (vii) the costs and expenses of the Company relating to investor presentations on any “road show” undertaken in connection with the marketing of the offering of the Securities,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and officers of the Company and any such consultants, and the cost of any aircraft chartered in connection with the road show, (viii) the document production charges and expenses associated with printing this Agreement, the Indenture, the Securities and such other documents as may be required in connection with the offering, and (ix) all other costs and expenses incident to the performance of the obligations of the Company hereunder for which provision is not otherwise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made in this </w:t>
      </w:r>
      <w:r>
        <w:rPr>
          <w:rFonts w:ascii="Times New Roman" w:hAnsi="Times New Roman"/>
          <w:color w:val="000000"/>
          <w:sz w:val="20"/>
          <w:u w:val="single"/>
        </w:rPr>
        <w:t>Section 7</w:t>
      </w:r>
      <w:r>
        <w:rPr>
          <w:rFonts w:ascii="Times New Roman" w:hAnsi="Times New Roman"/>
          <w:color w:val="000000"/>
          <w:sz w:val="20"/>
        </w:rPr>
        <w:t xml:space="preserve">. It is understood, however, that except as provided in this </w:t>
      </w:r>
      <w:r>
        <w:rPr>
          <w:rFonts w:ascii="Times New Roman" w:hAnsi="Times New Roman"/>
          <w:color w:val="000000"/>
          <w:sz w:val="20"/>
          <w:u w:val="single"/>
        </w:rPr>
        <w:t>Section 7</w:t>
      </w:r>
      <w:r>
        <w:rPr>
          <w:rFonts w:ascii="Times New Roman" w:hAnsi="Times New Roman"/>
          <w:color w:val="000000"/>
          <w:sz w:val="20"/>
        </w:rPr>
        <w:t xml:space="preserve">, </w:t>
      </w:r>
      <w:r>
        <w:rPr>
          <w:rFonts w:ascii="Times New Roman" w:hAnsi="Times New Roman"/>
          <w:color w:val="000000"/>
          <w:sz w:val="20"/>
          <w:u w:val="single"/>
        </w:rPr>
        <w:t>Section 8</w:t>
      </w:r>
      <w:r>
        <w:rPr>
          <w:rFonts w:ascii="Times New Roman" w:hAnsi="Times New Roman"/>
          <w:color w:val="000000"/>
          <w:sz w:val="20"/>
        </w:rPr>
        <w:t xml:space="preserve"> and the last paragraph of </w:t>
      </w:r>
      <w:r>
        <w:rPr>
          <w:rFonts w:ascii="Times New Roman" w:hAnsi="Times New Roman"/>
          <w:color w:val="000000"/>
          <w:sz w:val="20"/>
          <w:u w:val="single"/>
        </w:rPr>
        <w:t>Section 10</w:t>
      </w:r>
      <w:r>
        <w:rPr>
          <w:rFonts w:ascii="Times New Roman" w:hAnsi="Times New Roman"/>
          <w:color w:val="000000"/>
          <w:sz w:val="20"/>
        </w:rPr>
        <w:t xml:space="preserve"> below, the Underwriters will pay all of their costs and expenses, including fees and disbursements of their counsel (except as provided for above in </w:t>
      </w:r>
      <w:r>
        <w:rPr>
          <w:rFonts w:ascii="Times New Roman" w:hAnsi="Times New Roman"/>
          <w:color w:val="000000"/>
          <w:sz w:val="20"/>
          <w:u w:val="single"/>
        </w:rPr>
        <w:t>Sections 7(iii)</w:t>
      </w:r>
      <w:r>
        <w:rPr>
          <w:rFonts w:ascii="Times New Roman" w:hAnsi="Times New Roman"/>
          <w:color w:val="000000"/>
          <w:sz w:val="20"/>
        </w:rPr>
        <w:t xml:space="preserve"> and </w:t>
      </w:r>
      <w:r>
        <w:rPr>
          <w:rFonts w:ascii="Times New Roman" w:hAnsi="Times New Roman"/>
          <w:color w:val="000000"/>
          <w:sz w:val="20"/>
          <w:u w:val="single"/>
        </w:rPr>
        <w:t>7(iv)</w:t>
      </w:r>
      <w:r>
        <w:rPr>
          <w:rFonts w:ascii="Times New Roman" w:hAnsi="Times New Roman"/>
          <w:color w:val="000000"/>
          <w:sz w:val="20"/>
        </w:rPr>
        <w:t>), transfer taxes payable on resale of any of the Securities by them and any advertising expenses connected with any offers they may make.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8.</w:t>
      </w:r>
    </w:p>
    <w:p>
      <w:pPr>
        <w:pStyle w:val="TextBody"/>
        <w:bidi w:val="0"/>
        <w:spacing w:before="0" w:after="120"/>
        <w:jc w:val="both"/>
        <w:rPr>
          <w:rFonts w:ascii="Times New Roman" w:hAnsi="Times New Roman"/>
          <w:sz w:val="20"/>
        </w:rPr>
      </w:pPr>
      <w:r>
        <w:rPr>
          <w:rFonts w:ascii="Times New Roman" w:hAnsi="Times New Roman"/>
          <w:i/>
          <w:color w:val="000000"/>
          <w:sz w:val="20"/>
        </w:rPr>
        <w:t>Indemnity and Contribution</w:t>
      </w:r>
      <w:r>
        <w:rPr>
          <w:rFonts w:ascii="Times New Roman" w:hAnsi="Times New Roman"/>
          <w:color w:val="000000"/>
          <w:sz w:val="2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Company agrees to indemnify and hold harmless each Underwriter, each affiliate of any Underwriter within the meaning of Rule 405 under the Securities Act, the officers, directors, employees, partners and members of any of the foregoing, and each person, if any, who controls any Underwriter within the meaning of either Section 15 of the Securities Act or Section 20 of the Exchange Act, from and against any and all losses, claims, damages and liabilities (including, without limitation, any legal or other expenses reasonably incurred in connection with defending or investigating any such action or claim) caused by any untrue statement or alleged untrue statement of a material fact contained in the Registration Statement or any amendment thereof, any preliminary prospectus, the General Disclosure Package, any Additional Disclosure Item, or the Prospectus or any amendment or supplement thereto, or caused by any omission or alleged omission to state therein a material fact required to be stated therein or necessary to make the statements therein not misleading, except insofar as such losses, claims, damages or liabilities are caused by any such untrue statement or omission or alleged untrue statement or omission based upon information relating to any Underwriter furnished to the Company in writing by such Underwriter through the Representative expressly for use therein.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Adviser agrees, severally and not jointly, to indemnify and hold harmless each Underwriter, each affiliate of any Underwriter within the meaning of Rule 405 under the Securities Act, the officers, directors, employees, partners and members of any of the foregoing, and each person, if any, who controls any Underwriter within the meaning of either Section 15 of the Securities Act or Section 20 of the Exchange Act, to the same extent as the foregoing indemnity from the Company to such Underwriter, but only to the extent that such untrue statement or alleged untrue statement or omission or alleged omission was made in the Registration Statement, any preliminary prospectus, the General Disclosure Package, any Additional Disclosure Item or the Prospectus or any amendment or supplement thereto in reliance upon and in conformity with written information furnished to the Company by the Adviser expressly for use therein.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Each Underwriter agrees, severally and not jointly, to indemnify and hold harmless the Company, the Adviser, the directors of the Company, the officers of the Company who sign the Registration Statement and each person, if any, who controls the Company within the meaning of either Section 15 of the Securities Act or Section 20 of the Exchange Act to the same extent as the foregoing indemnity from the Company to such Underwriter, but only with reference to information relating to such Underwriter furnished to the Company in writing by such Underwriter through the Representative expressly for use in the Registration Statement, any preliminary prospectus, the General Disclosure Package, any Additional Disclosure Item or the Prospectus or any amendment or supplement thereto. For purposes of this Agreement, the only information so furnished shall be the Underwriter Information.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In case any proceeding (including any governmental investigation) shall be instituted involving any person in respect of which indemnity may be sought pursuant to </w:t>
      </w:r>
      <w:r>
        <w:rPr>
          <w:rFonts w:ascii="Times New Roman" w:hAnsi="Times New Roman"/>
          <w:color w:val="000000"/>
          <w:sz w:val="20"/>
          <w:u w:val="single"/>
        </w:rPr>
        <w:t>Section 8(a)</w:t>
      </w:r>
      <w:r>
        <w:rPr>
          <w:rFonts w:ascii="Times New Roman" w:hAnsi="Times New Roman"/>
          <w:color w:val="000000"/>
          <w:sz w:val="20"/>
        </w:rPr>
        <w:t xml:space="preserve"> or </w:t>
      </w:r>
      <w:r>
        <w:rPr>
          <w:rFonts w:ascii="Times New Roman" w:hAnsi="Times New Roman"/>
          <w:color w:val="000000"/>
          <w:sz w:val="20"/>
          <w:u w:val="single"/>
        </w:rPr>
        <w:t>Section 8(b)</w:t>
      </w:r>
      <w:r>
        <w:rPr>
          <w:rFonts w:ascii="Times New Roman" w:hAnsi="Times New Roman"/>
          <w:color w:val="000000"/>
          <w:sz w:val="20"/>
        </w:rPr>
        <w:t>, such person (the “</w:t>
      </w:r>
      <w:r>
        <w:rPr>
          <w:rFonts w:ascii="Times New Roman" w:hAnsi="Times New Roman"/>
          <w:b/>
          <w:color w:val="000000"/>
          <w:sz w:val="20"/>
        </w:rPr>
        <w:t>indemnified party</w:t>
      </w:r>
      <w:r>
        <w:rPr>
          <w:rFonts w:ascii="Times New Roman" w:hAnsi="Times New Roman"/>
          <w:color w:val="000000"/>
          <w:sz w:val="20"/>
        </w:rPr>
        <w:t>”) shall promptly notify the person against whom such indemnity may be sought (the “</w:t>
      </w:r>
      <w:r>
        <w:rPr>
          <w:rFonts w:ascii="Times New Roman" w:hAnsi="Times New Roman"/>
          <w:b/>
          <w:color w:val="000000"/>
          <w:sz w:val="20"/>
        </w:rPr>
        <w:t>indemnifying party</w:t>
      </w:r>
      <w:r>
        <w:rPr>
          <w:rFonts w:ascii="Times New Roman" w:hAnsi="Times New Roman"/>
          <w:color w:val="000000"/>
          <w:sz w:val="20"/>
        </w:rPr>
        <w:t xml:space="preserve">”) in writing (but failure to so notify an indemnifying party shall not relieve such indemnifying party from any liability hereunder to the extent such indemnifying party is not materially prejudiced as a result thereof), and the indemnifying party, upon request of the indemnified party, shall retain counsel reasonably satisfactory to the indemnified party to represent the indemnified party and any others the indemnifying party may designate in such proceeding and shall pay the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respect of the legal expenses of any indemnified party in connection with any proceeding or related proceedings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in the same jurisdiction, be liable for the fees and expenses of more than one separate firm (in addition to any local counsel) for all such indemnified parties, and that all such fees and expenses shall be reimbursed as they are incurred. In the case of any such separate firm for the Underwriters and such control persons and affiliates of any Underwriters, such firm shall be designated in writing by the Representative. In the case of any such separate firm for the Company, and such directors, officers and control persons of the Company, such firm shall be designated in writing by the Company.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Notwithstanding the foregoing sentence, if at any time an indemnified party shall have requested an indemnifying party to reimburse the indemnified party for fees and expenses of counsel as contemplated by the second and third sentences of this </w:t>
      </w:r>
      <w:r>
        <w:rPr>
          <w:rFonts w:ascii="Times New Roman" w:hAnsi="Times New Roman"/>
          <w:color w:val="000000"/>
          <w:sz w:val="20"/>
          <w:u w:val="single"/>
        </w:rPr>
        <w:t>Section 8(c)</w:t>
      </w:r>
      <w:r>
        <w:rPr>
          <w:rFonts w:ascii="Times New Roman" w:hAnsi="Times New Roman"/>
          <w:color w:val="000000"/>
          <w:sz w:val="20"/>
        </w:rPr>
        <w:t>, the indemnifying party agrees that it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(x) includes an unconditional release of such indemnified party from all liability on claims that are the subject matter of such proceeding and (y) does not include a statement as to or an admission of fault, culpability or a failure to act by or on behalf of any indemnified party.</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To the extent the indemnification provided for in </w:t>
      </w:r>
      <w:r>
        <w:rPr>
          <w:rFonts w:ascii="Times New Roman" w:hAnsi="Times New Roman"/>
          <w:color w:val="000000"/>
          <w:sz w:val="20"/>
          <w:u w:val="single"/>
        </w:rPr>
        <w:t>Section 8(a)</w:t>
      </w:r>
      <w:r>
        <w:rPr>
          <w:rFonts w:ascii="Times New Roman" w:hAnsi="Times New Roman"/>
          <w:color w:val="000000"/>
          <w:sz w:val="20"/>
        </w:rPr>
        <w:t xml:space="preserve"> or </w:t>
      </w:r>
      <w:r>
        <w:rPr>
          <w:rFonts w:ascii="Times New Roman" w:hAnsi="Times New Roman"/>
          <w:color w:val="000000"/>
          <w:sz w:val="20"/>
          <w:u w:val="single"/>
        </w:rPr>
        <w:t>Section 8(b)</w:t>
      </w:r>
      <w:r>
        <w:rPr>
          <w:rFonts w:ascii="Times New Roman" w:hAnsi="Times New Roman"/>
          <w:color w:val="000000"/>
          <w:sz w:val="20"/>
        </w:rPr>
        <w:t xml:space="preserve"> is unavailable to an indemnified party or insufficient in respect of any losses, claims, damages or liabilities referred to therein, then each indemnifying party under such section, in lieu of indemnifying such indemnified party thereunder, shall contribute to the amount paid or payable by such indemnified party as a result of such losses, claims, damages or liabilities (i) in such proportion as is appropriate to reflect the relative benefits received by the indemnifying party or parties on the one hand and the indemnified party or parties on the other hand from the offering of the Securities or (ii) if the allocation provided by clause (i) above is not permitted by applicable law, in such proportion as is appropriate to reflect not only the relative benefits referred to in clause (i) above, but also the relative fault of the indemnifying party or parties on the one hand and of the indemnified party or parties on the other hand in connection with the statements or omissions that resulted in such losses, claims, damages or liabilities, as well as any other relevant equitable considerations. The relative benefits received by the Company on the one hand and the Underwriters on the other hand in connection with the offering of the Securities shall be deemed to be in the same respective proportions as the net proceeds from the offering of the Securities (before deducting expenses) received by the Company and the difference between (x) the aggregate price to the public received by the Underwriters and (y) the aggregate price paid by the Underwriters to the Company for the Securities, bear to the aggregate public offering price of the Securities. The relative fault of the Company on the one hand and the Underwriters on the other hand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 The Underwriters’ respective obligations to contribute pursuant to this </w:t>
      </w:r>
      <w:r>
        <w:rPr>
          <w:rFonts w:ascii="Times New Roman" w:hAnsi="Times New Roman"/>
          <w:color w:val="000000"/>
          <w:sz w:val="20"/>
          <w:u w:val="single"/>
        </w:rPr>
        <w:t>Section 8</w:t>
      </w:r>
      <w:r>
        <w:rPr>
          <w:rFonts w:ascii="Times New Roman" w:hAnsi="Times New Roman"/>
          <w:color w:val="000000"/>
          <w:sz w:val="20"/>
        </w:rPr>
        <w:t xml:space="preserve"> are several in proportion to the respective principal amount of Securities they have purchased hereunder, and not joint.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The Company, the Adviser and the Underwriters agree that it would not be just or equitable if contribution pursuant to this </w:t>
      </w:r>
      <w:r>
        <w:rPr>
          <w:rFonts w:ascii="Times New Roman" w:hAnsi="Times New Roman"/>
          <w:color w:val="000000"/>
          <w:sz w:val="20"/>
          <w:u w:val="single"/>
        </w:rPr>
        <w:t>Section 8</w:t>
      </w:r>
      <w:r>
        <w:rPr>
          <w:rFonts w:ascii="Times New Roman" w:hAnsi="Times New Roman"/>
          <w:color w:val="000000"/>
          <w:sz w:val="20"/>
        </w:rPr>
        <w:t xml:space="preserve"> were determined by </w:t>
      </w:r>
      <w:r>
        <w:rPr>
          <w:rFonts w:ascii="Times New Roman" w:hAnsi="Times New Roman"/>
          <w:i/>
          <w:color w:val="000000"/>
          <w:sz w:val="20"/>
        </w:rPr>
        <w:t>pro rata</w:t>
      </w:r>
      <w:r>
        <w:rPr>
          <w:rFonts w:ascii="Times New Roman" w:hAnsi="Times New Roman"/>
          <w:color w:val="000000"/>
          <w:sz w:val="20"/>
        </w:rPr>
        <w:t xml:space="preserve"> allocation (even if the Underwriters were treated as one entity for such purpose) or by any other method of allocation that does not take account of the equitable considerations referred to in </w:t>
      </w:r>
      <w:r>
        <w:rPr>
          <w:rFonts w:ascii="Times New Roman" w:hAnsi="Times New Roman"/>
          <w:color w:val="000000"/>
          <w:sz w:val="20"/>
          <w:u w:val="single"/>
        </w:rPr>
        <w:t>Section 8(d)</w:t>
      </w:r>
      <w:r>
        <w:rPr>
          <w:rFonts w:ascii="Times New Roman" w:hAnsi="Times New Roman"/>
          <w:color w:val="000000"/>
          <w:sz w:val="20"/>
        </w:rPr>
        <w:t xml:space="preserve">. The amount paid or payable by an indemnified party as a result of the losses, claims, damages and liabilities referenced in </w:t>
      </w:r>
      <w:r>
        <w:rPr>
          <w:rFonts w:ascii="Times New Roman" w:hAnsi="Times New Roman"/>
          <w:color w:val="000000"/>
          <w:sz w:val="20"/>
          <w:u w:val="single"/>
        </w:rPr>
        <w:t>Section 8(d)</w:t>
      </w:r>
      <w:r>
        <w:rPr>
          <w:rFonts w:ascii="Times New Roman" w:hAnsi="Times New Roman"/>
          <w:color w:val="000000"/>
          <w:sz w:val="20"/>
        </w:rPr>
        <w:t xml:space="preserve"> shall be deemed to include, subject to the limitations set forth above, any legal or other expenses reasonably incurred by such indemnified party in connection with investigating or defending any such action or claim. Notwithstanding the provisions of this </w:t>
      </w:r>
      <w:r>
        <w:rPr>
          <w:rFonts w:ascii="Times New Roman" w:hAnsi="Times New Roman"/>
          <w:color w:val="000000"/>
          <w:sz w:val="20"/>
          <w:u w:val="single"/>
        </w:rPr>
        <w:t>Section 8</w:t>
      </w:r>
      <w:r>
        <w:rPr>
          <w:rFonts w:ascii="Times New Roman" w:hAnsi="Times New Roman"/>
          <w:color w:val="000000"/>
          <w:sz w:val="20"/>
        </w:rPr>
        <w:t xml:space="preserve">, no Underwriter shall be required to contribute any amount in excess of the amount by which the total price of the Securities underwritten by it and distributed to the public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misrepresentation. The remedies provided for in this </w:t>
      </w:r>
      <w:r>
        <w:rPr>
          <w:rFonts w:ascii="Times New Roman" w:hAnsi="Times New Roman"/>
          <w:color w:val="000000"/>
          <w:sz w:val="20"/>
          <w:u w:val="single"/>
        </w:rPr>
        <w:t>Section 8</w:t>
      </w:r>
      <w:r>
        <w:rPr>
          <w:rFonts w:ascii="Times New Roman" w:hAnsi="Times New Roman"/>
          <w:color w:val="000000"/>
          <w:sz w:val="20"/>
        </w:rPr>
        <w:t xml:space="preserve"> are not exclusive and shall not limit any rights or remedies which may otherwise be available to any indemnified party at law or in equity.</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The indemnity and contribution provisions contained in this </w:t>
      </w:r>
      <w:r>
        <w:rPr>
          <w:rFonts w:ascii="Times New Roman" w:hAnsi="Times New Roman"/>
          <w:color w:val="000000"/>
          <w:sz w:val="20"/>
          <w:u w:val="single"/>
        </w:rPr>
        <w:t>Section 8</w:t>
      </w:r>
      <w:r>
        <w:rPr>
          <w:rFonts w:ascii="Times New Roman" w:hAnsi="Times New Roman"/>
          <w:color w:val="000000"/>
          <w:sz w:val="20"/>
        </w:rPr>
        <w:t xml:space="preserve"> and the representations, warranties and other statements of the Company contained in this Agreement shall remain operative and in full force and effect regardless of (i) any termination of this Agreement, (ii) any investigation made by or on behalf of any Underwriter, any person controlling any Underwriter or any affiliate of any Underwriter, or the Company, its officers or directors or any person controlling the Company, and (iii) acceptance of and payment for any of the Securities.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(g)</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Notwithstanding any other provision of this </w:t>
      </w:r>
      <w:r>
        <w:rPr>
          <w:rFonts w:ascii="Times New Roman" w:hAnsi="Times New Roman"/>
          <w:color w:val="000000"/>
          <w:sz w:val="20"/>
          <w:u w:val="single"/>
        </w:rPr>
        <w:t>Section 8</w:t>
      </w:r>
      <w:r>
        <w:rPr>
          <w:rFonts w:ascii="Times New Roman" w:hAnsi="Times New Roman"/>
          <w:color w:val="000000"/>
          <w:sz w:val="20"/>
        </w:rPr>
        <w:t>, no party shall be entitled to indemnification or contribution under this Agreement in violation of Section 17(i) of the 1940 Act.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9.</w:t>
      </w:r>
    </w:p>
    <w:p>
      <w:pPr>
        <w:pStyle w:val="TextBody"/>
        <w:bidi w:val="0"/>
        <w:spacing w:before="0" w:after="120"/>
        <w:jc w:val="both"/>
        <w:rPr>
          <w:rFonts w:ascii="Times New Roman" w:hAnsi="Times New Roman"/>
          <w:sz w:val="20"/>
        </w:rPr>
      </w:pPr>
      <w:r>
        <w:rPr>
          <w:rFonts w:ascii="Times New Roman" w:hAnsi="Times New Roman"/>
          <w:i/>
          <w:color w:val="000000"/>
          <w:sz w:val="20"/>
        </w:rPr>
        <w:t>Termination</w:t>
      </w:r>
      <w:r>
        <w:rPr>
          <w:rFonts w:ascii="Times New Roman" w:hAnsi="Times New Roman"/>
          <w:color w:val="000000"/>
          <w:sz w:val="20"/>
        </w:rPr>
        <w:t>. The Underwriters may terminate this Agreement by notice given by the Representative to the Company, if after the execution and delivery of this Agreement and prior to the Closing Date (i) trading generally shall have been suspended or materially limited on, or by, as the case may be, any of the NYSE, the NYSE American or the NASDAQ Global Select Market or other relevant exchanges, (ii) there shall have been a downgrade in the rating of any debt of the Company or any subsidiary by any “nationally recognized statistical rating organization,” as such term is defined for purposes of Section 3(a)(62) of the Exchange Act, (iii) trading of any securities of the Company shall have been suspended on any exchange or in any over-the-counter market, (iv) a material disruption in securities settlement, payment or clearance services in the United States or other relevant jurisdiction shall have occurred, (v) any moratorium on commercial banking activities shall have been declared by Federal or New York State authorities, or (vi) there shall have occurred any outbreak or escalation of hostilities, or any change in financial markets or any calamity or crisis that, in the judgment of the Representative, is material and adverse and which, singly or together with any other event specified in this clause (vi), makes it, in the judgment of the Representative, impracticable or inadvisable to proceed with the offer, sale or delivery of the Securities on the terms and in the manner contemplated in the General Disclosure Package or the Prospectus.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10.</w:t>
      </w:r>
    </w:p>
    <w:p>
      <w:pPr>
        <w:pStyle w:val="TextBody"/>
        <w:bidi w:val="0"/>
        <w:spacing w:before="0" w:after="120"/>
        <w:jc w:val="both"/>
        <w:rPr>
          <w:rFonts w:ascii="Times New Roman" w:hAnsi="Times New Roman"/>
          <w:sz w:val="20"/>
        </w:rPr>
      </w:pPr>
      <w:r>
        <w:rPr>
          <w:rFonts w:ascii="Times New Roman" w:hAnsi="Times New Roman"/>
          <w:i/>
          <w:color w:val="000000"/>
          <w:sz w:val="20"/>
        </w:rPr>
        <w:t>Effectiveness; Defaulting Underwriters</w:t>
      </w:r>
      <w:r>
        <w:rPr>
          <w:rFonts w:ascii="Times New Roman" w:hAnsi="Times New Roman"/>
          <w:color w:val="000000"/>
          <w:sz w:val="20"/>
        </w:rPr>
        <w:t xml:space="preserve">. This Agreement shall become effective upon the execution and delivery hereof by the parties hereto. </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If, on the Closing Date or an Option Closing Date, as the case may be, any one or more of the Underwriters shall fail or refuse to purchase Securities that it has or they have agreed to purchase hereunder on such date, and the aggregate principal amount of Securities which such defaulting Underwriter or Underwriters agreed but failed or refused to purchase is not more than one-tenth of the aggregate principal amount of Securities to be purchased on such date, the other Underwriters shall be obligated severally in the proportions that the principal amount of Securities set forth opposite their respective names in </w:t>
      </w:r>
      <w:r>
        <w:rPr>
          <w:rFonts w:ascii="Times New Roman" w:hAnsi="Times New Roman"/>
          <w:color w:val="000000"/>
          <w:sz w:val="20"/>
          <w:u w:val="single"/>
        </w:rPr>
        <w:t>Schedule I</w:t>
      </w:r>
      <w:r>
        <w:rPr>
          <w:rFonts w:ascii="Times New Roman" w:hAnsi="Times New Roman"/>
          <w:color w:val="000000"/>
          <w:sz w:val="20"/>
        </w:rPr>
        <w:t xml:space="preserve"> bears to the aggregate principal amount of Securities set forth opposite the names of all such non-defaulting Underwriters, or in such other proportions as the Representative may specify, to purchase the Securities which such defaulting Underwriter or Underwriters agreed but failed or refused to purchase on such date; </w:t>
      </w:r>
      <w:r>
        <w:rPr>
          <w:rFonts w:ascii="Times New Roman" w:hAnsi="Times New Roman"/>
          <w:i/>
          <w:color w:val="000000"/>
          <w:sz w:val="20"/>
        </w:rPr>
        <w:t>provided</w:t>
      </w:r>
      <w:r>
        <w:rPr>
          <w:rFonts w:ascii="Times New Roman" w:hAnsi="Times New Roman"/>
          <w:color w:val="000000"/>
          <w:sz w:val="20"/>
        </w:rPr>
        <w:t xml:space="preserve"> that in no event shall the principal amount of Securities that any Underwriter has agreed to purchase pursuant to this Agreement be increased pursuant to this </w:t>
      </w:r>
      <w:r>
        <w:rPr>
          <w:rFonts w:ascii="Times New Roman" w:hAnsi="Times New Roman"/>
          <w:color w:val="000000"/>
          <w:sz w:val="20"/>
          <w:u w:val="single"/>
        </w:rPr>
        <w:t>Section 10</w:t>
      </w:r>
      <w:r>
        <w:rPr>
          <w:rFonts w:ascii="Times New Roman" w:hAnsi="Times New Roman"/>
          <w:color w:val="000000"/>
          <w:sz w:val="20"/>
        </w:rPr>
        <w:t xml:space="preserve"> by an amount in excess of one-ninth of such principal amount of Securities without the written consent of such Underwriter. If, on the Closing Date, any Underwriter or Underwriters shall fail or refuse to purchase Notes and the aggregate principal amount of Notes with respect to which such default occurs is more than one-tenth of the aggregate principal amount of Notes to be purchased on such date, and arrangements satisfactory to the Representative and the Company for the purchase of such Notes are not made within thirty-six (36) hours after such default, this Agreement shall terminate without liability on the part of any non-defaulting Underwriter or the Company. In any such case either the Representative or the Company shall have the right to postpone the Closing Date, but in no event for longer than seven (7) days, in order that the required changes, if any, in the Registration Statement, the General Disclosure Package, the Prospectus or any other documents or arrangements may be effected. If, on an Option Closing Date, any Underwriter or Underwriters shall fail or refuse to purchase Additional Notes and the aggregate principal of Additional Notes with respect to which such default occurs is more than one-tenth of the aggregate principal amount of Additional Notes to be purchased on such Option Closing Date, the non-defaulting Underwriters shall have the option to (i) terminate their obligation hereunder to purchase the Additional Notes to be sold on such Option Closing Date or (ii) purchase not less than the principal amount of Additional Notes that such non-defaulting Underwriters would have been obligated to purchase in the absence of such default. Any action taken under this </w:t>
      </w:r>
      <w:r>
        <w:rPr>
          <w:rFonts w:ascii="Times New Roman" w:hAnsi="Times New Roman"/>
          <w:color w:val="000000"/>
          <w:sz w:val="20"/>
          <w:u w:val="single"/>
        </w:rPr>
        <w:t>Section 10</w:t>
      </w:r>
      <w:r>
        <w:rPr>
          <w:rFonts w:ascii="Times New Roman" w:hAnsi="Times New Roman"/>
          <w:color w:val="000000"/>
          <w:sz w:val="20"/>
        </w:rPr>
        <w:t xml:space="preserve"> shall not relieve any defaulting Underwriter from liability in respect of any default of such Underwriter under this Agreement.</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the Company will reimburse the Underwriters or such Underwriters as have so terminated this Agreement with respect to themselves, severally in proportion to the respective principal amount of Securities sold by the Company for all out-of-pocket expenses (including the fees and disbursements of their counsel) reasonably incurred by such Underwriters in connection with this Agreement or the offering contemplated hereunder.</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11.</w:t>
      </w:r>
    </w:p>
    <w:p>
      <w:pPr>
        <w:pStyle w:val="TextBody"/>
        <w:bidi w:val="0"/>
        <w:spacing w:before="0" w:after="120"/>
        <w:jc w:val="both"/>
        <w:rPr>
          <w:rFonts w:ascii="Times New Roman" w:hAnsi="Times New Roman"/>
          <w:sz w:val="20"/>
        </w:rPr>
      </w:pPr>
      <w:r>
        <w:rPr>
          <w:rFonts w:ascii="Times New Roman" w:hAnsi="Times New Roman"/>
          <w:i/>
          <w:color w:val="000000"/>
          <w:sz w:val="20"/>
        </w:rPr>
        <w:t>Entire Agreement</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This Agreement, together with any contemporaneous written agreements and any prior written agreements (to the extent not superseded by this Agreement) that relate to the offering of the Securities, represents the entire agreement between the Company and the Adviser, on the one hand, and the Underwriters, on the other, with respect to the preparation of any preliminary prospectus, the General Disclosure Package, the Prospectus, the conduct of the offering, and the purchase and sale of the Securities.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Company acknowledges that in connection with the offering of the Securities: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Underwriters have acted at arm’s length, are not agents of, and owe no fiduciary duties to, the Company or any other person;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Underwriters owe the Company only those duties and obligations set forth in this Agreement and prior written agreements (to the extent not superseded by this Agreement), if any;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(iii)</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Underwriters may have interests that differ from those of the Company;</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(iv)</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Underwriters have not provided any legal, accounting, regulatory or tax advice with respect to the offering contemplated hereby and the Company has consulted its own legal, accounting, regulatory and tax advisors to the extent it deemed appropriate; and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(v)</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none of the activities of the Underwriters in connection with the transactions contemplated herein constitutes a recommendation, investment advice, or solicitation of any action by the Underwriters with respect to any entity or natural person.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Company waives to the full extent permitted by applicable law any claims it may have against the Underwriters arising from an alleged breach of fiduciary duty in connection with the offering of the Securities.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12.</w:t>
      </w:r>
    </w:p>
    <w:p>
      <w:pPr>
        <w:pStyle w:val="TextBody"/>
        <w:bidi w:val="0"/>
        <w:spacing w:before="0" w:after="120"/>
        <w:jc w:val="both"/>
        <w:rPr>
          <w:rFonts w:ascii="Times New Roman" w:hAnsi="Times New Roman"/>
          <w:sz w:val="20"/>
        </w:rPr>
      </w:pPr>
      <w:r>
        <w:rPr>
          <w:rFonts w:ascii="Times New Roman" w:hAnsi="Times New Roman"/>
          <w:i/>
          <w:color w:val="000000"/>
          <w:sz w:val="20"/>
        </w:rPr>
        <w:t>Counterparts</w:t>
      </w:r>
      <w:r>
        <w:rPr>
          <w:rFonts w:ascii="Times New Roman" w:hAnsi="Times New Roman"/>
          <w:color w:val="000000"/>
          <w:sz w:val="20"/>
        </w:rPr>
        <w:t>. This Agreement may be signed in two or more counterparts, each of which shall be an original, with the same effect as if the signatures thereto and hereto were upon the same instrument.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13.</w:t>
      </w:r>
    </w:p>
    <w:p>
      <w:pPr>
        <w:pStyle w:val="TextBody"/>
        <w:bidi w:val="0"/>
        <w:spacing w:before="0" w:after="120"/>
        <w:jc w:val="both"/>
        <w:rPr>
          <w:rFonts w:ascii="Times New Roman" w:hAnsi="Times New Roman"/>
          <w:sz w:val="20"/>
        </w:rPr>
      </w:pPr>
      <w:r>
        <w:rPr>
          <w:rFonts w:ascii="Times New Roman" w:hAnsi="Times New Roman"/>
          <w:i/>
          <w:color w:val="000000"/>
          <w:sz w:val="20"/>
        </w:rPr>
        <w:t>Tax Disclosure.</w:t>
      </w:r>
      <w:r>
        <w:rPr>
          <w:rFonts w:ascii="Times New Roman" w:hAnsi="Times New Roman"/>
          <w:color w:val="000000"/>
          <w:sz w:val="20"/>
        </w:rPr>
        <w:t xml:space="preserve"> Notwithstanding any other provision of this Agreement, from the commencement of discussions with respect to the transactions contemplated hereby, the Company (and each employee, representative or other agent of the Company) may disclose to any and all persons, without limitation of any kind, the tax treatment and tax structure (as such terms are used in Sections 6011, 6111 and 6112 of the Code and the Treasury Regulations promulgated thereunder) of the transactions contemplated by this Agreement and all materials of any kind (including opinions or other tax analyses) that are provided relating to such tax treatment and tax structure.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14.</w:t>
      </w:r>
    </w:p>
    <w:p>
      <w:pPr>
        <w:pStyle w:val="TextBody"/>
        <w:bidi w:val="0"/>
        <w:spacing w:before="0" w:after="120"/>
        <w:jc w:val="both"/>
        <w:rPr>
          <w:rFonts w:ascii="Times New Roman" w:hAnsi="Times New Roman"/>
          <w:i/>
          <w:color w:val="000000"/>
          <w:sz w:val="20"/>
        </w:rPr>
      </w:pPr>
      <w:r>
        <w:rPr>
          <w:rFonts w:ascii="Times New Roman" w:hAnsi="Times New Roman"/>
          <w:i/>
          <w:color w:val="000000"/>
          <w:sz w:val="20"/>
        </w:rPr>
        <w:t>Recognition of the U.S. Special Resolution Regimes.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(c)</w:t>
      </w:r>
    </w:p>
    <w:p>
      <w:pPr>
        <w:pStyle w:val="TextBody"/>
        <w:bidi w:val="0"/>
        <w:spacing w:before="120" w:after="120"/>
        <w:jc w:val="both"/>
        <w:rPr>
          <w:rFonts w:ascii="Times New Roman" w:hAnsi="Times New Roman"/>
          <w:sz w:val="20"/>
        </w:rPr>
      </w:pPr>
      <w:r>
        <w:rPr>
          <w:rFonts w:ascii="Times New Roman" w:hAnsi="Times New Roman"/>
          <w:color w:val="000000"/>
          <w:sz w:val="20"/>
        </w:rPr>
        <w:t>For purposes of this Section 14, a “</w:t>
      </w:r>
      <w:r>
        <w:rPr>
          <w:rFonts w:ascii="Times New Roman" w:hAnsi="Times New Roman"/>
          <w:b/>
          <w:color w:val="000000"/>
          <w:sz w:val="20"/>
        </w:rPr>
        <w:t>BHC Act Affiliate</w:t>
      </w:r>
      <w:r>
        <w:rPr>
          <w:rFonts w:ascii="Times New Roman" w:hAnsi="Times New Roman"/>
          <w:color w:val="000000"/>
          <w:sz w:val="20"/>
        </w:rPr>
        <w:t>” has the meaning assigned to the term “affiliate” in, and shall be interpreted in accordance with, 12 U.S.C. § 1841(k). “</w:t>
      </w:r>
      <w:r>
        <w:rPr>
          <w:rFonts w:ascii="Times New Roman" w:hAnsi="Times New Roman"/>
          <w:b/>
          <w:color w:val="000000"/>
          <w:sz w:val="20"/>
        </w:rPr>
        <w:t>Covered Entity</w:t>
      </w:r>
      <w:r>
        <w:rPr>
          <w:rFonts w:ascii="Times New Roman" w:hAnsi="Times New Roman"/>
          <w:color w:val="000000"/>
          <w:sz w:val="20"/>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r>
        <w:rPr>
          <w:rFonts w:ascii="Times New Roman" w:hAnsi="Times New Roman"/>
          <w:b/>
          <w:color w:val="000000"/>
          <w:sz w:val="20"/>
        </w:rPr>
        <w:t>Default Right</w:t>
      </w:r>
      <w:r>
        <w:rPr>
          <w:rFonts w:ascii="Times New Roman" w:hAnsi="Times New Roman"/>
          <w:color w:val="000000"/>
          <w:sz w:val="20"/>
        </w:rPr>
        <w:t>” has the meaning assigned to that term in, and shall be interpreted in accordance with, 12 C.F.R. §§ 252.81, 47.2 or 382.1, as applicable. “</w:t>
      </w:r>
      <w:r>
        <w:rPr>
          <w:rFonts w:ascii="Times New Roman" w:hAnsi="Times New Roman"/>
          <w:b/>
          <w:color w:val="000000"/>
          <w:sz w:val="20"/>
        </w:rPr>
        <w:t>U.S. Special Resolution Regime</w:t>
      </w:r>
      <w:r>
        <w:rPr>
          <w:rFonts w:ascii="Times New Roman" w:hAnsi="Times New Roman"/>
          <w:color w:val="000000"/>
          <w:sz w:val="20"/>
        </w:rPr>
        <w:t>” means each of (i) the Federal Deposit Insurance Act and the regulations promulgated thereunder and (ii) Title II of the Dodd-Frank Wall Street Reform and Consumer Protection Act and the regulations promulgated thereunder.</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15.</w:t>
      </w:r>
    </w:p>
    <w:p>
      <w:pPr>
        <w:pStyle w:val="TextBody"/>
        <w:bidi w:val="0"/>
        <w:spacing w:before="0" w:after="120"/>
        <w:jc w:val="both"/>
        <w:rPr>
          <w:rFonts w:ascii="Times New Roman" w:hAnsi="Times New Roman"/>
          <w:sz w:val="20"/>
        </w:rPr>
      </w:pPr>
      <w:r>
        <w:rPr>
          <w:rFonts w:ascii="Times New Roman" w:hAnsi="Times New Roman"/>
          <w:i/>
          <w:color w:val="000000"/>
          <w:sz w:val="20"/>
        </w:rPr>
        <w:t>Applicable Law</w:t>
      </w:r>
      <w:r>
        <w:rPr>
          <w:rFonts w:ascii="Times New Roman" w:hAnsi="Times New Roman"/>
          <w:color w:val="000000"/>
          <w:sz w:val="20"/>
        </w:rPr>
        <w:t>. This Agreement shall be governed by and construed in accordance with the internal laws of the State of New York.</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16.</w:t>
      </w:r>
    </w:p>
    <w:p>
      <w:pPr>
        <w:pStyle w:val="TextBody"/>
        <w:bidi w:val="0"/>
        <w:spacing w:before="0" w:after="120"/>
        <w:jc w:val="both"/>
        <w:rPr>
          <w:rFonts w:ascii="Times New Roman" w:hAnsi="Times New Roman"/>
          <w:sz w:val="20"/>
        </w:rPr>
      </w:pPr>
      <w:r>
        <w:rPr>
          <w:rFonts w:ascii="Times New Roman" w:hAnsi="Times New Roman"/>
          <w:i/>
          <w:color w:val="000000"/>
          <w:sz w:val="20"/>
        </w:rPr>
        <w:t>Headings</w:t>
      </w:r>
      <w:r>
        <w:rPr>
          <w:rFonts w:ascii="Times New Roman" w:hAnsi="Times New Roman"/>
          <w:color w:val="000000"/>
          <w:sz w:val="20"/>
        </w:rPr>
        <w:t>. The headings of the sections of this Agreement have been inserted for convenience of reference only and shall not be deemed a part of this Agreement.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17.</w:t>
      </w:r>
    </w:p>
    <w:p>
      <w:pPr>
        <w:pStyle w:val="TextBody"/>
        <w:bidi w:val="0"/>
        <w:spacing w:lineRule="auto" w:line="360" w:before="0" w:after="120"/>
        <w:jc w:val="both"/>
        <w:rPr>
          <w:rFonts w:ascii="Times New Roman" w:hAnsi="Times New Roman"/>
          <w:sz w:val="13"/>
        </w:rPr>
      </w:pPr>
      <w:r>
        <w:rPr>
          <w:rFonts w:ascii="Times New Roman" w:hAnsi="Times New Roman"/>
          <w:i/>
          <w:color w:val="000000"/>
          <w:sz w:val="20"/>
        </w:rPr>
        <w:t xml:space="preserve">Notices. </w:t>
      </w:r>
      <w:r>
        <w:rPr>
          <w:rFonts w:ascii="Times New Roman" w:hAnsi="Times New Roman"/>
          <w:color w:val="000000"/>
          <w:sz w:val="20"/>
        </w:rPr>
        <w:t>All communications hereunder shall be in writing and effective only upon receipt and, if to the Underwriters, shall be delivered, mailed or sent to the Representative in care of Oppenheimer &amp; Co. Inc., 85 Broad Street, 23</w:t>
      </w:r>
      <w:r>
        <w:rPr>
          <w:rFonts w:ascii="Times New Roman" w:hAnsi="Times New Roman"/>
          <w:color w:val="000000"/>
          <w:sz w:val="13"/>
        </w:rPr>
        <w:t xml:space="preserve">rd </w:t>
      </w:r>
      <w:r>
        <w:rPr>
          <w:rFonts w:ascii="Times New Roman" w:hAnsi="Times New Roman"/>
          <w:color w:val="000000"/>
          <w:sz w:val="20"/>
        </w:rPr>
        <w:t>Floor, New York, NY 10004, with a copy, which shall not constitute notice, to Eversheds Sutherland (US) LLP, 700 6th Street NW, Washington, DC 20001, attention of Payam Siadatpour, Esq., and, if to the Company, shall be delivered, mailed or sent to Runway Growth Finance Corp., 205 N. Michigan Ave., Suite 4200, Chicago, IL 60601, with a copy, which shall not constitute notice, to Dechert LLP, 1900 K Street NW, Washington, DC 20006, attention of Harry S. Pangas, Esq.</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[SIGNATURE PAGE FOLLOWS]</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3419" w:type="dxa"/>
        <w:jc w:val="left"/>
        <w:tblInd w:w="0" w:type="dxa"/>
        <w:tblLayout w:type="fixed"/>
        <w:tblCellMar>
          <w:top w:w="28" w:type="dxa"/>
          <w:left w:w="28" w:type="dxa"/>
          <w:bottom w:w="28" w:type="dxa"/>
          <w:right w:w="28" w:type="dxa"/>
        </w:tblCellMar>
      </w:tblPr>
      <w:tblGrid>
        <w:gridCol w:w="461"/>
        <w:gridCol w:w="160"/>
        <w:gridCol w:w="2798"/>
      </w:tblGrid>
      <w:tr>
        <w:trPr/>
        <w:tc>
          <w:tcPr>
            <w:tcW w:w="46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798"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Very truly yours,</w:t>
            </w:r>
          </w:p>
          <w:p>
            <w:pPr>
              <w:pStyle w:val="TableContents"/>
              <w:bidi w:val="0"/>
              <w:jc w:val="left"/>
              <w:rPr/>
            </w:pPr>
            <w:r>
              <w:rPr/>
              <w:t> </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 xml:space="preserve">RUNWAY GROWTH FINANCE CORP. </w:t>
            </w:r>
          </w:p>
        </w:tc>
      </w:tr>
      <w:tr>
        <w:trPr/>
        <w:tc>
          <w:tcPr>
            <w:tcW w:w="461" w:type="dxa"/>
            <w:tcBorders/>
            <w:tcMar>
              <w:top w:w="0" w:type="dxa"/>
              <w:left w:w="0" w:type="dxa"/>
              <w:bottom w:w="0" w:type="dxa"/>
              <w:right w:w="0" w:type="dxa"/>
            </w:tcMar>
            <w:vAlign w:val="center"/>
          </w:tcPr>
          <w:p>
            <w:pPr>
              <w:pStyle w:val="TableContents"/>
              <w:bidi w:val="0"/>
              <w:spacing w:before="0" w:after="283"/>
              <w:jc w:val="left"/>
              <w:rPr/>
            </w:pPr>
            <w:r>
              <w:rPr/>
              <w:t> </w:t>
            </w:r>
          </w:p>
        </w:tc>
        <w:tc>
          <w:tcPr>
            <w:tcW w:w="2958"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60"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2798"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Carmela Thomson</w:t>
            </w:r>
          </w:p>
        </w:tc>
      </w:tr>
      <w:tr>
        <w:trPr/>
        <w:tc>
          <w:tcPr>
            <w:tcW w:w="461" w:type="dxa"/>
            <w:tcBorders/>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tcMar>
              <w:top w:w="0" w:type="dxa"/>
              <w:left w:w="0" w:type="dxa"/>
              <w:bottom w:w="0" w:type="dxa"/>
              <w:right w:w="0" w:type="dxa"/>
            </w:tcMar>
            <w:vAlign w:val="center"/>
          </w:tcPr>
          <w:p>
            <w:pPr>
              <w:pStyle w:val="TableContents"/>
              <w:bidi w:val="0"/>
              <w:spacing w:before="0" w:after="283"/>
              <w:jc w:val="left"/>
              <w:rPr/>
            </w:pPr>
            <w:r>
              <w:rPr/>
              <w:t> </w:t>
            </w:r>
          </w:p>
        </w:tc>
        <w:tc>
          <w:tcPr>
            <w:tcW w:w="27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Carmela Thomson</w:t>
            </w:r>
          </w:p>
        </w:tc>
      </w:tr>
      <w:tr>
        <w:trPr/>
        <w:tc>
          <w:tcPr>
            <w:tcW w:w="461" w:type="dxa"/>
            <w:tcBorders/>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tcMar>
              <w:top w:w="0" w:type="dxa"/>
              <w:left w:w="0" w:type="dxa"/>
              <w:bottom w:w="0" w:type="dxa"/>
              <w:right w:w="0" w:type="dxa"/>
            </w:tcMar>
            <w:vAlign w:val="center"/>
          </w:tcPr>
          <w:p>
            <w:pPr>
              <w:pStyle w:val="TableContents"/>
              <w:bidi w:val="0"/>
              <w:spacing w:before="0" w:after="283"/>
              <w:jc w:val="left"/>
              <w:rPr/>
            </w:pPr>
            <w:r>
              <w:rPr/>
              <w:t> </w:t>
            </w:r>
          </w:p>
        </w:tc>
        <w:tc>
          <w:tcPr>
            <w:tcW w:w="27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Title: Chief Financial Officer </w:t>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00"/>
                <w:sz w:val="20"/>
              </w:rPr>
            </w:pPr>
            <w:r>
              <w:rPr>
                <w:rFonts w:ascii="Times New Roman" w:hAnsi="Times New Roman"/>
                <w:caps/>
                <w:color w:val="000000"/>
                <w:sz w:val="20"/>
              </w:rPr>
              <w:t>Runway Growth Capital LLC</w:t>
            </w:r>
          </w:p>
        </w:tc>
      </w:tr>
      <w:tr>
        <w:trPr/>
        <w:tc>
          <w:tcPr>
            <w:tcW w:w="461" w:type="dxa"/>
            <w:tcBorders/>
            <w:tcMar>
              <w:top w:w="0" w:type="dxa"/>
              <w:left w:w="0" w:type="dxa"/>
              <w:bottom w:w="0" w:type="dxa"/>
              <w:right w:w="0" w:type="dxa"/>
            </w:tcMar>
            <w:vAlign w:val="center"/>
          </w:tcPr>
          <w:p>
            <w:pPr>
              <w:pStyle w:val="TableContents"/>
              <w:bidi w:val="0"/>
              <w:spacing w:before="0" w:after="283"/>
              <w:jc w:val="left"/>
              <w:rPr/>
            </w:pPr>
            <w:r>
              <w:rPr/>
              <w:t> </w:t>
            </w:r>
          </w:p>
        </w:tc>
        <w:tc>
          <w:tcPr>
            <w:tcW w:w="2958"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60"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2798"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Carmela Thomson</w:t>
            </w:r>
          </w:p>
        </w:tc>
      </w:tr>
      <w:tr>
        <w:trPr/>
        <w:tc>
          <w:tcPr>
            <w:tcW w:w="461" w:type="dxa"/>
            <w:tcBorders/>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tcMar>
              <w:top w:w="0" w:type="dxa"/>
              <w:left w:w="0" w:type="dxa"/>
              <w:bottom w:w="0" w:type="dxa"/>
              <w:right w:w="0" w:type="dxa"/>
            </w:tcMar>
            <w:vAlign w:val="center"/>
          </w:tcPr>
          <w:p>
            <w:pPr>
              <w:pStyle w:val="TableContents"/>
              <w:bidi w:val="0"/>
              <w:spacing w:before="0" w:after="283"/>
              <w:jc w:val="left"/>
              <w:rPr/>
            </w:pPr>
            <w:r>
              <w:rPr/>
              <w:t> </w:t>
            </w:r>
          </w:p>
        </w:tc>
        <w:tc>
          <w:tcPr>
            <w:tcW w:w="27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Carmela Thomson</w:t>
            </w:r>
          </w:p>
        </w:tc>
      </w:tr>
      <w:tr>
        <w:trPr/>
        <w:tc>
          <w:tcPr>
            <w:tcW w:w="461" w:type="dxa"/>
            <w:tcBorders/>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tcMar>
              <w:top w:w="0" w:type="dxa"/>
              <w:left w:w="0" w:type="dxa"/>
              <w:bottom w:w="0" w:type="dxa"/>
              <w:right w:w="0" w:type="dxa"/>
            </w:tcMar>
            <w:vAlign w:val="center"/>
          </w:tcPr>
          <w:p>
            <w:pPr>
              <w:pStyle w:val="TableContents"/>
              <w:bidi w:val="0"/>
              <w:spacing w:before="0" w:after="283"/>
              <w:jc w:val="left"/>
              <w:rPr/>
            </w:pPr>
            <w:r>
              <w:rPr/>
              <w:t> </w:t>
            </w:r>
          </w:p>
        </w:tc>
        <w:tc>
          <w:tcPr>
            <w:tcW w:w="27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Title: Chief Financial Officer </w:t>
            </w:r>
          </w:p>
        </w:tc>
      </w:tr>
      <w:tr>
        <w:trPr/>
        <w:tc>
          <w:tcPr>
            <w:tcW w:w="461" w:type="dxa"/>
            <w:tcBorders/>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tcMar>
              <w:top w:w="0" w:type="dxa"/>
              <w:left w:w="0" w:type="dxa"/>
              <w:bottom w:w="0" w:type="dxa"/>
              <w:right w:w="0" w:type="dxa"/>
            </w:tcMar>
            <w:vAlign w:val="center"/>
          </w:tcPr>
          <w:p>
            <w:pPr>
              <w:pStyle w:val="TableContents"/>
              <w:bidi w:val="0"/>
              <w:spacing w:before="0" w:after="283"/>
              <w:jc w:val="left"/>
              <w:rPr/>
            </w:pPr>
            <w:r>
              <w:rPr/>
              <w:t> </w:t>
            </w:r>
          </w:p>
        </w:tc>
        <w:tc>
          <w:tcPr>
            <w:tcW w:w="279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61" w:type="dxa"/>
            <w:tcBorders/>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tcMar>
              <w:top w:w="0" w:type="dxa"/>
              <w:left w:w="0" w:type="dxa"/>
              <w:bottom w:w="0" w:type="dxa"/>
              <w:right w:w="0" w:type="dxa"/>
            </w:tcMar>
            <w:vAlign w:val="center"/>
          </w:tcPr>
          <w:p>
            <w:pPr>
              <w:pStyle w:val="TableContents"/>
              <w:bidi w:val="0"/>
              <w:spacing w:before="0" w:after="283"/>
              <w:jc w:val="left"/>
              <w:rPr/>
            </w:pPr>
            <w:r>
              <w:rPr/>
              <w:t> </w:t>
            </w:r>
          </w:p>
        </w:tc>
        <w:tc>
          <w:tcPr>
            <w:tcW w:w="279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61" w:type="dxa"/>
            <w:tcBorders/>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tcMar>
              <w:top w:w="0" w:type="dxa"/>
              <w:left w:w="0" w:type="dxa"/>
              <w:bottom w:w="0" w:type="dxa"/>
              <w:right w:w="0" w:type="dxa"/>
            </w:tcMar>
            <w:vAlign w:val="center"/>
          </w:tcPr>
          <w:p>
            <w:pPr>
              <w:pStyle w:val="TableContents"/>
              <w:bidi w:val="0"/>
              <w:spacing w:before="0" w:after="283"/>
              <w:jc w:val="left"/>
              <w:rPr/>
            </w:pPr>
            <w:r>
              <w:rPr/>
              <w:t> </w:t>
            </w:r>
          </w:p>
        </w:tc>
        <w:tc>
          <w:tcPr>
            <w:tcW w:w="2798"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16"/>
        </w:rPr>
      </w:pPr>
      <w:r>
        <w:rPr>
          <w:rFonts w:ascii="Times New Roman" w:hAnsi="Times New Roman"/>
          <w:i/>
          <w:color w:val="000000"/>
          <w:sz w:val="16"/>
        </w:rPr>
        <w:t>[Company Signature Page - Underwriting Agreement (Baby Bond – September 2026)]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CONFIRMED AND ACCEPTED, </w:t>
      </w:r>
    </w:p>
    <w:p>
      <w:pPr>
        <w:pStyle w:val="TextBody"/>
        <w:bidi w:val="0"/>
        <w:jc w:val="left"/>
        <w:rPr>
          <w:rFonts w:ascii="Times New Roman" w:hAnsi="Times New Roman"/>
          <w:color w:val="000000"/>
          <w:sz w:val="20"/>
        </w:rPr>
      </w:pPr>
      <w:r>
        <w:rPr>
          <w:rFonts w:ascii="Times New Roman" w:hAnsi="Times New Roman"/>
          <w:color w:val="000000"/>
          <w:sz w:val="20"/>
        </w:rPr>
        <w:t xml:space="preserve">as of the date first above written: </w:t>
      </w:r>
    </w:p>
    <w:p>
      <w:pPr>
        <w:pStyle w:val="TextBody"/>
        <w:bidi w:val="0"/>
        <w:jc w:val="left"/>
        <w:rPr/>
      </w:pPr>
      <w:r>
        <w:rPr/>
        <w:t> </w:t>
      </w:r>
    </w:p>
    <w:p>
      <w:pPr>
        <w:pStyle w:val="TextBody"/>
        <w:bidi w:val="0"/>
        <w:jc w:val="left"/>
        <w:rPr/>
      </w:pPr>
      <w:r>
        <w:rPr/>
        <w:t> </w:t>
      </w:r>
    </w:p>
    <w:tbl>
      <w:tblPr>
        <w:tblW w:w="3043" w:type="dxa"/>
        <w:jc w:val="left"/>
        <w:tblInd w:w="0" w:type="dxa"/>
        <w:tblLayout w:type="fixed"/>
        <w:tblCellMar>
          <w:top w:w="28" w:type="dxa"/>
          <w:left w:w="28" w:type="dxa"/>
          <w:bottom w:w="28" w:type="dxa"/>
          <w:right w:w="28" w:type="dxa"/>
        </w:tblCellMar>
      </w:tblPr>
      <w:tblGrid>
        <w:gridCol w:w="421"/>
        <w:gridCol w:w="146"/>
        <w:gridCol w:w="2476"/>
      </w:tblGrid>
      <w:tr>
        <w:trPr/>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OPPENHEIMER &amp; CO. INC.</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262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247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JD Nelson</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JD Nelson</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Managing Director</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262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262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color w:val="000000"/>
          <w:sz w:val="20"/>
        </w:rPr>
        <w:t xml:space="preserve">For itself and as Representative of the other Underwriters named in </w:t>
      </w:r>
      <w:r>
        <w:rPr>
          <w:rFonts w:ascii="Times New Roman" w:hAnsi="Times New Roman"/>
          <w:color w:val="000000"/>
          <w:sz w:val="20"/>
          <w:u w:val="single"/>
        </w:rPr>
        <w:t>Schedule I</w:t>
      </w:r>
      <w:r>
        <w:rPr>
          <w:rFonts w:ascii="Times New Roman" w:hAnsi="Times New Roman"/>
          <w:color w:val="000000"/>
          <w:sz w:val="20"/>
        </w:rPr>
        <w:t xml:space="preserve"> hereto. </w:t>
      </w:r>
    </w:p>
    <w:p>
      <w:pPr>
        <w:pStyle w:val="TextBody"/>
        <w:bidi w:val="0"/>
        <w:jc w:val="center"/>
        <w:rPr>
          <w:rFonts w:ascii="Times New Roman" w:hAnsi="Times New Roman"/>
          <w:i/>
          <w:color w:val="000000"/>
          <w:sz w:val="16"/>
        </w:rPr>
      </w:pPr>
      <w:r>
        <w:rPr>
          <w:rFonts w:ascii="Times New Roman" w:hAnsi="Times New Roman"/>
          <w:i/>
          <w:color w:val="000000"/>
          <w:sz w:val="16"/>
        </w:rPr>
        <w:t>[Underwriter Signature Page - Underwriting Agreement (Baby Bond – September 2026)]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Schedule I</w:t>
      </w:r>
    </w:p>
    <w:p>
      <w:pPr>
        <w:pStyle w:val="TextBody"/>
        <w:bidi w:val="0"/>
        <w:spacing w:before="240" w:after="283"/>
        <w:jc w:val="right"/>
        <w:rPr/>
      </w:pPr>
      <w:r>
        <w:rPr/>
        <w:t> </w:t>
      </w:r>
    </w:p>
    <w:tbl>
      <w:tblPr>
        <w:tblW w:w="7523" w:type="dxa"/>
        <w:jc w:val="left"/>
        <w:tblInd w:w="0" w:type="dxa"/>
        <w:tblLayout w:type="fixed"/>
        <w:tblCellMar>
          <w:top w:w="28" w:type="dxa"/>
          <w:left w:w="28" w:type="dxa"/>
          <w:bottom w:w="28" w:type="dxa"/>
          <w:right w:w="28" w:type="dxa"/>
        </w:tblCellMar>
      </w:tblPr>
      <w:tblGrid>
        <w:gridCol w:w="3466"/>
        <w:gridCol w:w="146"/>
        <w:gridCol w:w="629"/>
        <w:gridCol w:w="3091"/>
        <w:gridCol w:w="19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30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6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bookmarkStart w:id="6" w:name="ole_link6"/>
            <w:bookmarkEnd w:id="6"/>
            <w:r>
              <w:rPr>
                <w:rFonts w:ascii="Times New Roman" w:hAnsi="Times New Roman"/>
                <w:b/>
                <w:color w:val="000000"/>
                <w:sz w:val="20"/>
              </w:rPr>
              <w:t>Underwriter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3720"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Amount of Notes to be Purchased</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4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Oppenheimer &amp; Co. Inc.</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0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18,662,531</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 Riley Securities,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0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4,175,424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Lucid Capital Markets, LLC</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0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10,430,833</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MUFG Securities Americas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0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276,824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Clear Street LLC</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0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4,613,728</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Compass Point Research &amp; Trading,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0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322,961</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InspereX LLC</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0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2,652,894</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Ladenburg Thalmann &amp; Co.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0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1,153,432</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William Blair &amp; Company L.L.C.</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0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461,373</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BC Partners Securities,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0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2,250,000</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Total: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0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45,000,000</w:t>
            </w:r>
          </w:p>
        </w:tc>
        <w:tc>
          <w:tcPr>
            <w:tcW w:w="191" w:type="dxa"/>
            <w:tcBorders>
              <w:bottom w:val="double" w:sz="6" w:space="0" w:color="000000"/>
            </w:tcBorders>
            <w:shd w:fill="CCEEFF" w:val="clear"/>
            <w:tcMar>
              <w:top w:w="0" w:type="dxa"/>
              <w:left w:w="0" w:type="dxa"/>
              <w:bottom w:w="55" w:type="dxa"/>
              <w:right w:w="0" w:type="dxa"/>
            </w:tcMar>
            <w:vAlign w:val="center"/>
          </w:tcPr>
          <w:p>
            <w:pPr>
              <w:pStyle w:val="TableContents"/>
              <w:bidi w:val="0"/>
              <w:spacing w:before="0" w:after="283"/>
              <w:jc w:val="left"/>
              <w:rPr/>
            </w:pPr>
            <w:r>
              <w:rPr/>
              <w:t> </w:t>
            </w:r>
          </w:p>
        </w:tc>
      </w:tr>
    </w:tbl>
    <w:p>
      <w:pPr>
        <w:pStyle w:val="TextBody"/>
        <w:bidi w:val="0"/>
        <w:spacing w:before="240" w:after="283"/>
        <w:jc w:val="righ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20"/>
          <w:u w:val="single"/>
        </w:rPr>
      </w:pPr>
      <w:bookmarkStart w:id="7" w:name="ole_link2"/>
      <w:bookmarkEnd w:id="7"/>
      <w:r>
        <w:rPr>
          <w:rFonts w:ascii="Times New Roman" w:hAnsi="Times New Roman"/>
          <w:b/>
          <w:color w:val="000000"/>
          <w:sz w:val="20"/>
          <w:u w:val="single"/>
        </w:rPr>
        <w:t>Schedule II</w:t>
      </w:r>
    </w:p>
    <w:p>
      <w:pPr>
        <w:pStyle w:val="TextBody"/>
        <w:bidi w:val="0"/>
        <w:jc w:val="center"/>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sz w:val="20"/>
        </w:rPr>
      </w:pPr>
      <w:r>
        <w:rPr>
          <w:rFonts w:ascii="Times New Roman" w:hAnsi="Times New Roman"/>
          <w:color w:val="000000"/>
          <w:sz w:val="20"/>
        </w:rPr>
        <w:t xml:space="preserve">Term sheet containing the terms of the Notes, substantially in the form of </w:t>
      </w:r>
      <w:r>
        <w:rPr>
          <w:rFonts w:ascii="Times New Roman" w:hAnsi="Times New Roman"/>
          <w:color w:val="000000"/>
          <w:sz w:val="20"/>
          <w:u w:val="single"/>
        </w:rPr>
        <w:t>Annex A</w:t>
      </w:r>
      <w:r>
        <w:rPr>
          <w:rFonts w:ascii="Times New Roman" w:hAnsi="Times New Roman"/>
          <w:color w:val="000000"/>
          <w:sz w:val="20"/>
        </w:rPr>
        <w:t xml:space="preserve"> hereto.</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aps/>
          <w:color w:val="000000"/>
          <w:sz w:val="20"/>
        </w:rPr>
      </w:pPr>
      <w:r>
        <w:rPr>
          <w:rFonts w:ascii="Times New Roman" w:hAnsi="Times New Roman"/>
          <w:b/>
          <w:caps/>
          <w:color w:val="000000"/>
          <w:sz w:val="20"/>
        </w:rPr>
        <w:t>Annex A</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rFonts w:ascii="Times New Roman" w:hAnsi="Times New Roman"/>
          <w:b/>
          <w:color w:val="000000"/>
          <w:sz w:val="20"/>
        </w:rPr>
      </w:pPr>
      <w:r>
        <w:rPr>
          <w:rFonts w:ascii="Times New Roman" w:hAnsi="Times New Roman"/>
          <w:b/>
          <w:color w:val="000000"/>
          <w:sz w:val="20"/>
        </w:rPr>
        <w:t>$45,000,000</w:t>
      </w:r>
    </w:p>
    <w:p>
      <w:pPr>
        <w:pStyle w:val="TextBody"/>
        <w:bidi w:val="0"/>
        <w:jc w:val="center"/>
        <w:rPr>
          <w:rFonts w:ascii="Times New Roman" w:hAnsi="Times New Roman"/>
          <w:b/>
          <w:color w:val="000000"/>
          <w:sz w:val="20"/>
        </w:rPr>
      </w:pPr>
      <w:r>
        <w:rPr>
          <w:rFonts w:ascii="Times New Roman" w:hAnsi="Times New Roman"/>
          <w:b/>
          <w:color w:val="000000"/>
          <w:sz w:val="20"/>
        </w:rPr>
        <w:t>7.75% Notes Due 2031</w:t>
        <w:br/>
        <w:t>Pricing Term Sheet</w:t>
        <w:br/>
        <w:t>September 24, 2026</w:t>
      </w:r>
    </w:p>
    <w:p>
      <w:pPr>
        <w:pStyle w:val="TextBody"/>
        <w:bidi w:val="0"/>
        <w:jc w:val="both"/>
        <w:rPr>
          <w:rFonts w:ascii="Times New Roman" w:hAnsi="Times New Roman"/>
          <w:sz w:val="20"/>
        </w:rPr>
      </w:pPr>
      <w:r>
        <w:rPr>
          <w:rFonts w:ascii="Times New Roman" w:hAnsi="Times New Roman"/>
          <w:i/>
          <w:color w:val="000000"/>
          <w:sz w:val="20"/>
        </w:rPr>
        <w:t xml:space="preserve">The following sets forth the final terms of the 7.75% Notes due 2031 (the </w:t>
      </w:r>
      <w:r>
        <w:rPr>
          <w:rFonts w:ascii="Times New Roman" w:hAnsi="Times New Roman"/>
          <w:color w:val="000000"/>
          <w:sz w:val="20"/>
        </w:rPr>
        <w:t>“</w:t>
      </w:r>
      <w:r>
        <w:rPr>
          <w:rFonts w:ascii="Times New Roman" w:hAnsi="Times New Roman"/>
          <w:i/>
          <w:color w:val="000000"/>
          <w:sz w:val="20"/>
        </w:rPr>
        <w:t>Notes</w:t>
      </w:r>
      <w:r>
        <w:rPr>
          <w:rFonts w:ascii="Times New Roman" w:hAnsi="Times New Roman"/>
          <w:color w:val="000000"/>
          <w:sz w:val="20"/>
        </w:rPr>
        <w:t>”</w:t>
      </w:r>
      <w:r>
        <w:rPr>
          <w:rFonts w:ascii="Times New Roman" w:hAnsi="Times New Roman"/>
          <w:i/>
          <w:color w:val="000000"/>
          <w:sz w:val="20"/>
        </w:rPr>
        <w:t>) and should only be read together with the preliminary prospectus supplement, dated September 23, 2026, together with the accompanying prospectus dated March 19, 2025, relating to these securities (together, the "Preliminary Prospectus") and supersedes the information in the Preliminary Prospectus to the extent inconsistent with the information in the Preliminary Prospectus. In all other respects, this pricing term sheet is qualified in its entirety by reference to the Preliminary Prospectus. Terms used herein but not defined herein shall have the respective meanings as set forth in the Preliminary Prospectus. All references to dollar amounts are references to U.S. dollars.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404"/>
        <w:gridCol w:w="7801"/>
      </w:tblGrid>
      <w:tr>
        <w:trPr/>
        <w:tc>
          <w:tcPr>
            <w:tcW w:w="2404" w:type="dxa"/>
            <w:tcBorders/>
            <w:vAlign w:val="center"/>
          </w:tcPr>
          <w:p>
            <w:pPr>
              <w:pStyle w:val="TableContents"/>
              <w:bidi w:val="0"/>
              <w:spacing w:before="0" w:after="283"/>
              <w:jc w:val="left"/>
              <w:rPr>
                <w:sz w:val="4"/>
                <w:szCs w:val="4"/>
              </w:rPr>
            </w:pPr>
            <w:r>
              <w:rPr>
                <w:sz w:val="4"/>
                <w:szCs w:val="4"/>
              </w:rPr>
            </w:r>
          </w:p>
        </w:tc>
        <w:tc>
          <w:tcPr>
            <w:tcW w:w="7801" w:type="dxa"/>
            <w:tcBorders/>
            <w:vAlign w:val="center"/>
          </w:tcPr>
          <w:p>
            <w:pPr>
              <w:pStyle w:val="TableContents"/>
              <w:bidi w:val="0"/>
              <w:spacing w:before="0" w:after="283"/>
              <w:jc w:val="left"/>
              <w:rPr>
                <w:sz w:val="4"/>
                <w:szCs w:val="4"/>
              </w:rPr>
            </w:pPr>
            <w:r>
              <w:rPr>
                <w:sz w:val="4"/>
                <w:szCs w:val="4"/>
              </w:rPr>
            </w:r>
          </w:p>
        </w:tc>
      </w:tr>
      <w:tr>
        <w:trPr/>
        <w:tc>
          <w:tcPr>
            <w:tcW w:w="240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Issuer:</w:t>
            </w:r>
          </w:p>
        </w:tc>
        <w:tc>
          <w:tcPr>
            <w:tcW w:w="780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Runway Growth Finance Corp. (the “Company”)</w:t>
            </w:r>
          </w:p>
        </w:tc>
      </w:tr>
      <w:tr>
        <w:trPr/>
        <w:tc>
          <w:tcPr>
            <w:tcW w:w="2404" w:type="dxa"/>
            <w:tcBorders/>
            <w:tcMar>
              <w:top w:w="0" w:type="dxa"/>
              <w:left w:w="0" w:type="dxa"/>
              <w:bottom w:w="0" w:type="dxa"/>
              <w:right w:w="0" w:type="dxa"/>
            </w:tcMar>
            <w:vAlign w:val="center"/>
          </w:tcPr>
          <w:p>
            <w:pPr>
              <w:pStyle w:val="TableContents"/>
              <w:bidi w:val="0"/>
              <w:spacing w:before="0" w:after="283"/>
              <w:jc w:val="left"/>
              <w:rPr/>
            </w:pPr>
            <w:r>
              <w:rPr/>
              <w:t> </w:t>
            </w:r>
          </w:p>
        </w:tc>
        <w:tc>
          <w:tcPr>
            <w:tcW w:w="78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0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Title of the Securities:</w:t>
            </w:r>
          </w:p>
        </w:tc>
        <w:tc>
          <w:tcPr>
            <w:tcW w:w="780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7.75% Notes due 2031</w:t>
            </w:r>
          </w:p>
        </w:tc>
      </w:tr>
      <w:tr>
        <w:trPr/>
        <w:tc>
          <w:tcPr>
            <w:tcW w:w="2404" w:type="dxa"/>
            <w:tcBorders/>
            <w:tcMar>
              <w:top w:w="0" w:type="dxa"/>
              <w:left w:w="0" w:type="dxa"/>
              <w:bottom w:w="0" w:type="dxa"/>
              <w:right w:w="0" w:type="dxa"/>
            </w:tcMar>
            <w:vAlign w:val="center"/>
          </w:tcPr>
          <w:p>
            <w:pPr>
              <w:pStyle w:val="TableContents"/>
              <w:bidi w:val="0"/>
              <w:spacing w:before="0" w:after="283"/>
              <w:jc w:val="left"/>
              <w:rPr/>
            </w:pPr>
            <w:r>
              <w:rPr/>
              <w:t> </w:t>
            </w:r>
          </w:p>
        </w:tc>
        <w:tc>
          <w:tcPr>
            <w:tcW w:w="78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0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Rating:*</w:t>
            </w:r>
          </w:p>
        </w:tc>
        <w:tc>
          <w:tcPr>
            <w:tcW w:w="7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BBB (low) (Morningstar DBRS) (expected)</w:t>
            </w:r>
          </w:p>
        </w:tc>
      </w:tr>
      <w:tr>
        <w:trPr/>
        <w:tc>
          <w:tcPr>
            <w:tcW w:w="2404" w:type="dxa"/>
            <w:tcBorders/>
            <w:tcMar>
              <w:top w:w="0" w:type="dxa"/>
              <w:left w:w="0" w:type="dxa"/>
              <w:bottom w:w="0" w:type="dxa"/>
              <w:right w:w="0" w:type="dxa"/>
            </w:tcMar>
            <w:vAlign w:val="center"/>
          </w:tcPr>
          <w:p>
            <w:pPr>
              <w:pStyle w:val="TableContents"/>
              <w:bidi w:val="0"/>
              <w:spacing w:before="0" w:after="283"/>
              <w:jc w:val="left"/>
              <w:rPr/>
            </w:pPr>
            <w:r>
              <w:rPr/>
              <w:t> </w:t>
            </w:r>
          </w:p>
        </w:tc>
        <w:tc>
          <w:tcPr>
            <w:tcW w:w="78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0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Initial Aggregate Principal Amount Being Offered:</w:t>
            </w:r>
          </w:p>
        </w:tc>
        <w:tc>
          <w:tcPr>
            <w:tcW w:w="780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$45,000,000</w:t>
            </w:r>
          </w:p>
        </w:tc>
      </w:tr>
      <w:tr>
        <w:trPr/>
        <w:tc>
          <w:tcPr>
            <w:tcW w:w="2404" w:type="dxa"/>
            <w:tcBorders/>
            <w:tcMar>
              <w:top w:w="0" w:type="dxa"/>
              <w:left w:w="0" w:type="dxa"/>
              <w:bottom w:w="0" w:type="dxa"/>
              <w:right w:w="0" w:type="dxa"/>
            </w:tcMar>
            <w:vAlign w:val="center"/>
          </w:tcPr>
          <w:p>
            <w:pPr>
              <w:pStyle w:val="TableContents"/>
              <w:bidi w:val="0"/>
              <w:spacing w:before="0" w:after="283"/>
              <w:jc w:val="left"/>
              <w:rPr/>
            </w:pPr>
            <w:r>
              <w:rPr/>
              <w:t> </w:t>
            </w:r>
          </w:p>
        </w:tc>
        <w:tc>
          <w:tcPr>
            <w:tcW w:w="78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0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Over-Allotment Option:</w:t>
            </w:r>
          </w:p>
        </w:tc>
        <w:tc>
          <w:tcPr>
            <w:tcW w:w="780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Up to $6,750,000 aggregate principal amount of Notes within 30 days of the date of the Preliminary Prospectus solely to cover over-allotments, if any. </w:t>
            </w:r>
          </w:p>
        </w:tc>
      </w:tr>
      <w:tr>
        <w:trPr/>
        <w:tc>
          <w:tcPr>
            <w:tcW w:w="2404" w:type="dxa"/>
            <w:tcBorders/>
            <w:tcMar>
              <w:top w:w="0" w:type="dxa"/>
              <w:left w:w="0" w:type="dxa"/>
              <w:bottom w:w="0" w:type="dxa"/>
              <w:right w:w="0" w:type="dxa"/>
            </w:tcMar>
            <w:vAlign w:val="center"/>
          </w:tcPr>
          <w:p>
            <w:pPr>
              <w:pStyle w:val="TableContents"/>
              <w:bidi w:val="0"/>
              <w:spacing w:before="0" w:after="283"/>
              <w:jc w:val="left"/>
              <w:rPr/>
            </w:pPr>
            <w:r>
              <w:rPr/>
              <w:t> </w:t>
            </w:r>
          </w:p>
        </w:tc>
        <w:tc>
          <w:tcPr>
            <w:tcW w:w="78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0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Issue Price:</w:t>
            </w:r>
          </w:p>
        </w:tc>
        <w:tc>
          <w:tcPr>
            <w:tcW w:w="7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$25.00 (par)</w:t>
            </w:r>
          </w:p>
        </w:tc>
      </w:tr>
      <w:tr>
        <w:trPr/>
        <w:tc>
          <w:tcPr>
            <w:tcW w:w="2404" w:type="dxa"/>
            <w:tcBorders/>
            <w:tcMar>
              <w:top w:w="0" w:type="dxa"/>
              <w:left w:w="0" w:type="dxa"/>
              <w:bottom w:w="0" w:type="dxa"/>
              <w:right w:w="0" w:type="dxa"/>
            </w:tcMar>
            <w:vAlign w:val="center"/>
          </w:tcPr>
          <w:p>
            <w:pPr>
              <w:pStyle w:val="TableContents"/>
              <w:bidi w:val="0"/>
              <w:spacing w:before="0" w:after="283"/>
              <w:jc w:val="left"/>
              <w:rPr/>
            </w:pPr>
            <w:r>
              <w:rPr/>
              <w:t> </w:t>
            </w:r>
          </w:p>
        </w:tc>
        <w:tc>
          <w:tcPr>
            <w:tcW w:w="78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0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Principal Payable at Maturity:</w:t>
            </w:r>
          </w:p>
        </w:tc>
        <w:tc>
          <w:tcPr>
            <w:tcW w:w="780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100% of the aggregate principal amount. The outstanding principal amount of the Notes will be payable on the stated maturity date at the office of the trustee, paying agent and security registrar for the Notes or at such other office as the Company may designate.</w:t>
            </w:r>
          </w:p>
        </w:tc>
      </w:tr>
      <w:tr>
        <w:trPr/>
        <w:tc>
          <w:tcPr>
            <w:tcW w:w="2404" w:type="dxa"/>
            <w:tcBorders/>
            <w:tcMar>
              <w:top w:w="0" w:type="dxa"/>
              <w:left w:w="0" w:type="dxa"/>
              <w:bottom w:w="0" w:type="dxa"/>
              <w:right w:w="0" w:type="dxa"/>
            </w:tcMar>
            <w:vAlign w:val="center"/>
          </w:tcPr>
          <w:p>
            <w:pPr>
              <w:pStyle w:val="TableContents"/>
              <w:bidi w:val="0"/>
              <w:spacing w:before="0" w:after="283"/>
              <w:jc w:val="left"/>
              <w:rPr/>
            </w:pPr>
            <w:r>
              <w:rPr/>
              <w:t> </w:t>
            </w:r>
          </w:p>
        </w:tc>
        <w:tc>
          <w:tcPr>
            <w:tcW w:w="78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0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Type of Note:</w:t>
            </w:r>
          </w:p>
        </w:tc>
        <w:tc>
          <w:tcPr>
            <w:tcW w:w="7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Fixed-rate note</w:t>
            </w:r>
          </w:p>
        </w:tc>
      </w:tr>
      <w:tr>
        <w:trPr/>
        <w:tc>
          <w:tcPr>
            <w:tcW w:w="2404" w:type="dxa"/>
            <w:tcBorders/>
            <w:tcMar>
              <w:top w:w="0" w:type="dxa"/>
              <w:left w:w="0" w:type="dxa"/>
              <w:bottom w:w="0" w:type="dxa"/>
              <w:right w:w="0" w:type="dxa"/>
            </w:tcMar>
            <w:vAlign w:val="center"/>
          </w:tcPr>
          <w:p>
            <w:pPr>
              <w:pStyle w:val="TableContents"/>
              <w:bidi w:val="0"/>
              <w:spacing w:before="0" w:after="283"/>
              <w:jc w:val="left"/>
              <w:rPr/>
            </w:pPr>
            <w:r>
              <w:rPr/>
              <w:t> </w:t>
            </w:r>
          </w:p>
        </w:tc>
        <w:tc>
          <w:tcPr>
            <w:tcW w:w="78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0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Listing:</w:t>
            </w:r>
          </w:p>
        </w:tc>
        <w:tc>
          <w:tcPr>
            <w:tcW w:w="780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Company intends to list the Notes on the Nasdaq Global Select Market within 30 days of the original issue date under the trading symbol “RWAYM.”</w:t>
            </w:r>
          </w:p>
        </w:tc>
      </w:tr>
      <w:tr>
        <w:trPr/>
        <w:tc>
          <w:tcPr>
            <w:tcW w:w="2404" w:type="dxa"/>
            <w:tcBorders/>
            <w:tcMar>
              <w:top w:w="0" w:type="dxa"/>
              <w:left w:w="0" w:type="dxa"/>
              <w:bottom w:w="0" w:type="dxa"/>
              <w:right w:w="0" w:type="dxa"/>
            </w:tcMar>
            <w:vAlign w:val="center"/>
          </w:tcPr>
          <w:p>
            <w:pPr>
              <w:pStyle w:val="TableContents"/>
              <w:bidi w:val="0"/>
              <w:spacing w:before="0" w:after="283"/>
              <w:jc w:val="left"/>
              <w:rPr/>
            </w:pPr>
            <w:r>
              <w:rPr/>
              <w:t> </w:t>
            </w:r>
          </w:p>
        </w:tc>
        <w:tc>
          <w:tcPr>
            <w:tcW w:w="78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0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Stated Maturity Date:</w:t>
            </w:r>
          </w:p>
        </w:tc>
        <w:tc>
          <w:tcPr>
            <w:tcW w:w="7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October 1, 2031</w:t>
            </w:r>
          </w:p>
        </w:tc>
      </w:tr>
      <w:tr>
        <w:trPr/>
        <w:tc>
          <w:tcPr>
            <w:tcW w:w="2404" w:type="dxa"/>
            <w:tcBorders/>
            <w:tcMar>
              <w:top w:w="0" w:type="dxa"/>
              <w:left w:w="0" w:type="dxa"/>
              <w:bottom w:w="0" w:type="dxa"/>
              <w:right w:w="0" w:type="dxa"/>
            </w:tcMar>
            <w:vAlign w:val="center"/>
          </w:tcPr>
          <w:p>
            <w:pPr>
              <w:pStyle w:val="TableContents"/>
              <w:bidi w:val="0"/>
              <w:spacing w:before="0" w:after="283"/>
              <w:jc w:val="left"/>
              <w:rPr/>
            </w:pPr>
            <w:r>
              <w:rPr/>
              <w:t> </w:t>
            </w:r>
          </w:p>
        </w:tc>
        <w:tc>
          <w:tcPr>
            <w:tcW w:w="78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0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Interest Rate:</w:t>
            </w:r>
          </w:p>
        </w:tc>
        <w:tc>
          <w:tcPr>
            <w:tcW w:w="7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7.75% per year</w:t>
            </w:r>
          </w:p>
        </w:tc>
      </w:tr>
      <w:tr>
        <w:trPr/>
        <w:tc>
          <w:tcPr>
            <w:tcW w:w="2404" w:type="dxa"/>
            <w:tcBorders/>
            <w:tcMar>
              <w:top w:w="0" w:type="dxa"/>
              <w:left w:w="0" w:type="dxa"/>
              <w:bottom w:w="0" w:type="dxa"/>
              <w:right w:w="0" w:type="dxa"/>
            </w:tcMar>
            <w:vAlign w:val="center"/>
          </w:tcPr>
          <w:p>
            <w:pPr>
              <w:pStyle w:val="TableContents"/>
              <w:bidi w:val="0"/>
              <w:spacing w:before="0" w:after="283"/>
              <w:jc w:val="left"/>
              <w:rPr/>
            </w:pPr>
            <w:r>
              <w:rPr/>
              <w:t> </w:t>
            </w:r>
          </w:p>
        </w:tc>
        <w:tc>
          <w:tcPr>
            <w:tcW w:w="78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0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Underwriting Discount:</w:t>
            </w:r>
          </w:p>
        </w:tc>
        <w:tc>
          <w:tcPr>
            <w:tcW w:w="7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3.00% (or $1,350,000 total, assuming the over-allotment option is not exercised)</w:t>
            </w:r>
          </w:p>
        </w:tc>
      </w:tr>
      <w:tr>
        <w:trPr/>
        <w:tc>
          <w:tcPr>
            <w:tcW w:w="2404" w:type="dxa"/>
            <w:tcBorders/>
            <w:tcMar>
              <w:top w:w="0" w:type="dxa"/>
              <w:left w:w="0" w:type="dxa"/>
              <w:bottom w:w="0" w:type="dxa"/>
              <w:right w:w="0" w:type="dxa"/>
            </w:tcMar>
            <w:vAlign w:val="center"/>
          </w:tcPr>
          <w:p>
            <w:pPr>
              <w:pStyle w:val="TableContents"/>
              <w:bidi w:val="0"/>
              <w:spacing w:before="0" w:after="283"/>
              <w:jc w:val="left"/>
              <w:rPr/>
            </w:pPr>
            <w:r>
              <w:rPr/>
              <w:t> </w:t>
            </w:r>
          </w:p>
        </w:tc>
        <w:tc>
          <w:tcPr>
            <w:tcW w:w="78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0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Proceeds to the Issuer, before Expenses:</w:t>
            </w:r>
          </w:p>
        </w:tc>
        <w:tc>
          <w:tcPr>
            <w:tcW w:w="7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97.00% (or $43,650,000 total, assuming the over-allotment option is not exercised)</w:t>
            </w:r>
          </w:p>
        </w:tc>
      </w:tr>
      <w:tr>
        <w:trPr/>
        <w:tc>
          <w:tcPr>
            <w:tcW w:w="2404" w:type="dxa"/>
            <w:tcBorders/>
            <w:tcMar>
              <w:top w:w="0" w:type="dxa"/>
              <w:left w:w="0" w:type="dxa"/>
              <w:bottom w:w="0" w:type="dxa"/>
              <w:right w:w="0" w:type="dxa"/>
            </w:tcMar>
            <w:vAlign w:val="center"/>
          </w:tcPr>
          <w:p>
            <w:pPr>
              <w:pStyle w:val="TableContents"/>
              <w:bidi w:val="0"/>
              <w:spacing w:before="0" w:after="283"/>
              <w:jc w:val="left"/>
              <w:rPr/>
            </w:pPr>
            <w:r>
              <w:rPr/>
              <w:t> </w:t>
            </w:r>
          </w:p>
        </w:tc>
        <w:tc>
          <w:tcPr>
            <w:tcW w:w="78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0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Day Count Basis:</w:t>
            </w:r>
          </w:p>
        </w:tc>
        <w:tc>
          <w:tcPr>
            <w:tcW w:w="7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360-day year of twelve 30-day months</w:t>
            </w:r>
          </w:p>
        </w:tc>
      </w:tr>
      <w:tr>
        <w:trPr/>
        <w:tc>
          <w:tcPr>
            <w:tcW w:w="2404" w:type="dxa"/>
            <w:tcBorders/>
            <w:tcMar>
              <w:top w:w="0" w:type="dxa"/>
              <w:left w:w="0" w:type="dxa"/>
              <w:bottom w:w="0" w:type="dxa"/>
              <w:right w:w="0" w:type="dxa"/>
            </w:tcMar>
            <w:vAlign w:val="center"/>
          </w:tcPr>
          <w:p>
            <w:pPr>
              <w:pStyle w:val="TableContents"/>
              <w:bidi w:val="0"/>
              <w:spacing w:before="0" w:after="283"/>
              <w:jc w:val="left"/>
              <w:rPr/>
            </w:pPr>
            <w:r>
              <w:rPr/>
              <w:t> </w:t>
            </w:r>
          </w:p>
        </w:tc>
        <w:tc>
          <w:tcPr>
            <w:tcW w:w="78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0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Trade Date:</w:t>
            </w:r>
          </w:p>
        </w:tc>
        <w:tc>
          <w:tcPr>
            <w:tcW w:w="7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25, 2026</w:t>
            </w:r>
          </w:p>
        </w:tc>
      </w:tr>
      <w:tr>
        <w:trPr/>
        <w:tc>
          <w:tcPr>
            <w:tcW w:w="2404" w:type="dxa"/>
            <w:tcBorders/>
            <w:tcMar>
              <w:top w:w="0" w:type="dxa"/>
              <w:left w:w="0" w:type="dxa"/>
              <w:bottom w:w="0" w:type="dxa"/>
              <w:right w:w="0" w:type="dxa"/>
            </w:tcMar>
            <w:vAlign w:val="center"/>
          </w:tcPr>
          <w:p>
            <w:pPr>
              <w:pStyle w:val="TableContents"/>
              <w:bidi w:val="0"/>
              <w:spacing w:before="0" w:after="283"/>
              <w:jc w:val="left"/>
              <w:rPr/>
            </w:pPr>
            <w:r>
              <w:rPr/>
              <w:t> </w:t>
            </w:r>
          </w:p>
        </w:tc>
        <w:tc>
          <w:tcPr>
            <w:tcW w:w="78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0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Settlement Date:</w:t>
            </w:r>
          </w:p>
        </w:tc>
        <w:tc>
          <w:tcPr>
            <w:tcW w:w="7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October 1, 2026 (T+4)**</w:t>
            </w:r>
          </w:p>
        </w:tc>
      </w:tr>
    </w:tbl>
    <w:p>
      <w:pPr>
        <w:pStyle w:val="TextBody"/>
        <w:bidi w:val="0"/>
        <w:jc w:val="center"/>
        <w:rPr>
          <w:rFonts w:ascii="Times New Roman" w:hAnsi="Times New Roman"/>
          <w:color w:val="000000"/>
          <w:sz w:val="24"/>
        </w:rPr>
      </w:pPr>
      <w:r>
        <w:rPr>
          <w:rFonts w:ascii="Times New Roman" w:hAnsi="Times New Roman"/>
          <w:color w:val="000000"/>
          <w:sz w:val="24"/>
        </w:rPr>
        <w:t>27</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10205" w:type="dxa"/>
        <w:jc w:val="left"/>
        <w:tblInd w:w="0" w:type="dxa"/>
        <w:tblLayout w:type="fixed"/>
        <w:tblCellMar>
          <w:top w:w="28" w:type="dxa"/>
          <w:left w:w="28" w:type="dxa"/>
          <w:bottom w:w="28" w:type="dxa"/>
          <w:right w:w="28" w:type="dxa"/>
        </w:tblCellMar>
      </w:tblPr>
      <w:tblGrid>
        <w:gridCol w:w="1847"/>
        <w:gridCol w:w="8358"/>
      </w:tblGrid>
      <w:tr>
        <w:trPr/>
        <w:tc>
          <w:tcPr>
            <w:tcW w:w="1847" w:type="dxa"/>
            <w:tcBorders/>
            <w:vAlign w:val="center"/>
          </w:tcPr>
          <w:p>
            <w:pPr>
              <w:pStyle w:val="TableContents"/>
              <w:bidi w:val="0"/>
              <w:spacing w:before="0" w:after="283"/>
              <w:jc w:val="left"/>
              <w:rPr>
                <w:sz w:val="4"/>
                <w:szCs w:val="4"/>
              </w:rPr>
            </w:pPr>
            <w:r>
              <w:rPr>
                <w:sz w:val="4"/>
                <w:szCs w:val="4"/>
              </w:rPr>
            </w:r>
          </w:p>
        </w:tc>
        <w:tc>
          <w:tcPr>
            <w:tcW w:w="8358" w:type="dxa"/>
            <w:tcBorders/>
            <w:vAlign w:val="center"/>
          </w:tcPr>
          <w:p>
            <w:pPr>
              <w:pStyle w:val="TableContents"/>
              <w:bidi w:val="0"/>
              <w:spacing w:before="0" w:after="283"/>
              <w:jc w:val="left"/>
              <w:rPr>
                <w:sz w:val="4"/>
                <w:szCs w:val="4"/>
              </w:rPr>
            </w:pPr>
            <w:r>
              <w:rPr>
                <w:sz w:val="4"/>
                <w:szCs w:val="4"/>
              </w:rPr>
            </w:r>
          </w:p>
        </w:tc>
      </w:tr>
      <w:tr>
        <w:trPr/>
        <w:tc>
          <w:tcPr>
            <w:tcW w:w="1847" w:type="dxa"/>
            <w:tcBorders/>
            <w:tcMar>
              <w:top w:w="0" w:type="dxa"/>
              <w:left w:w="0" w:type="dxa"/>
              <w:bottom w:w="0" w:type="dxa"/>
              <w:right w:w="0" w:type="dxa"/>
            </w:tcMar>
            <w:vAlign w:val="center"/>
          </w:tcPr>
          <w:p>
            <w:pPr>
              <w:pStyle w:val="TableContents"/>
              <w:bidi w:val="0"/>
              <w:spacing w:before="0" w:after="283"/>
              <w:jc w:val="left"/>
              <w:rPr/>
            </w:pPr>
            <w:r>
              <w:rPr/>
              <w:t> </w:t>
            </w:r>
          </w:p>
        </w:tc>
        <w:tc>
          <w:tcPr>
            <w:tcW w:w="835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Date Interest Starts Accruing:</w:t>
            </w:r>
          </w:p>
        </w:tc>
        <w:tc>
          <w:tcPr>
            <w:tcW w:w="83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October 1, 2026</w:t>
            </w:r>
          </w:p>
        </w:tc>
      </w:tr>
      <w:tr>
        <w:trPr/>
        <w:tc>
          <w:tcPr>
            <w:tcW w:w="1847" w:type="dxa"/>
            <w:tcBorders/>
            <w:tcMar>
              <w:top w:w="0" w:type="dxa"/>
              <w:left w:w="0" w:type="dxa"/>
              <w:bottom w:w="0" w:type="dxa"/>
              <w:right w:w="0" w:type="dxa"/>
            </w:tcMar>
            <w:vAlign w:val="center"/>
          </w:tcPr>
          <w:p>
            <w:pPr>
              <w:pStyle w:val="TableContents"/>
              <w:bidi w:val="0"/>
              <w:spacing w:before="0" w:after="283"/>
              <w:jc w:val="left"/>
              <w:rPr/>
            </w:pPr>
            <w:r>
              <w:rPr/>
              <w:t> </w:t>
            </w:r>
          </w:p>
        </w:tc>
        <w:tc>
          <w:tcPr>
            <w:tcW w:w="835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Interest Payment Dates:</w:t>
            </w:r>
          </w:p>
        </w:tc>
        <w:tc>
          <w:tcPr>
            <w:tcW w:w="835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Each March 1, June 1, September 1, and December 1, commencing December 1, 2026. If an interest payment date falls on a non-business day, the applicable interest payment will be made on the next business day and no additional interest will accrue as a result of such delayed payment.</w:t>
            </w:r>
          </w:p>
        </w:tc>
      </w:tr>
      <w:tr>
        <w:trPr/>
        <w:tc>
          <w:tcPr>
            <w:tcW w:w="1847" w:type="dxa"/>
            <w:tcBorders/>
            <w:tcMar>
              <w:top w:w="0" w:type="dxa"/>
              <w:left w:w="0" w:type="dxa"/>
              <w:bottom w:w="0" w:type="dxa"/>
              <w:right w:w="0" w:type="dxa"/>
            </w:tcMar>
            <w:vAlign w:val="center"/>
          </w:tcPr>
          <w:p>
            <w:pPr>
              <w:pStyle w:val="TableContents"/>
              <w:bidi w:val="0"/>
              <w:spacing w:before="0" w:after="283"/>
              <w:jc w:val="left"/>
              <w:rPr/>
            </w:pPr>
            <w:r>
              <w:rPr/>
              <w:t> </w:t>
            </w:r>
          </w:p>
        </w:tc>
        <w:tc>
          <w:tcPr>
            <w:tcW w:w="835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Interest Periods:</w:t>
            </w:r>
          </w:p>
        </w:tc>
        <w:tc>
          <w:tcPr>
            <w:tcW w:w="835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initial interest period will be the period from and including, October 1, 2026, to, but excluding, the initial interest payment date, and the subsequent interest periods will be the periods from and including an interest payment date to, but excluding, the next interest payment date or the stated maturity date, as the case may be.</w:t>
            </w:r>
          </w:p>
        </w:tc>
      </w:tr>
      <w:tr>
        <w:trPr/>
        <w:tc>
          <w:tcPr>
            <w:tcW w:w="1847" w:type="dxa"/>
            <w:tcBorders/>
            <w:tcMar>
              <w:top w:w="0" w:type="dxa"/>
              <w:left w:w="0" w:type="dxa"/>
              <w:bottom w:w="0" w:type="dxa"/>
              <w:right w:w="0" w:type="dxa"/>
            </w:tcMar>
            <w:vAlign w:val="center"/>
          </w:tcPr>
          <w:p>
            <w:pPr>
              <w:pStyle w:val="TableContents"/>
              <w:bidi w:val="0"/>
              <w:spacing w:before="0" w:after="283"/>
              <w:jc w:val="left"/>
              <w:rPr/>
            </w:pPr>
            <w:r>
              <w:rPr/>
              <w:t> </w:t>
            </w:r>
          </w:p>
        </w:tc>
        <w:tc>
          <w:tcPr>
            <w:tcW w:w="835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Specified Currency:</w:t>
            </w:r>
          </w:p>
        </w:tc>
        <w:tc>
          <w:tcPr>
            <w:tcW w:w="83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Dollars</w:t>
            </w:r>
          </w:p>
        </w:tc>
      </w:tr>
      <w:tr>
        <w:trPr/>
        <w:tc>
          <w:tcPr>
            <w:tcW w:w="1847" w:type="dxa"/>
            <w:tcBorders/>
            <w:tcMar>
              <w:top w:w="0" w:type="dxa"/>
              <w:left w:w="0" w:type="dxa"/>
              <w:bottom w:w="0" w:type="dxa"/>
              <w:right w:w="0" w:type="dxa"/>
            </w:tcMar>
            <w:vAlign w:val="center"/>
          </w:tcPr>
          <w:p>
            <w:pPr>
              <w:pStyle w:val="TableContents"/>
              <w:bidi w:val="0"/>
              <w:spacing w:before="0" w:after="283"/>
              <w:jc w:val="left"/>
              <w:rPr/>
            </w:pPr>
            <w:r>
              <w:rPr/>
              <w:t> </w:t>
            </w:r>
          </w:p>
        </w:tc>
        <w:tc>
          <w:tcPr>
            <w:tcW w:w="835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Denominations:</w:t>
            </w:r>
          </w:p>
        </w:tc>
        <w:tc>
          <w:tcPr>
            <w:tcW w:w="835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Company will issue the Notes in denominations of $25 and integral multiples of $25 in excess thereof.</w:t>
            </w:r>
          </w:p>
        </w:tc>
      </w:tr>
      <w:tr>
        <w:trPr/>
        <w:tc>
          <w:tcPr>
            <w:tcW w:w="1847" w:type="dxa"/>
            <w:tcBorders/>
            <w:tcMar>
              <w:top w:w="0" w:type="dxa"/>
              <w:left w:w="0" w:type="dxa"/>
              <w:bottom w:w="0" w:type="dxa"/>
              <w:right w:w="0" w:type="dxa"/>
            </w:tcMar>
            <w:vAlign w:val="center"/>
          </w:tcPr>
          <w:p>
            <w:pPr>
              <w:pStyle w:val="TableContents"/>
              <w:bidi w:val="0"/>
              <w:spacing w:before="0" w:after="283"/>
              <w:jc w:val="left"/>
              <w:rPr/>
            </w:pPr>
            <w:r>
              <w:rPr/>
              <w:t> </w:t>
            </w:r>
          </w:p>
        </w:tc>
        <w:tc>
          <w:tcPr>
            <w:tcW w:w="835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Business Day:</w:t>
            </w:r>
          </w:p>
        </w:tc>
        <w:tc>
          <w:tcPr>
            <w:tcW w:w="835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Each Monday, Tuesday, Wednesday, Thursday, and Friday that is not a day on which banking institutions in New York City, Chicago or the place of payment are authorized or required by law or executive order to close. </w:t>
            </w:r>
          </w:p>
        </w:tc>
      </w:tr>
      <w:tr>
        <w:trPr/>
        <w:tc>
          <w:tcPr>
            <w:tcW w:w="1847" w:type="dxa"/>
            <w:tcBorders/>
            <w:tcMar>
              <w:top w:w="0" w:type="dxa"/>
              <w:left w:w="0" w:type="dxa"/>
              <w:bottom w:w="0" w:type="dxa"/>
              <w:right w:w="0" w:type="dxa"/>
            </w:tcMar>
            <w:vAlign w:val="center"/>
          </w:tcPr>
          <w:p>
            <w:pPr>
              <w:pStyle w:val="TableContents"/>
              <w:bidi w:val="0"/>
              <w:spacing w:before="0" w:after="283"/>
              <w:jc w:val="left"/>
              <w:rPr/>
            </w:pPr>
            <w:r>
              <w:rPr/>
              <w:t> </w:t>
            </w:r>
          </w:p>
        </w:tc>
        <w:tc>
          <w:tcPr>
            <w:tcW w:w="835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Optional Redemption:</w:t>
            </w:r>
          </w:p>
        </w:tc>
        <w:tc>
          <w:tcPr>
            <w:tcW w:w="835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Notes may be redeemed in whole or in part at any time or from time to time at the Company's option on or after October 1, 2028 upon not less than 30 days' nor more than 60 days' written notice by mail prior to the date fixed for redemption thereof, at a redemption price of 100% of the outstanding principal amount of the Notes to be redeemed plus accrued and unpaid interest payments otherwise payable for the then-current quarterly interest period accrued to, but not including, the date fixed for redemption.</w:t>
            </w:r>
          </w:p>
        </w:tc>
      </w:tr>
      <w:tr>
        <w:trPr/>
        <w:tc>
          <w:tcPr>
            <w:tcW w:w="1847" w:type="dxa"/>
            <w:tcBorders/>
            <w:tcMar>
              <w:top w:w="0" w:type="dxa"/>
              <w:left w:w="0" w:type="dxa"/>
              <w:bottom w:w="0" w:type="dxa"/>
              <w:right w:w="0" w:type="dxa"/>
            </w:tcMar>
            <w:vAlign w:val="center"/>
          </w:tcPr>
          <w:p>
            <w:pPr>
              <w:pStyle w:val="TableContents"/>
              <w:bidi w:val="0"/>
              <w:spacing w:before="0" w:after="283"/>
              <w:jc w:val="left"/>
              <w:rPr/>
            </w:pPr>
            <w:r>
              <w:rPr/>
              <w:t> </w:t>
            </w:r>
          </w:p>
        </w:tc>
        <w:tc>
          <w:tcPr>
            <w:tcW w:w="835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CUSIP / ISIN:</w:t>
            </w:r>
          </w:p>
        </w:tc>
        <w:tc>
          <w:tcPr>
            <w:tcW w:w="83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78163D 506 / US78163D5068</w:t>
            </w:r>
          </w:p>
        </w:tc>
      </w:tr>
      <w:tr>
        <w:trPr/>
        <w:tc>
          <w:tcPr>
            <w:tcW w:w="1847" w:type="dxa"/>
            <w:tcBorders/>
            <w:tcMar>
              <w:top w:w="0" w:type="dxa"/>
              <w:left w:w="0" w:type="dxa"/>
              <w:bottom w:w="0" w:type="dxa"/>
              <w:right w:w="0" w:type="dxa"/>
            </w:tcMar>
            <w:vAlign w:val="center"/>
          </w:tcPr>
          <w:p>
            <w:pPr>
              <w:pStyle w:val="TableContents"/>
              <w:bidi w:val="0"/>
              <w:spacing w:before="0" w:after="283"/>
              <w:jc w:val="left"/>
              <w:rPr/>
            </w:pPr>
            <w:r>
              <w:rPr/>
              <w:t> </w:t>
            </w:r>
          </w:p>
        </w:tc>
        <w:tc>
          <w:tcPr>
            <w:tcW w:w="835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Use of Proceeds:</w:t>
            </w:r>
          </w:p>
        </w:tc>
        <w:tc>
          <w:tcPr>
            <w:tcW w:w="835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Company intends to use the net proceeds from this offering to repay outstanding indebtedness, including under its Credit Facility with KeyBank National Association and to redeem all of its outstanding 9.00% Senior Notes due 2027, and for general corporate purposes.</w:t>
            </w:r>
          </w:p>
        </w:tc>
      </w:tr>
      <w:tr>
        <w:trPr/>
        <w:tc>
          <w:tcPr>
            <w:tcW w:w="1847" w:type="dxa"/>
            <w:tcBorders/>
            <w:tcMar>
              <w:top w:w="0" w:type="dxa"/>
              <w:left w:w="0" w:type="dxa"/>
              <w:bottom w:w="0" w:type="dxa"/>
              <w:right w:w="0" w:type="dxa"/>
            </w:tcMar>
            <w:vAlign w:val="center"/>
          </w:tcPr>
          <w:p>
            <w:pPr>
              <w:pStyle w:val="TableContents"/>
              <w:bidi w:val="0"/>
              <w:spacing w:before="0" w:after="283"/>
              <w:jc w:val="left"/>
              <w:rPr/>
            </w:pPr>
            <w:r>
              <w:rPr/>
              <w:t> </w:t>
            </w:r>
          </w:p>
        </w:tc>
        <w:tc>
          <w:tcPr>
            <w:tcW w:w="835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Joint Book-Running Managers:</w:t>
            </w:r>
          </w:p>
        </w:tc>
        <w:tc>
          <w:tcPr>
            <w:tcW w:w="8358"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Oppenheimer &amp; Co. Inc.</w:t>
            </w:r>
          </w:p>
          <w:p>
            <w:pPr>
              <w:pStyle w:val="TableContents"/>
              <w:bidi w:val="0"/>
              <w:jc w:val="both"/>
              <w:rPr>
                <w:rFonts w:ascii="Times New Roman" w:hAnsi="Times New Roman"/>
                <w:color w:val="000000"/>
                <w:sz w:val="20"/>
              </w:rPr>
            </w:pPr>
            <w:r>
              <w:rPr>
                <w:rFonts w:ascii="Times New Roman" w:hAnsi="Times New Roman"/>
                <w:color w:val="000000"/>
                <w:sz w:val="20"/>
              </w:rPr>
              <w:t>B. Riley Securities, Inc.</w:t>
            </w:r>
          </w:p>
          <w:p>
            <w:pPr>
              <w:pStyle w:val="TableContents"/>
              <w:bidi w:val="0"/>
              <w:jc w:val="both"/>
              <w:rPr>
                <w:rFonts w:ascii="Times New Roman" w:hAnsi="Times New Roman"/>
                <w:color w:val="000000"/>
                <w:sz w:val="20"/>
              </w:rPr>
            </w:pPr>
            <w:r>
              <w:rPr>
                <w:rFonts w:ascii="Times New Roman" w:hAnsi="Times New Roman"/>
                <w:color w:val="000000"/>
                <w:sz w:val="20"/>
              </w:rPr>
              <w:t>Lucid Capital Markets, LLC</w:t>
            </w:r>
          </w:p>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MUFG Securities Americas Inc.</w:t>
            </w:r>
          </w:p>
        </w:tc>
      </w:tr>
      <w:tr>
        <w:trPr/>
        <w:tc>
          <w:tcPr>
            <w:tcW w:w="1847" w:type="dxa"/>
            <w:tcBorders/>
            <w:tcMar>
              <w:top w:w="0" w:type="dxa"/>
              <w:left w:w="0" w:type="dxa"/>
              <w:bottom w:w="0" w:type="dxa"/>
              <w:right w:w="0" w:type="dxa"/>
            </w:tcMar>
            <w:vAlign w:val="center"/>
          </w:tcPr>
          <w:p>
            <w:pPr>
              <w:pStyle w:val="TableContents"/>
              <w:bidi w:val="0"/>
              <w:spacing w:before="0" w:after="283"/>
              <w:jc w:val="left"/>
              <w:rPr/>
            </w:pPr>
            <w:r>
              <w:rPr/>
              <w:t> </w:t>
            </w:r>
          </w:p>
        </w:tc>
        <w:tc>
          <w:tcPr>
            <w:tcW w:w="835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Co-Managers:</w:t>
            </w:r>
          </w:p>
        </w:tc>
        <w:tc>
          <w:tcPr>
            <w:tcW w:w="8358"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Clear Street LLC</w:t>
            </w:r>
          </w:p>
          <w:p>
            <w:pPr>
              <w:pStyle w:val="TableContents"/>
              <w:bidi w:val="0"/>
              <w:jc w:val="both"/>
              <w:rPr>
                <w:rFonts w:ascii="Times New Roman" w:hAnsi="Times New Roman"/>
                <w:color w:val="000000"/>
                <w:sz w:val="20"/>
              </w:rPr>
            </w:pPr>
            <w:r>
              <w:rPr>
                <w:rFonts w:ascii="Times New Roman" w:hAnsi="Times New Roman"/>
                <w:color w:val="000000"/>
                <w:sz w:val="20"/>
              </w:rPr>
              <w:t>Compass Point Research &amp; Trading, LLC</w:t>
            </w:r>
          </w:p>
          <w:p>
            <w:pPr>
              <w:pStyle w:val="TableContents"/>
              <w:bidi w:val="0"/>
              <w:jc w:val="both"/>
              <w:rPr>
                <w:rFonts w:ascii="Times New Roman" w:hAnsi="Times New Roman"/>
                <w:color w:val="000000"/>
                <w:sz w:val="20"/>
              </w:rPr>
            </w:pPr>
            <w:r>
              <w:rPr>
                <w:rFonts w:ascii="Times New Roman" w:hAnsi="Times New Roman"/>
                <w:color w:val="000000"/>
                <w:sz w:val="20"/>
              </w:rPr>
              <w:t>InspereX LLC</w:t>
            </w:r>
          </w:p>
          <w:p>
            <w:pPr>
              <w:pStyle w:val="TableContents"/>
              <w:bidi w:val="0"/>
              <w:jc w:val="both"/>
              <w:rPr>
                <w:rFonts w:ascii="Times New Roman" w:hAnsi="Times New Roman"/>
                <w:color w:val="000000"/>
                <w:sz w:val="20"/>
              </w:rPr>
            </w:pPr>
            <w:r>
              <w:rPr>
                <w:rFonts w:ascii="Times New Roman" w:hAnsi="Times New Roman"/>
                <w:color w:val="000000"/>
                <w:sz w:val="20"/>
              </w:rPr>
              <w:t>Ladenburg Thalmann &amp; Co. Inc.</w:t>
            </w:r>
          </w:p>
          <w:p>
            <w:pPr>
              <w:pStyle w:val="TableContents"/>
              <w:bidi w:val="0"/>
              <w:jc w:val="both"/>
              <w:rPr>
                <w:rFonts w:ascii="Times New Roman" w:hAnsi="Times New Roman"/>
                <w:color w:val="000000"/>
                <w:sz w:val="20"/>
              </w:rPr>
            </w:pPr>
            <w:r>
              <w:rPr>
                <w:rFonts w:ascii="Times New Roman" w:hAnsi="Times New Roman"/>
                <w:color w:val="000000"/>
                <w:sz w:val="20"/>
              </w:rPr>
              <w:t>William Blair &amp; Company L.L.C.</w:t>
            </w:r>
          </w:p>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BC Partners Securities, LLC</w:t>
            </w:r>
          </w:p>
        </w:tc>
      </w:tr>
      <w:tr>
        <w:trPr/>
        <w:tc>
          <w:tcPr>
            <w:tcW w:w="1847" w:type="dxa"/>
            <w:tcBorders/>
            <w:tcMar>
              <w:top w:w="0" w:type="dxa"/>
              <w:left w:w="0" w:type="dxa"/>
              <w:bottom w:w="0" w:type="dxa"/>
              <w:right w:w="0" w:type="dxa"/>
            </w:tcMar>
            <w:vAlign w:val="center"/>
          </w:tcPr>
          <w:p>
            <w:pPr>
              <w:pStyle w:val="TableContents"/>
              <w:bidi w:val="0"/>
              <w:spacing w:before="0" w:after="283"/>
              <w:jc w:val="left"/>
              <w:rPr/>
            </w:pPr>
            <w:r>
              <w:rPr/>
              <w:t> </w:t>
            </w:r>
          </w:p>
        </w:tc>
        <w:tc>
          <w:tcPr>
            <w:tcW w:w="835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Trustee, Paying Agent, and Security Registrar:</w:t>
            </w:r>
          </w:p>
        </w:tc>
        <w:tc>
          <w:tcPr>
            <w:tcW w:w="83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Bank Trust Company, National Association</w:t>
            </w:r>
          </w:p>
        </w:tc>
      </w:tr>
    </w:tbl>
    <w:tbl>
      <w:tblPr>
        <w:tblW w:w="10205" w:type="dxa"/>
        <w:jc w:val="left"/>
        <w:tblInd w:w="0" w:type="dxa"/>
        <w:tblLayout w:type="fixed"/>
        <w:tblCellMar>
          <w:top w:w="28" w:type="dxa"/>
          <w:left w:w="28" w:type="dxa"/>
          <w:bottom w:w="28" w:type="dxa"/>
          <w:right w:w="28" w:type="dxa"/>
        </w:tblCellMar>
      </w:tblPr>
      <w:tblGrid>
        <w:gridCol w:w="226"/>
        <w:gridCol w:w="9979"/>
      </w:tblGrid>
      <w:tr>
        <w:trPr/>
        <w:tc>
          <w:tcPr>
            <w:tcW w:w="226" w:type="dxa"/>
            <w:tcBorders/>
            <w:vAlign w:val="center"/>
          </w:tcPr>
          <w:p>
            <w:pPr>
              <w:pStyle w:val="TableContents"/>
              <w:bidi w:val="0"/>
              <w:spacing w:before="0" w:after="283"/>
              <w:jc w:val="left"/>
              <w:rPr>
                <w:sz w:val="4"/>
                <w:szCs w:val="4"/>
              </w:rPr>
            </w:pPr>
            <w:r>
              <w:rPr>
                <w:sz w:val="4"/>
                <w:szCs w:val="4"/>
              </w:rPr>
            </w:r>
          </w:p>
        </w:tc>
        <w:tc>
          <w:tcPr>
            <w:tcW w:w="9979" w:type="dxa"/>
            <w:tcBorders/>
            <w:vAlign w:val="center"/>
          </w:tcPr>
          <w:p>
            <w:pPr>
              <w:pStyle w:val="TableContents"/>
              <w:bidi w:val="0"/>
              <w:spacing w:before="0" w:after="283"/>
              <w:jc w:val="left"/>
              <w:rPr>
                <w:sz w:val="4"/>
                <w:szCs w:val="4"/>
              </w:rPr>
            </w:pPr>
            <w:r>
              <w:rPr>
                <w:sz w:val="4"/>
                <w:szCs w:val="4"/>
              </w:rPr>
            </w:r>
          </w:p>
        </w:tc>
      </w:tr>
      <w:tr>
        <w:trPr/>
        <w:tc>
          <w:tcPr>
            <w:tcW w:w="2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997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 securities rating is not a recommendation to buy, sell or hold securities and may be subject to revision or withdrawal at any time.</w:t>
            </w:r>
          </w:p>
        </w:tc>
      </w:tr>
    </w:tbl>
    <w:p>
      <w:pPr>
        <w:pStyle w:val="TextBody"/>
        <w:bidi w:val="0"/>
        <w:jc w:val="center"/>
        <w:rPr>
          <w:rFonts w:ascii="Times New Roman" w:hAnsi="Times New Roman"/>
          <w:color w:val="000000"/>
          <w:sz w:val="24"/>
        </w:rPr>
      </w:pPr>
      <w:r>
        <w:rPr>
          <w:rFonts w:ascii="Times New Roman" w:hAnsi="Times New Roman"/>
          <w:color w:val="000000"/>
          <w:sz w:val="24"/>
        </w:rPr>
        <w:t>28</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10205" w:type="dxa"/>
        <w:jc w:val="left"/>
        <w:tblInd w:w="0" w:type="dxa"/>
        <w:tblLayout w:type="fixed"/>
        <w:tblCellMar>
          <w:top w:w="28" w:type="dxa"/>
          <w:left w:w="28" w:type="dxa"/>
          <w:bottom w:w="28" w:type="dxa"/>
          <w:right w:w="28" w:type="dxa"/>
        </w:tblCellMar>
      </w:tblPr>
      <w:tblGrid>
        <w:gridCol w:w="244"/>
        <w:gridCol w:w="9961"/>
      </w:tblGrid>
      <w:tr>
        <w:trPr/>
        <w:tc>
          <w:tcPr>
            <w:tcW w:w="244" w:type="dxa"/>
            <w:tcBorders/>
            <w:vAlign w:val="center"/>
          </w:tcPr>
          <w:p>
            <w:pPr>
              <w:pStyle w:val="TableContents"/>
              <w:bidi w:val="0"/>
              <w:spacing w:before="0" w:after="283"/>
              <w:jc w:val="left"/>
              <w:rPr>
                <w:sz w:val="4"/>
                <w:szCs w:val="4"/>
              </w:rPr>
            </w:pPr>
            <w:r>
              <w:rPr>
                <w:sz w:val="4"/>
                <w:szCs w:val="4"/>
              </w:rPr>
            </w:r>
          </w:p>
        </w:tc>
        <w:tc>
          <w:tcPr>
            <w:tcW w:w="9961" w:type="dxa"/>
            <w:tcBorders/>
            <w:vAlign w:val="center"/>
          </w:tcPr>
          <w:p>
            <w:pPr>
              <w:pStyle w:val="TableContents"/>
              <w:bidi w:val="0"/>
              <w:spacing w:before="0" w:after="283"/>
              <w:jc w:val="left"/>
              <w:rPr>
                <w:sz w:val="4"/>
                <w:szCs w:val="4"/>
              </w:rPr>
            </w:pPr>
            <w:r>
              <w:rPr>
                <w:sz w:val="4"/>
                <w:szCs w:val="4"/>
              </w:rPr>
            </w:r>
          </w:p>
        </w:tc>
      </w:tr>
      <w:tr>
        <w:trPr/>
        <w:tc>
          <w:tcPr>
            <w:tcW w:w="24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996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Under Rule 15c6-1 of the Securities Exchange Act of 1934, as amended, trades in the secondary market generally are required to settle in one business day, unless the parties to any such trade expressly agree otherwise. Accordingly, purchasers who wish to trade the Notes on any date prior to the first business day before delivery thereof will be required, by virtue of the fact that the Notes initially will settle T+4, to specify an alternate settlement cycle at the time of any such trade to prevent a failed settlement. Purchasers of the Notes who wish to trade the Notes prior to their date of delivery hereunder should consult their own advisors.</w:t>
            </w:r>
          </w:p>
        </w:tc>
      </w:tr>
    </w:tbl>
    <w:p>
      <w:pPr>
        <w:pStyle w:val="TextBody"/>
        <w:bidi w:val="0"/>
        <w:jc w:val="both"/>
        <w:rPr>
          <w:rFonts w:ascii="Times New Roman" w:hAnsi="Times New Roman"/>
          <w:b/>
          <w:color w:val="000000"/>
          <w:sz w:val="20"/>
        </w:rPr>
      </w:pPr>
      <w:r>
        <w:rPr>
          <w:rFonts w:ascii="Times New Roman" w:hAnsi="Times New Roman"/>
          <w:b/>
          <w:color w:val="000000"/>
          <w:sz w:val="20"/>
        </w:rPr>
        <w:t>Investors are advised to carefully consider the investment objectives, risks, charges and expenses of the Company before investing. The Preliminary Prospectus, which has been filed with the U.S. Securities and Exchange Commission ("SEC"), contains this and other information about the Company and should be read carefully before investing.</w:t>
      </w:r>
    </w:p>
    <w:p>
      <w:pPr>
        <w:pStyle w:val="TextBody"/>
        <w:bidi w:val="0"/>
        <w:jc w:val="both"/>
        <w:rPr>
          <w:rFonts w:ascii="Times New Roman" w:hAnsi="Times New Roman"/>
          <w:i/>
          <w:color w:val="000000"/>
          <w:sz w:val="20"/>
        </w:rPr>
      </w:pPr>
      <w:r>
        <w:rPr>
          <w:rFonts w:ascii="Times New Roman" w:hAnsi="Times New Roman"/>
          <w:i/>
          <w:color w:val="000000"/>
          <w:sz w:val="20"/>
        </w:rPr>
        <w:t>The information in the Preliminary Prospectus and this pricing term sheet is not complete and may be changed. This pricing term sheet and the Preliminary Prospectus are not offers to sell or the solicitation of offers to buy, nor will there be any sale of the Notes referred to in this pricing term sheet, in any jurisdiction where such offer, solicitation or sale would be unlawful prior to the registration or qualification under the securities laws of such jurisdiction.</w:t>
      </w:r>
    </w:p>
    <w:p>
      <w:pPr>
        <w:pStyle w:val="TextBody"/>
        <w:bidi w:val="0"/>
        <w:jc w:val="both"/>
        <w:rPr>
          <w:rFonts w:ascii="Times New Roman" w:hAnsi="Times New Roman"/>
          <w:sz w:val="20"/>
        </w:rPr>
      </w:pPr>
      <w:r>
        <w:rPr>
          <w:rFonts w:ascii="Times New Roman" w:hAnsi="Times New Roman"/>
          <w:b/>
          <w:color w:val="000000"/>
          <w:sz w:val="20"/>
        </w:rPr>
        <w:t xml:space="preserve">A shelf registration statement relating to these securities is on file with, and has been declared effective by, the SEC. Before you invest, you should read the prospectus in that registration statement, the Preliminary Prospectus and other documents the Company has filed with the SEC for more complete information about the Company and this offering. You may obtain these documents for free by visiting EDGAR on the SEC website at </w:t>
      </w:r>
      <w:r>
        <w:rPr>
          <w:rFonts w:ascii="Times New Roman" w:hAnsi="Times New Roman"/>
          <w:b/>
          <w:i/>
          <w:color w:val="000000"/>
          <w:sz w:val="20"/>
          <w:u w:val="single"/>
        </w:rPr>
        <w:t>www.sec.gov</w:t>
      </w:r>
      <w:r>
        <w:rPr>
          <w:rFonts w:ascii="Times New Roman" w:hAnsi="Times New Roman"/>
          <w:b/>
          <w:color w:val="000000"/>
          <w:sz w:val="20"/>
        </w:rPr>
        <w:t>. Alternatively, the Company, the underwriter or any dealer participating in the offering will arrange to send you the Preliminary Prospectus if you request it from Oppenheimer &amp; Co. Inc., 85 Broad Street, 23rd Floor, New York, NY 10004 or by calling (800) 966 1559.</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Schedule III</w:t>
      </w:r>
    </w:p>
    <w:p>
      <w:pPr>
        <w:pStyle w:val="TextBody"/>
        <w:bidi w:val="0"/>
        <w:jc w:val="center"/>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w:t>
      </w:r>
    </w:p>
    <w:p>
      <w:pPr>
        <w:pStyle w:val="TextBody"/>
        <w:bidi w:val="0"/>
        <w:jc w:val="both"/>
        <w:rPr>
          <w:rFonts w:ascii="Times New Roman" w:hAnsi="Times New Roman"/>
          <w:sz w:val="20"/>
        </w:rPr>
      </w:pPr>
      <w:r>
        <w:rPr>
          <w:rFonts w:ascii="Times New Roman" w:hAnsi="Times New Roman"/>
          <w:color w:val="000000"/>
          <w:sz w:val="20"/>
        </w:rPr>
        <w:t xml:space="preserve">Term Sheet dated September 24, 2026, substantially in the form attached hereto as </w:t>
      </w:r>
      <w:r>
        <w:rPr>
          <w:rFonts w:ascii="Times New Roman" w:hAnsi="Times New Roman"/>
          <w:color w:val="000000"/>
          <w:sz w:val="20"/>
          <w:u w:val="single"/>
        </w:rPr>
        <w:t>Annex A</w:t>
      </w:r>
      <w:r>
        <w:rPr>
          <w:rFonts w:ascii="Times New Roman" w:hAnsi="Times New Roman"/>
          <w:color w:val="000000"/>
          <w:sz w:val="20"/>
        </w:rPr>
        <w:t xml:space="preserve"> of </w:t>
      </w:r>
      <w:r>
        <w:rPr>
          <w:rFonts w:ascii="Times New Roman" w:hAnsi="Times New Roman"/>
          <w:color w:val="000000"/>
          <w:sz w:val="20"/>
          <w:u w:val="single"/>
        </w:rPr>
        <w:t>Schedule II</w:t>
      </w:r>
      <w:r>
        <w:rPr>
          <w:rFonts w:ascii="Times New Roman" w:hAnsi="Times New Roman"/>
          <w:color w:val="000000"/>
          <w:sz w:val="20"/>
        </w:rPr>
        <w:t>, containing the terms of the Securities, filed with the Commission on September 24, 2026 pursuant to Rule 433 under the Securities Act.</w:t>
      </w:r>
    </w:p>
    <w:p>
      <w:pPr>
        <w:pStyle w:val="TextBody"/>
        <w:bidi w:val="0"/>
        <w:jc w:val="center"/>
        <w:rPr>
          <w:rFonts w:ascii="Times New Roman" w:hAnsi="Times New Roman"/>
          <w:color w:val="000000"/>
          <w:sz w:val="24"/>
        </w:rPr>
      </w:pPr>
      <w:r>
        <w:rPr>
          <w:rFonts w:ascii="Times New Roman" w:hAnsi="Times New Roman"/>
          <w:color w:val="000000"/>
          <w:sz w:val="24"/>
        </w:rPr>
        <w:t>30</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aps/>
          <w:color w:val="000000"/>
          <w:sz w:val="20"/>
        </w:rPr>
      </w:pPr>
      <w:r>
        <w:rPr>
          <w:rFonts w:ascii="Times New Roman" w:hAnsi="Times New Roman"/>
          <w:b/>
          <w:caps/>
          <w:color w:val="000000"/>
          <w:sz w:val="20"/>
        </w:rPr>
        <w:t>Exhibit A</w:t>
      </w:r>
    </w:p>
    <w:p>
      <w:pPr>
        <w:pStyle w:val="TextBody"/>
        <w:bidi w:val="0"/>
        <w:jc w:val="center"/>
        <w:rPr/>
      </w:pPr>
      <w:r>
        <w:rPr/>
        <w:t> </w:t>
      </w:r>
    </w:p>
    <w:p>
      <w:pPr>
        <w:pStyle w:val="TextBody"/>
        <w:bidi w:val="0"/>
        <w:jc w:val="center"/>
        <w:rPr>
          <w:rFonts w:ascii="Times New Roman" w:hAnsi="Times New Roman"/>
          <w:b/>
          <w:caps/>
          <w:color w:val="000000"/>
          <w:sz w:val="20"/>
        </w:rPr>
      </w:pPr>
      <w:bookmarkStart w:id="8" w:name="ole_link26"/>
      <w:bookmarkEnd w:id="8"/>
      <w:r>
        <w:rPr>
          <w:rFonts w:ascii="Times New Roman" w:hAnsi="Times New Roman"/>
          <w:b/>
          <w:caps/>
          <w:color w:val="000000"/>
          <w:sz w:val="20"/>
        </w:rPr>
        <w:t>Form of opinion of dechert llp</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Oppenheimer &amp; Co. Inc.</w:t>
      </w:r>
    </w:p>
    <w:p>
      <w:pPr>
        <w:pStyle w:val="TextBody"/>
        <w:bidi w:val="0"/>
        <w:jc w:val="left"/>
        <w:rPr>
          <w:rFonts w:ascii="Times New Roman" w:hAnsi="Times New Roman"/>
          <w:i/>
          <w:color w:val="000000"/>
          <w:sz w:val="20"/>
        </w:rPr>
      </w:pPr>
      <w:r>
        <w:rPr>
          <w:rFonts w:ascii="Times New Roman" w:hAnsi="Times New Roman"/>
          <w:i/>
          <w:color w:val="000000"/>
          <w:sz w:val="20"/>
        </w:rPr>
        <w:t>As Representative of the several Underwriters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 Oppenheimer &amp; Co. Inc.</w:t>
      </w:r>
    </w:p>
    <w:p>
      <w:pPr>
        <w:pStyle w:val="TextBody"/>
        <w:bidi w:val="0"/>
        <w:spacing w:lineRule="auto" w:line="360"/>
        <w:jc w:val="left"/>
        <w:rPr>
          <w:rFonts w:ascii="Times New Roman" w:hAnsi="Times New Roman"/>
          <w:sz w:val="13"/>
        </w:rPr>
      </w:pPr>
      <w:r>
        <w:rPr>
          <w:rFonts w:ascii="Times New Roman" w:hAnsi="Times New Roman"/>
          <w:color w:val="000000"/>
          <w:sz w:val="20"/>
        </w:rPr>
        <w:t>85 Broad Street, 23</w:t>
      </w:r>
      <w:r>
        <w:rPr>
          <w:rFonts w:ascii="Times New Roman" w:hAnsi="Times New Roman"/>
          <w:color w:val="000000"/>
          <w:sz w:val="13"/>
        </w:rPr>
        <w:t xml:space="preserve">rd </w:t>
      </w:r>
      <w:r>
        <w:rPr>
          <w:rFonts w:ascii="Times New Roman" w:hAnsi="Times New Roman"/>
          <w:color w:val="000000"/>
          <w:sz w:val="20"/>
        </w:rPr>
        <w:t>Floor</w:t>
      </w:r>
    </w:p>
    <w:p>
      <w:pPr>
        <w:pStyle w:val="TextBody"/>
        <w:bidi w:val="0"/>
        <w:jc w:val="left"/>
        <w:rPr>
          <w:rFonts w:ascii="Times New Roman" w:hAnsi="Times New Roman"/>
          <w:color w:val="000000"/>
          <w:sz w:val="20"/>
        </w:rPr>
      </w:pPr>
      <w:r>
        <w:rPr>
          <w:rFonts w:ascii="Times New Roman" w:hAnsi="Times New Roman"/>
          <w:color w:val="000000"/>
          <w:sz w:val="20"/>
        </w:rPr>
        <w:t>New York, New York 10004</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Ladies and Gentlemen:</w:t>
      </w:r>
    </w:p>
    <w:p>
      <w:pPr>
        <w:pStyle w:val="TextBody"/>
        <w:bidi w:val="0"/>
        <w:jc w:val="both"/>
        <w:rPr>
          <w:rFonts w:ascii="Times New Roman" w:hAnsi="Times New Roman"/>
          <w:sz w:val="20"/>
        </w:rPr>
      </w:pPr>
      <w:r>
        <w:rPr>
          <w:rFonts w:ascii="Times New Roman" w:hAnsi="Times New Roman"/>
          <w:color w:val="000000"/>
          <w:sz w:val="20"/>
        </w:rPr>
        <w:t>We have acted as counsel to Runway Growth Finance Corp., a Maryland corporation (the “</w:t>
      </w:r>
      <w:r>
        <w:rPr>
          <w:rFonts w:ascii="Times New Roman" w:hAnsi="Times New Roman"/>
          <w:color w:val="000000"/>
          <w:sz w:val="20"/>
          <w:u w:val="single"/>
        </w:rPr>
        <w:t>Company</w:t>
      </w:r>
      <w:r>
        <w:rPr>
          <w:rFonts w:ascii="Times New Roman" w:hAnsi="Times New Roman"/>
          <w:color w:val="000000"/>
          <w:sz w:val="20"/>
        </w:rPr>
        <w:t>”), and Runway Growth Capital LLC, a Delaware limited liability company (the “</w:t>
      </w:r>
      <w:r>
        <w:rPr>
          <w:rFonts w:ascii="Times New Roman" w:hAnsi="Times New Roman"/>
          <w:color w:val="000000"/>
          <w:sz w:val="20"/>
          <w:u w:val="single"/>
        </w:rPr>
        <w:t>Adviser</w:t>
      </w:r>
      <w:r>
        <w:rPr>
          <w:rFonts w:ascii="Times New Roman" w:hAnsi="Times New Roman"/>
          <w:color w:val="000000"/>
          <w:sz w:val="20"/>
        </w:rPr>
        <w:t>” and, together with the Company, the “</w:t>
      </w:r>
      <w:r>
        <w:rPr>
          <w:rFonts w:ascii="Times New Roman" w:hAnsi="Times New Roman"/>
          <w:color w:val="000000"/>
          <w:sz w:val="20"/>
          <w:u w:val="single"/>
        </w:rPr>
        <w:t>Runway Entities</w:t>
      </w:r>
      <w:r>
        <w:rPr>
          <w:rFonts w:ascii="Times New Roman" w:hAnsi="Times New Roman"/>
          <w:color w:val="000000"/>
          <w:sz w:val="20"/>
        </w:rPr>
        <w:t>”), in connection with the issuance and sale by the Company of $45,000,000 aggregate principal amount of the Company’s 7.75% notes due 2031 (the “</w:t>
      </w:r>
      <w:r>
        <w:rPr>
          <w:rFonts w:ascii="Times New Roman" w:hAnsi="Times New Roman"/>
          <w:color w:val="000000"/>
          <w:sz w:val="20"/>
          <w:u w:val="single"/>
        </w:rPr>
        <w:t>Notes</w:t>
      </w:r>
      <w:r>
        <w:rPr>
          <w:rFonts w:ascii="Times New Roman" w:hAnsi="Times New Roman"/>
          <w:color w:val="000000"/>
          <w:sz w:val="20"/>
        </w:rPr>
        <w:t>”) to the several underwriters (the “</w:t>
      </w:r>
      <w:r>
        <w:rPr>
          <w:rFonts w:ascii="Times New Roman" w:hAnsi="Times New Roman"/>
          <w:color w:val="000000"/>
          <w:sz w:val="20"/>
          <w:u w:val="single"/>
        </w:rPr>
        <w:t>Underwriters</w:t>
      </w:r>
      <w:r>
        <w:rPr>
          <w:rFonts w:ascii="Times New Roman" w:hAnsi="Times New Roman"/>
          <w:color w:val="000000"/>
          <w:sz w:val="20"/>
        </w:rPr>
        <w:t>”) named in Schedule I to the Underwriting Agreement, dated September 24, 2026 (the “</w:t>
      </w:r>
      <w:r>
        <w:rPr>
          <w:rFonts w:ascii="Times New Roman" w:hAnsi="Times New Roman"/>
          <w:color w:val="000000"/>
          <w:sz w:val="20"/>
          <w:u w:val="single"/>
        </w:rPr>
        <w:t>Underwriting Agreement</w:t>
      </w:r>
      <w:r>
        <w:rPr>
          <w:rFonts w:ascii="Times New Roman" w:hAnsi="Times New Roman"/>
          <w:color w:val="000000"/>
          <w:sz w:val="20"/>
        </w:rPr>
        <w:t xml:space="preserve">”), by and among the Runway Entities and Oppenheimer &amp; Co. Inc., as representative of the Underwriters. This opinion letter is delivered to you pursuant to Section 5(c)(i) of the Underwriting Agreement.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The Notes are to be issued pursuant to an indenture, dated July 28, 2022 (the “</w:t>
      </w:r>
      <w:r>
        <w:rPr>
          <w:rFonts w:ascii="Times New Roman" w:hAnsi="Times New Roman"/>
          <w:color w:val="000000"/>
          <w:sz w:val="20"/>
          <w:u w:val="single"/>
        </w:rPr>
        <w:t>Base Indenture</w:t>
      </w:r>
      <w:r>
        <w:rPr>
          <w:rFonts w:ascii="Times New Roman" w:hAnsi="Times New Roman"/>
          <w:color w:val="000000"/>
          <w:sz w:val="20"/>
        </w:rPr>
        <w:t>”), by and between the Company and U.S. Bank Trust Company, National Association, as trustee (the “</w:t>
      </w:r>
      <w:r>
        <w:rPr>
          <w:rFonts w:ascii="Times New Roman" w:hAnsi="Times New Roman"/>
          <w:color w:val="000000"/>
          <w:sz w:val="20"/>
          <w:u w:val="single"/>
        </w:rPr>
        <w:t>Trustee</w:t>
      </w:r>
      <w:r>
        <w:rPr>
          <w:rFonts w:ascii="Times New Roman" w:hAnsi="Times New Roman"/>
          <w:color w:val="000000"/>
          <w:sz w:val="20"/>
        </w:rPr>
        <w:t>”), as supplemented by the Fifth Supplemental Indenture, dated October 1, 2026 (the “</w:t>
      </w:r>
      <w:r>
        <w:rPr>
          <w:rFonts w:ascii="Times New Roman" w:hAnsi="Times New Roman"/>
          <w:color w:val="000000"/>
          <w:sz w:val="20"/>
          <w:u w:val="single"/>
        </w:rPr>
        <w:t>Fifth Supplemental Indenture</w:t>
      </w:r>
      <w:r>
        <w:rPr>
          <w:rFonts w:ascii="Times New Roman" w:hAnsi="Times New Roman"/>
          <w:color w:val="000000"/>
          <w:sz w:val="20"/>
        </w:rPr>
        <w:t>” and, together with the Base Indenture, the “</w:t>
      </w:r>
      <w:r>
        <w:rPr>
          <w:rFonts w:ascii="Times New Roman" w:hAnsi="Times New Roman"/>
          <w:color w:val="000000"/>
          <w:sz w:val="20"/>
          <w:u w:val="single"/>
        </w:rPr>
        <w:t>Indenture</w:t>
      </w:r>
      <w:r>
        <w:rPr>
          <w:rFonts w:ascii="Times New Roman" w:hAnsi="Times New Roman"/>
          <w:color w:val="000000"/>
          <w:sz w:val="20"/>
        </w:rPr>
        <w: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rendering this opinion letter, we have examined and relied on originals or copies, certified or otherwise identified to our satisfaction, of such agreements, corporate records and other instruments and such documents, certificates and receipts of public officials, certificates of officers and other representatives of the Company, the Adviser and others, and such other documents as we have deemed necessary or appropriate as a basis for rendering the opinions set forth below, including the following documents:</w:t>
      </w:r>
    </w:p>
    <w:p>
      <w:pPr>
        <w:pStyle w:val="TextBody"/>
        <w:bidi w:val="0"/>
        <w:jc w:val="both"/>
        <w:rPr/>
      </w:pPr>
      <w:r>
        <w:rPr/>
        <w:t> </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20"/>
        <w:jc w:val="both"/>
        <w:rPr>
          <w:rFonts w:ascii="Times New Roman" w:hAnsi="Times New Roman"/>
          <w:sz w:val="20"/>
        </w:rPr>
      </w:pPr>
      <w:r>
        <w:rPr>
          <w:rFonts w:ascii="Times New Roman" w:hAnsi="Times New Roman"/>
          <w:color w:val="000000"/>
          <w:sz w:val="20"/>
        </w:rPr>
        <w:t>the Registration Statement on Form N-2 (Registration No. 333-284781) relating to the Notes filed by the Company and declared effective by the U.S. Securities and Exchange Commission (the “</w:t>
      </w:r>
      <w:r>
        <w:rPr>
          <w:rFonts w:ascii="Times New Roman" w:hAnsi="Times New Roman"/>
          <w:color w:val="000000"/>
          <w:sz w:val="20"/>
          <w:u w:val="single"/>
        </w:rPr>
        <w:t>Commission</w:t>
      </w:r>
      <w:r>
        <w:rPr>
          <w:rFonts w:ascii="Times New Roman" w:hAnsi="Times New Roman"/>
          <w:color w:val="000000"/>
          <w:sz w:val="20"/>
        </w:rPr>
        <w:t>”) on March 19, 2025 (such Registration Statement at the time it became effective on March 19, 2025, together with any post-effective amendments thereto, all exhibits thereto and all documents incorporated by reference therein, including the Base Prospectus (as defined herein) and the information deemed to be part thereof or incorporated by reference therein at the time it most recently became effective pursuant to Rule 430B of the Commission under the Securities Act, being hereinafter referred to collectively as the “</w:t>
      </w:r>
      <w:r>
        <w:rPr>
          <w:rFonts w:ascii="Times New Roman" w:hAnsi="Times New Roman"/>
          <w:color w:val="000000"/>
          <w:sz w:val="20"/>
          <w:u w:val="single"/>
        </w:rPr>
        <w:t>Registration Statement</w:t>
      </w:r>
      <w:r>
        <w:rPr>
          <w:rFonts w:ascii="Times New Roman" w:hAnsi="Times New Roman"/>
          <w:color w:val="000000"/>
          <w:sz w:val="20"/>
        </w:rPr>
        <w:t xml:space="preserve">”); </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20"/>
        <w:jc w:val="both"/>
        <w:rPr>
          <w:rFonts w:ascii="Times New Roman" w:hAnsi="Times New Roman"/>
          <w:sz w:val="20"/>
        </w:rPr>
      </w:pPr>
      <w:r>
        <w:rPr>
          <w:rFonts w:ascii="Times New Roman" w:hAnsi="Times New Roman"/>
          <w:color w:val="000000"/>
          <w:sz w:val="20"/>
        </w:rPr>
        <w:t>the base prospectus dated March 19, 2025 included in the Registration Statement (the “</w:t>
      </w:r>
      <w:r>
        <w:rPr>
          <w:rFonts w:ascii="Times New Roman" w:hAnsi="Times New Roman"/>
          <w:color w:val="000000"/>
          <w:sz w:val="20"/>
          <w:u w:val="single"/>
        </w:rPr>
        <w:t>Base Prospectus</w:t>
      </w:r>
      <w:r>
        <w:rPr>
          <w:rFonts w:ascii="Times New Roman" w:hAnsi="Times New Roman"/>
          <w:color w:val="000000"/>
          <w:sz w:val="20"/>
        </w:rPr>
        <w:t>”);</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(iii)</w:t>
      </w:r>
    </w:p>
    <w:p>
      <w:pPr>
        <w:pStyle w:val="TextBody"/>
        <w:bidi w:val="0"/>
        <w:spacing w:before="0" w:after="220"/>
        <w:jc w:val="both"/>
        <w:rPr>
          <w:rFonts w:ascii="Times New Roman" w:hAnsi="Times New Roman"/>
          <w:sz w:val="20"/>
        </w:rPr>
      </w:pPr>
      <w:r>
        <w:rPr>
          <w:rFonts w:ascii="Times New Roman" w:hAnsi="Times New Roman"/>
          <w:color w:val="000000"/>
          <w:sz w:val="20"/>
        </w:rPr>
        <w:t>the preliminary prospectus supplement dated September 23, relating to the Notes in the form filed with the Commission pursuant to Rule 424 promulgated under the Securities Act (together with the Base Prospectus included therein and the information incorporated by reference therein, the “</w:t>
      </w:r>
      <w:r>
        <w:rPr>
          <w:rFonts w:ascii="Times New Roman" w:hAnsi="Times New Roman"/>
          <w:color w:val="000000"/>
          <w:sz w:val="20"/>
          <w:u w:val="single"/>
        </w:rPr>
        <w:t>Preliminary Prospectus</w:t>
      </w:r>
      <w:r>
        <w:rPr>
          <w:rFonts w:ascii="Times New Roman" w:hAnsi="Times New Roman"/>
          <w:color w:val="000000"/>
          <w:sz w:val="20"/>
        </w:rPr>
        <w:t>”);</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(iv)</w:t>
      </w:r>
    </w:p>
    <w:p>
      <w:pPr>
        <w:pStyle w:val="TextBody"/>
        <w:bidi w:val="0"/>
        <w:spacing w:before="0" w:after="220"/>
        <w:jc w:val="both"/>
        <w:rPr>
          <w:rFonts w:ascii="Times New Roman" w:hAnsi="Times New Roman"/>
          <w:sz w:val="20"/>
        </w:rPr>
      </w:pPr>
      <w:r>
        <w:rPr>
          <w:rFonts w:ascii="Times New Roman" w:hAnsi="Times New Roman"/>
          <w:color w:val="000000"/>
          <w:sz w:val="20"/>
        </w:rPr>
        <w:t>the final prospectus supplement dated September 24, 2026, relating to the Notes in the form filed with the Commission pursuant to Rule 424 promulgated under the Securities Act (together with the Base Prospectus included therein and the documents incorporated by reference therein, the “</w:t>
      </w:r>
      <w:r>
        <w:rPr>
          <w:rFonts w:ascii="Times New Roman" w:hAnsi="Times New Roman"/>
          <w:color w:val="000000"/>
          <w:sz w:val="20"/>
          <w:u w:val="single"/>
        </w:rPr>
        <w:t>Prospectus</w:t>
      </w:r>
      <w:r>
        <w:rPr>
          <w:rFonts w:ascii="Times New Roman" w:hAnsi="Times New Roman"/>
          <w:color w:val="000000"/>
          <w:sz w:val="20"/>
        </w:rPr>
        <w:t xml:space="preserve">”);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(v)</w:t>
      </w:r>
    </w:p>
    <w:p>
      <w:pPr>
        <w:pStyle w:val="TextBody"/>
        <w:bidi w:val="0"/>
        <w:jc w:val="both"/>
        <w:rPr>
          <w:rFonts w:ascii="Times New Roman" w:hAnsi="Times New Roman"/>
          <w:color w:val="000000"/>
          <w:sz w:val="20"/>
        </w:rPr>
      </w:pPr>
      <w:r>
        <w:rPr>
          <w:rFonts w:ascii="Times New Roman" w:hAnsi="Times New Roman"/>
          <w:color w:val="000000"/>
          <w:sz w:val="20"/>
        </w:rPr>
        <w:t>the pricing term sheet dated September 24, 2026, in the form filed with the Commission pursuant to Rule 433 promulgated under the Securities Act;</w:t>
      </w:r>
    </w:p>
    <w:p>
      <w:pPr>
        <w:pStyle w:val="TextBody"/>
        <w:bidi w:val="0"/>
        <w:jc w:val="both"/>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Underwriting Agreement;</w:t>
      </w:r>
    </w:p>
    <w:p>
      <w:pPr>
        <w:pStyle w:val="TextBody"/>
        <w:bidi w:val="0"/>
        <w:jc w:val="center"/>
        <w:rPr>
          <w:rFonts w:ascii="Times New Roman" w:hAnsi="Times New Roman"/>
          <w:color w:val="000000"/>
          <w:sz w:val="24"/>
        </w:rPr>
      </w:pPr>
      <w:r>
        <w:rPr>
          <w:rFonts w:ascii="Times New Roman" w:hAnsi="Times New Roman"/>
          <w:color w:val="000000"/>
          <w:sz w:val="24"/>
        </w:rPr>
        <w:t>31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(vii)</w:t>
      </w:r>
    </w:p>
    <w:p>
      <w:pPr>
        <w:pStyle w:val="TextBody"/>
        <w:bidi w:val="0"/>
        <w:spacing w:before="0" w:after="240"/>
        <w:jc w:val="both"/>
        <w:rPr>
          <w:rFonts w:ascii="Times New Roman" w:hAnsi="Times New Roman"/>
          <w:sz w:val="20"/>
        </w:rPr>
      </w:pPr>
      <w:r>
        <w:rPr>
          <w:rFonts w:ascii="Times New Roman" w:hAnsi="Times New Roman"/>
          <w:color w:val="000000"/>
          <w:sz w:val="20"/>
        </w:rPr>
        <w:t>the Articles of Amendment and Restatement and the Articles of Amendment of the Company (the “</w:t>
      </w:r>
      <w:r>
        <w:rPr>
          <w:rFonts w:ascii="Times New Roman" w:hAnsi="Times New Roman"/>
          <w:color w:val="000000"/>
          <w:sz w:val="20"/>
          <w:u w:val="single"/>
        </w:rPr>
        <w:t>Charter</w:t>
      </w:r>
      <w:r>
        <w:rPr>
          <w:rFonts w:ascii="Times New Roman" w:hAnsi="Times New Roman"/>
          <w:color w:val="000000"/>
          <w:sz w:val="20"/>
        </w:rPr>
        <w:t>”), certified as of a recent date by an officer of the Company;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(viii)</w:t>
      </w:r>
    </w:p>
    <w:p>
      <w:pPr>
        <w:pStyle w:val="TextBody"/>
        <w:bidi w:val="0"/>
        <w:spacing w:before="0" w:after="240"/>
        <w:jc w:val="both"/>
        <w:rPr>
          <w:rFonts w:ascii="Times New Roman" w:hAnsi="Times New Roman"/>
          <w:sz w:val="20"/>
        </w:rPr>
      </w:pPr>
      <w:r>
        <w:rPr>
          <w:rFonts w:ascii="Times New Roman" w:hAnsi="Times New Roman"/>
          <w:color w:val="000000"/>
          <w:sz w:val="20"/>
        </w:rPr>
        <w:t>the Third Amended and Restated Bylaws of the Company, certified as of the date hereof by an officer of the Company (the “</w:t>
      </w:r>
      <w:r>
        <w:rPr>
          <w:rFonts w:ascii="Times New Roman" w:hAnsi="Times New Roman"/>
          <w:color w:val="000000"/>
          <w:sz w:val="20"/>
          <w:u w:val="single"/>
        </w:rPr>
        <w:t>Bylaws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(ix)</w:t>
      </w:r>
    </w:p>
    <w:p>
      <w:pPr>
        <w:pStyle w:val="TextBody"/>
        <w:bidi w:val="0"/>
        <w:spacing w:before="0" w:after="240"/>
        <w:jc w:val="both"/>
        <w:rPr>
          <w:rFonts w:ascii="Times New Roman" w:hAnsi="Times New Roman"/>
          <w:sz w:val="20"/>
        </w:rPr>
      </w:pPr>
      <w:r>
        <w:rPr>
          <w:rFonts w:ascii="Times New Roman" w:hAnsi="Times New Roman"/>
          <w:color w:val="000000"/>
          <w:sz w:val="20"/>
        </w:rPr>
        <w:t>the Certificate of Formation of the Adviser, certified as of a recent date by an officer of the Adviser (the “</w:t>
      </w:r>
      <w:r>
        <w:rPr>
          <w:rFonts w:ascii="Times New Roman" w:hAnsi="Times New Roman"/>
          <w:color w:val="000000"/>
          <w:sz w:val="20"/>
          <w:u w:val="single"/>
        </w:rPr>
        <w:t>Adviser Certificate of Formation</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(x)</w:t>
      </w:r>
    </w:p>
    <w:p>
      <w:pPr>
        <w:pStyle w:val="TextBody"/>
        <w:bidi w:val="0"/>
        <w:spacing w:before="0" w:after="240"/>
        <w:jc w:val="both"/>
        <w:rPr>
          <w:rFonts w:ascii="Times New Roman" w:hAnsi="Times New Roman"/>
          <w:sz w:val="20"/>
        </w:rPr>
      </w:pPr>
      <w:r>
        <w:rPr>
          <w:rFonts w:ascii="Times New Roman" w:hAnsi="Times New Roman"/>
          <w:color w:val="000000"/>
          <w:sz w:val="20"/>
        </w:rPr>
        <w:t>the Limited Liability Company Agreement of the Adviser (as amended and restated), certified as of the date hereof by an officer of the Adviser (the “</w:t>
      </w:r>
      <w:r>
        <w:rPr>
          <w:rFonts w:ascii="Times New Roman" w:hAnsi="Times New Roman"/>
          <w:color w:val="000000"/>
          <w:sz w:val="20"/>
          <w:u w:val="single"/>
        </w:rPr>
        <w:t>Adviser Operating Agreement</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(xi)</w:t>
      </w:r>
    </w:p>
    <w:p>
      <w:pPr>
        <w:pStyle w:val="TextBody"/>
        <w:bidi w:val="0"/>
        <w:spacing w:before="0" w:after="240"/>
        <w:jc w:val="both"/>
        <w:rPr>
          <w:rFonts w:ascii="Times New Roman" w:hAnsi="Times New Roman"/>
          <w:sz w:val="20"/>
        </w:rPr>
      </w:pPr>
      <w:r>
        <w:rPr>
          <w:rFonts w:ascii="Times New Roman" w:hAnsi="Times New Roman"/>
          <w:color w:val="000000"/>
          <w:sz w:val="20"/>
        </w:rPr>
        <w:t>the Third Amended and Restated Investment Advisory Agreement, dated January 30, 2025, between the Company and the Adviser (the “</w:t>
      </w:r>
      <w:r>
        <w:rPr>
          <w:rFonts w:ascii="Times New Roman" w:hAnsi="Times New Roman"/>
          <w:color w:val="000000"/>
          <w:sz w:val="20"/>
          <w:u w:val="single"/>
        </w:rPr>
        <w:t>Advisory Agreement</w:t>
      </w:r>
      <w:r>
        <w:rPr>
          <w:rFonts w:ascii="Times New Roman" w:hAnsi="Times New Roman"/>
          <w:color w:val="000000"/>
          <w:sz w:val="20"/>
        </w:rPr>
        <w:t>” and, together with the Underwriting Agreement, the Base Indenture, the Fifth Supplemental Indenture, the Global Note, the “</w:t>
      </w:r>
      <w:r>
        <w:rPr>
          <w:rFonts w:ascii="Times New Roman" w:hAnsi="Times New Roman"/>
          <w:color w:val="000000"/>
          <w:sz w:val="20"/>
          <w:u w:val="single"/>
        </w:rPr>
        <w:t>Transaction Documents</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(xii)</w:t>
      </w:r>
    </w:p>
    <w:p>
      <w:pPr>
        <w:pStyle w:val="TextBody"/>
        <w:bidi w:val="0"/>
        <w:spacing w:before="0" w:after="240"/>
        <w:jc w:val="both"/>
        <w:rPr>
          <w:rFonts w:ascii="Times New Roman" w:hAnsi="Times New Roman"/>
          <w:sz w:val="20"/>
        </w:rPr>
      </w:pPr>
      <w:r>
        <w:rPr>
          <w:rFonts w:ascii="Times New Roman" w:hAnsi="Times New Roman"/>
          <w:color w:val="000000"/>
          <w:sz w:val="20"/>
        </w:rPr>
        <w:t>the Trademark License Agreement, dated September 23, 2021, between the Company and the Adviser (the “</w:t>
      </w:r>
      <w:r>
        <w:rPr>
          <w:rFonts w:ascii="Times New Roman" w:hAnsi="Times New Roman"/>
          <w:color w:val="000000"/>
          <w:sz w:val="20"/>
          <w:u w:val="single"/>
        </w:rPr>
        <w:t>License Agreement</w:t>
      </w:r>
      <w:r>
        <w:rPr>
          <w:rFonts w:ascii="Times New Roman" w:hAnsi="Times New Roman"/>
          <w:color w:val="000000"/>
          <w:sz w:val="20"/>
        </w:rPr>
        <w:t>,” and together with the Advisory Agreement, the “</w:t>
      </w:r>
      <w:r>
        <w:rPr>
          <w:rFonts w:ascii="Times New Roman" w:hAnsi="Times New Roman"/>
          <w:color w:val="000000"/>
          <w:sz w:val="20"/>
          <w:u w:val="single"/>
        </w:rPr>
        <w:t>Company Agreements</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(xiii)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Base Indenture;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(xiv)</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Fifth Supplemental Indenture;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(xv)</w:t>
      </w:r>
    </w:p>
    <w:p>
      <w:pPr>
        <w:pStyle w:val="TextBody"/>
        <w:bidi w:val="0"/>
        <w:spacing w:before="0" w:after="240"/>
        <w:jc w:val="both"/>
        <w:rPr>
          <w:rFonts w:ascii="Times New Roman" w:hAnsi="Times New Roman"/>
          <w:sz w:val="20"/>
        </w:rPr>
      </w:pPr>
      <w:r>
        <w:rPr>
          <w:rFonts w:ascii="Times New Roman" w:hAnsi="Times New Roman"/>
          <w:color w:val="000000"/>
          <w:sz w:val="20"/>
        </w:rPr>
        <w:t>the form of the global note representing the Notes (the “</w:t>
      </w:r>
      <w:r>
        <w:rPr>
          <w:rFonts w:ascii="Times New Roman" w:hAnsi="Times New Roman"/>
          <w:color w:val="000000"/>
          <w:sz w:val="20"/>
          <w:u w:val="single"/>
        </w:rPr>
        <w:t>Global Note</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(xvi)</w:t>
      </w:r>
    </w:p>
    <w:p>
      <w:pPr>
        <w:pStyle w:val="TextBody"/>
        <w:bidi w:val="0"/>
        <w:spacing w:before="0" w:after="240"/>
        <w:jc w:val="both"/>
        <w:rPr>
          <w:rFonts w:ascii="Times New Roman" w:hAnsi="Times New Roman"/>
          <w:sz w:val="20"/>
        </w:rPr>
      </w:pPr>
      <w:r>
        <w:rPr>
          <w:rFonts w:ascii="Times New Roman" w:hAnsi="Times New Roman"/>
          <w:color w:val="000000"/>
          <w:sz w:val="20"/>
        </w:rPr>
        <w:t>resolutions adopted by the Board of Directors of the Company (the “</w:t>
      </w:r>
      <w:r>
        <w:rPr>
          <w:rFonts w:ascii="Times New Roman" w:hAnsi="Times New Roman"/>
          <w:color w:val="000000"/>
          <w:sz w:val="20"/>
          <w:u w:val="single"/>
        </w:rPr>
        <w:t>Board</w:t>
      </w:r>
      <w:r>
        <w:rPr>
          <w:rFonts w:ascii="Times New Roman" w:hAnsi="Times New Roman"/>
          <w:color w:val="000000"/>
          <w:sz w:val="20"/>
        </w:rPr>
        <w:t>”), or a duly authorized committee thereof, relating to, among other things, (i) the preparation and filing of the Registration Statement, the Preliminary Prospectus and the Prospectus; (ii) the offering, issuance and sale of the Notes, and the terms and conditions thereof; and (iii) the authorization of the execution and delivery of the Underwriting Agreement, the Indenture and each of the Company Agreements, certified as of the date hereof by an officer of the Company;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(xvii)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resolutions adopted by the Company’s stockholders relating to the approval of the Advisory Agreement;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0"/>
        </w:rPr>
      </w:pPr>
      <w:r>
        <w:rPr>
          <w:rFonts w:ascii="Times New Roman" w:hAnsi="Times New Roman"/>
          <w:color w:val="000000"/>
          <w:sz w:val="20"/>
        </w:rPr>
        <w:t>(xviii)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resolutions adopted by the board of managers of the Adviser relating to, among other things, the authorization of the execution and delivery of the Underwriting Agreement and the Advisory Agreement, certified as of the date hereof by an officer of the Adviser;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(xix)</w:t>
      </w:r>
    </w:p>
    <w:p>
      <w:pPr>
        <w:pStyle w:val="TextBody"/>
        <w:bidi w:val="0"/>
        <w:spacing w:before="0" w:after="240"/>
        <w:jc w:val="both"/>
        <w:rPr>
          <w:rFonts w:ascii="Times New Roman" w:hAnsi="Times New Roman"/>
          <w:sz w:val="20"/>
        </w:rPr>
      </w:pPr>
      <w:r>
        <w:rPr>
          <w:rFonts w:ascii="Times New Roman" w:hAnsi="Times New Roman"/>
          <w:color w:val="000000"/>
          <w:sz w:val="20"/>
        </w:rPr>
        <w:t>a certificate of Good Standing with respect to the Company issued by the State Department of Assessments and Taxation of the State of Maryland (the “</w:t>
      </w:r>
      <w:r>
        <w:rPr>
          <w:rFonts w:ascii="Times New Roman" w:hAnsi="Times New Roman"/>
          <w:color w:val="000000"/>
          <w:sz w:val="20"/>
          <w:u w:val="single"/>
        </w:rPr>
        <w:t>SDAT</w:t>
      </w:r>
      <w:r>
        <w:rPr>
          <w:rFonts w:ascii="Times New Roman" w:hAnsi="Times New Roman"/>
          <w:color w:val="000000"/>
          <w:sz w:val="20"/>
        </w:rPr>
        <w:t>”) as of a recent date (the “</w:t>
      </w:r>
      <w:r>
        <w:rPr>
          <w:rFonts w:ascii="Times New Roman" w:hAnsi="Times New Roman"/>
          <w:color w:val="000000"/>
          <w:sz w:val="20"/>
          <w:u w:val="single"/>
        </w:rPr>
        <w:t>Maryland Certificate of Good Standing</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(xx)</w:t>
      </w:r>
    </w:p>
    <w:p>
      <w:pPr>
        <w:pStyle w:val="TextBody"/>
        <w:bidi w:val="0"/>
        <w:spacing w:before="0" w:after="240"/>
        <w:jc w:val="both"/>
        <w:rPr>
          <w:rFonts w:ascii="Times New Roman" w:hAnsi="Times New Roman"/>
          <w:sz w:val="20"/>
        </w:rPr>
      </w:pPr>
      <w:r>
        <w:rPr>
          <w:rFonts w:ascii="Times New Roman" w:hAnsi="Times New Roman"/>
          <w:color w:val="000000"/>
          <w:sz w:val="20"/>
        </w:rPr>
        <w:t>a certificate of Good Standing with respect to the Adviser issued by the Delaware Secretary of State as of a recent date (the “</w:t>
      </w:r>
      <w:r>
        <w:rPr>
          <w:rFonts w:ascii="Times New Roman" w:hAnsi="Times New Roman"/>
          <w:color w:val="000000"/>
          <w:sz w:val="20"/>
          <w:u w:val="single"/>
        </w:rPr>
        <w:t>Delaware Certificate of Good Standing</w:t>
      </w:r>
      <w:r>
        <w:rPr>
          <w:rFonts w:ascii="Times New Roman" w:hAnsi="Times New Roman"/>
          <w:color w:val="000000"/>
          <w:sz w:val="20"/>
        </w:rPr>
        <w:t xml:space="preserve">”); and </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(xxi)</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Opinion Instruments (as defined below).</w:t>
      </w:r>
    </w:p>
    <w:p>
      <w:pPr>
        <w:pStyle w:val="TextBody"/>
        <w:bidi w:val="0"/>
        <w:jc w:val="both"/>
        <w:rPr>
          <w:rFonts w:ascii="Times New Roman" w:hAnsi="Times New Roman"/>
          <w:sz w:val="20"/>
        </w:rPr>
      </w:pPr>
      <w:r>
        <w:rPr>
          <w:rFonts w:ascii="Times New Roman" w:hAnsi="Times New Roman"/>
          <w:color w:val="000000"/>
          <w:sz w:val="20"/>
        </w:rPr>
        <w:t>We have assumed that the documents filed with the Commission via the Electronic Data Gathering, Analysis and Retrieval system (“</w:t>
      </w:r>
      <w:r>
        <w:rPr>
          <w:rFonts w:ascii="Times New Roman" w:hAnsi="Times New Roman"/>
          <w:color w:val="000000"/>
          <w:sz w:val="20"/>
          <w:u w:val="single"/>
        </w:rPr>
        <w:t>EDGAR</w:t>
      </w:r>
      <w:r>
        <w:rPr>
          <w:rFonts w:ascii="Times New Roman" w:hAnsi="Times New Roman"/>
          <w:color w:val="000000"/>
          <w:sz w:val="20"/>
        </w:rPr>
        <w:t xml:space="preserve">”), except for required EDGAR formatting changes, conform to the physical copies of the documents delivered to the Underwriters and submitted for our examination. </w:t>
      </w:r>
    </w:p>
    <w:p>
      <w:pPr>
        <w:pStyle w:val="TextBody"/>
        <w:bidi w:val="0"/>
        <w:jc w:val="both"/>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As to the facts upon which this opinion letter is based, we have relied upon certificates of public officials and certificates, written statements and oral representations of officers, directors, managers, employees and representatives of, and accountants for, the Runway Entities, and on the representations, warranties and covenants made by the parties in the Transaction Documents, and the due performance by the parties of their respective obligations set forth in the </w:t>
      </w:r>
    </w:p>
    <w:p>
      <w:pPr>
        <w:pStyle w:val="TextBody"/>
        <w:bidi w:val="0"/>
        <w:jc w:val="center"/>
        <w:rPr>
          <w:rFonts w:ascii="Times New Roman" w:hAnsi="Times New Roman"/>
          <w:color w:val="000000"/>
          <w:sz w:val="24"/>
        </w:rPr>
      </w:pPr>
      <w:r>
        <w:rPr>
          <w:rFonts w:ascii="Times New Roman" w:hAnsi="Times New Roman"/>
          <w:color w:val="000000"/>
          <w:sz w:val="24"/>
        </w:rPr>
        <w:t>32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Transaction Documents, and we have assumed in this regard the truthfulness of such representations. We have not independently established the facts, or in the case of certificates of public officials, the other statements, so relied upon. With regard to our opinions in paragraphs 1 and 6 below as to the valid existence and good standing of the Runway Entities, our opinion is based solely upon the Maryland Certificate of Good Standing and the Delaware Certificate of Good Standing, respectively.</w:t>
      </w:r>
    </w:p>
    <w:p>
      <w:pPr>
        <w:pStyle w:val="TextBody"/>
        <w:bidi w:val="0"/>
        <w:jc w:val="both"/>
        <w:rPr>
          <w:rFonts w:ascii="Times New Roman" w:hAnsi="Times New Roman"/>
          <w:color w:val="000000"/>
          <w:sz w:val="20"/>
        </w:rPr>
      </w:pPr>
      <w:r>
        <w:rPr>
          <w:rFonts w:ascii="Times New Roman" w:hAnsi="Times New Roman"/>
          <w:color w:val="000000"/>
          <w:sz w:val="20"/>
        </w:rPr>
        <w:t xml:space="preserve">In our examination, we have assumed the genuineness of all signatures, the authenticity of all documents submitted to us as original documents and the conformity to original documents of all documents submitted to us as copies. In addition, we have assumed that (i) all natural persons who are signatories to the Transaction Documents have the legal capacity and competence to enter into and perform their respective obligations under the Transaction Documents; (ii) each of the parties to the Transaction Documents (other than the Runway Entities) is duly organized, validly existing and in good standing under the laws of the jurisdiction of its organization; (iii) each of the parties to the Transaction Documents (other than the Runway Entities) has the requisite power and authority and has taken the legal action necessary to enter into and perform all of its respective obligations thereunder and to consummate the transactions contemplated thereby; (iv) the Transaction Documents have been duly authorized, executed and delivered by each of the parties thereto (other than the Runway Entities); and (v) the Transaction Documents constitute the legal, valid and binding obligation of each party thereto (other than the Runway Entities), enforceable against such other party in accordance with their terms. We have further assumed that (i) there has been no mutual mistake of fact or misunderstanding or fraud, duress or undue influence in connection with the negotiation, delivery and execution of the Transaction Documents, (ii) there has been no oral modification of, or amendment or supplement (including any express or implied waiver, however arising) to, any of the agreements, documents or instruments used by us to form the basis of the opinions expressed below, and (iii) there are and have been no agreements or understandings among the parties, written or oral, and there is and has been no usage of trade or course of prior dealing among the parties that would, in either case, vary, supplement, or qualify the terms of the Transaction Documents. </w:t>
      </w:r>
    </w:p>
    <w:p>
      <w:pPr>
        <w:pStyle w:val="TextBody"/>
        <w:bidi w:val="0"/>
        <w:jc w:val="both"/>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On the basis of the foregoing and such examination of law as we have deemed necessary, and subject to the assumptions and qualifications set forth in this letter, we are of the opinion that: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jc w:val="both"/>
        <w:rPr>
          <w:rFonts w:ascii="Times New Roman" w:hAnsi="Times New Roman"/>
          <w:color w:val="000000"/>
          <w:sz w:val="20"/>
        </w:rPr>
      </w:pPr>
      <w:r>
        <w:rPr>
          <w:rFonts w:ascii="Times New Roman" w:hAnsi="Times New Roman"/>
          <w:color w:val="000000"/>
          <w:sz w:val="20"/>
        </w:rPr>
        <w:t>Based solely on the Maryland Certificate of Good Standing, the Company is a corporation duly existing under and by virtue of the MGCL and is in good standing with the SDAT.</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jc w:val="both"/>
        <w:rPr>
          <w:rFonts w:ascii="Times New Roman" w:hAnsi="Times New Roman"/>
          <w:color w:val="000000"/>
          <w:sz w:val="20"/>
        </w:rPr>
      </w:pPr>
      <w:r>
        <w:rPr>
          <w:rFonts w:ascii="Times New Roman" w:hAnsi="Times New Roman"/>
          <w:color w:val="000000"/>
          <w:sz w:val="20"/>
        </w:rPr>
        <w:t>The Company has the corporate power and authority to own its property and to conduct its business as described in the Registration Statement, the Preliminary Prospectus and the Prospectus, and to execute and deliver, and perform its obligations under, the Underwriting Agreement, the Indenture, and the Global Note.</w:t>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w:t>
      </w:r>
    </w:p>
    <w:p>
      <w:pPr>
        <w:pStyle w:val="TextBody"/>
        <w:bidi w:val="0"/>
        <w:jc w:val="both"/>
        <w:rPr>
          <w:rFonts w:ascii="Times New Roman" w:hAnsi="Times New Roman"/>
          <w:sz w:val="20"/>
        </w:rPr>
      </w:pPr>
      <w:r>
        <w:rPr>
          <w:rFonts w:ascii="Times New Roman" w:hAnsi="Times New Roman"/>
          <w:color w:val="000000"/>
          <w:sz w:val="20"/>
        </w:rPr>
        <w:t>The issuance and sale of the Notes is not subject to any preemptive right, right of first refusal, or other similar right to subscribe for or purchase securities of the Company arising (i) by operation of the Charter or the Bylaws, (ii) under the MGCL, (iii) under the Indenture, or (iv) under any document or agreement set forth in Annex A attached hereto to which the Company is a Party (each, an “</w:t>
      </w:r>
      <w:r>
        <w:rPr>
          <w:rFonts w:ascii="Times New Roman" w:hAnsi="Times New Roman"/>
          <w:color w:val="000000"/>
          <w:sz w:val="20"/>
          <w:u w:val="single"/>
        </w:rPr>
        <w:t>Opinion Instrument</w:t>
      </w:r>
      <w:r>
        <w:rPr>
          <w:rFonts w:ascii="Times New Roman" w:hAnsi="Times New Roman"/>
          <w:color w:val="000000"/>
          <w:sz w:val="20"/>
        </w:rPr>
        <w:t>”).</w:t>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4.</w:t>
      </w:r>
    </w:p>
    <w:p>
      <w:pPr>
        <w:pStyle w:val="TextBody"/>
        <w:bidi w:val="0"/>
        <w:jc w:val="both"/>
        <w:rPr>
          <w:rFonts w:ascii="Times New Roman" w:hAnsi="Times New Roman"/>
          <w:color w:val="000000"/>
          <w:sz w:val="20"/>
        </w:rPr>
      </w:pPr>
      <w:r>
        <w:rPr>
          <w:rFonts w:ascii="Times New Roman" w:hAnsi="Times New Roman"/>
          <w:color w:val="000000"/>
          <w:sz w:val="20"/>
        </w:rPr>
        <w:t>The statements in each of the Preliminary Prospectus and the Prospectus under the captions “Material United States Federal Income Tax Consequences” and “Certain U.S. Federal Income Tax Considerations,” to the extent that such statements constitute statements of, or conclusions on, U.S. federal tax law, are correct in all material respects;</w:t>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5.</w:t>
      </w:r>
    </w:p>
    <w:p>
      <w:pPr>
        <w:pStyle w:val="TextBody"/>
        <w:bidi w:val="0"/>
        <w:jc w:val="both"/>
        <w:rPr>
          <w:rFonts w:ascii="Times New Roman" w:hAnsi="Times New Roman"/>
          <w:color w:val="000000"/>
          <w:sz w:val="20"/>
        </w:rPr>
      </w:pPr>
      <w:r>
        <w:rPr>
          <w:rFonts w:ascii="Times New Roman" w:hAnsi="Times New Roman"/>
          <w:color w:val="000000"/>
          <w:sz w:val="20"/>
        </w:rPr>
        <w:t>The statements in the Prospectus Supplement under the caption “Description of the Notes” and in the Base Prospectus under the caption “Description of our Debt Securities,” in each case, insofar as such statements constitute summaries of the legal matters, provisions of the agreements, statutes and regulations referred to therein, fairly present in all material respects the information summarized therein;</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6.</w:t>
      </w:r>
    </w:p>
    <w:p>
      <w:pPr>
        <w:pStyle w:val="TextBody"/>
        <w:bidi w:val="0"/>
        <w:jc w:val="both"/>
        <w:rPr>
          <w:rFonts w:ascii="Times New Roman" w:hAnsi="Times New Roman"/>
          <w:sz w:val="20"/>
        </w:rPr>
      </w:pPr>
      <w:r>
        <w:rPr>
          <w:rFonts w:ascii="Times New Roman" w:hAnsi="Times New Roman"/>
          <w:color w:val="000000"/>
          <w:sz w:val="20"/>
        </w:rPr>
        <w:t>Based solely on the Delaware Certificate of Good Standing, the Adviser is a limited liability company validly existing in good standing under the Delaware Limited Liability Company Act (the “</w:t>
      </w:r>
      <w:r>
        <w:rPr>
          <w:rFonts w:ascii="Times New Roman" w:hAnsi="Times New Roman"/>
          <w:color w:val="000000"/>
          <w:sz w:val="20"/>
          <w:u w:val="single"/>
        </w:rPr>
        <w:t>DLLCA</w:t>
      </w:r>
      <w:r>
        <w:rPr>
          <w:rFonts w:ascii="Times New Roman" w:hAnsi="Times New Roman"/>
          <w:color w:val="000000"/>
          <w:sz w:val="20"/>
        </w:rPr>
        <w:t>”).</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7.</w:t>
      </w:r>
    </w:p>
    <w:p>
      <w:pPr>
        <w:pStyle w:val="TextBody"/>
        <w:bidi w:val="0"/>
        <w:jc w:val="both"/>
        <w:rPr>
          <w:rFonts w:ascii="Times New Roman" w:hAnsi="Times New Roman"/>
          <w:color w:val="000000"/>
          <w:sz w:val="20"/>
        </w:rPr>
      </w:pPr>
      <w:r>
        <w:rPr>
          <w:rFonts w:ascii="Times New Roman" w:hAnsi="Times New Roman"/>
          <w:color w:val="000000"/>
          <w:sz w:val="20"/>
        </w:rPr>
        <w:t>The Adviser has the limited liability company power and authority to own its property and to conduct its business as described in the Registration Statement, the Preliminary Prospectus and the Prospectus.</w:t>
      </w:r>
    </w:p>
    <w:p>
      <w:pPr>
        <w:pStyle w:val="TextBody"/>
        <w:bidi w:val="0"/>
        <w:jc w:val="center"/>
        <w:rPr>
          <w:rFonts w:ascii="Times New Roman" w:hAnsi="Times New Roman"/>
          <w:color w:val="000000"/>
          <w:sz w:val="24"/>
        </w:rPr>
      </w:pPr>
      <w:r>
        <w:rPr>
          <w:rFonts w:ascii="Times New Roman" w:hAnsi="Times New Roman"/>
          <w:color w:val="000000"/>
          <w:sz w:val="24"/>
        </w:rPr>
        <w:t>33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8.</w:t>
      </w:r>
    </w:p>
    <w:p>
      <w:pPr>
        <w:pStyle w:val="TextBody"/>
        <w:bidi w:val="0"/>
        <w:jc w:val="both"/>
        <w:rPr>
          <w:rFonts w:ascii="Times New Roman" w:hAnsi="Times New Roman"/>
          <w:sz w:val="20"/>
        </w:rPr>
      </w:pPr>
      <w:r>
        <w:rPr>
          <w:rFonts w:ascii="Times New Roman" w:hAnsi="Times New Roman"/>
          <w:color w:val="000000"/>
          <w:sz w:val="20"/>
        </w:rPr>
        <w:t>The Underwriting Agreement has been duly authorized, executed and delivered by the Runway Entities, and each of the Indenture and the Global Note has been duly authorized, executed and delivered by the Company, and each such document complies in all material respects with the applicable provisions of the Investment Company Act of 1940, as amended (the “</w:t>
      </w:r>
      <w:r>
        <w:rPr>
          <w:rFonts w:ascii="Times New Roman" w:hAnsi="Times New Roman"/>
          <w:color w:val="000000"/>
          <w:sz w:val="20"/>
          <w:u w:val="single"/>
        </w:rPr>
        <w:t>Investment Company Act</w:t>
      </w:r>
      <w:r>
        <w:rPr>
          <w:rFonts w:ascii="Times New Roman" w:hAnsi="Times New Roman"/>
          <w:color w:val="000000"/>
          <w:sz w:val="20"/>
        </w:rPr>
        <w:t>”).</w:t>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9.</w:t>
      </w:r>
    </w:p>
    <w:p>
      <w:pPr>
        <w:pStyle w:val="TextBody"/>
        <w:bidi w:val="0"/>
        <w:jc w:val="both"/>
        <w:rPr>
          <w:rFonts w:ascii="Times New Roman" w:hAnsi="Times New Roman"/>
          <w:color w:val="000000"/>
          <w:sz w:val="20"/>
        </w:rPr>
      </w:pPr>
      <w:r>
        <w:rPr>
          <w:rFonts w:ascii="Times New Roman" w:hAnsi="Times New Roman"/>
          <w:color w:val="000000"/>
          <w:sz w:val="20"/>
        </w:rPr>
        <w:t>The Advisory Agreement has been duly approved by the Board and the stockholders of the Company in accordance with the procedural requirements of Section 15 of the Investment Company Act.</w:t>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10.</w:t>
      </w:r>
    </w:p>
    <w:p>
      <w:pPr>
        <w:pStyle w:val="TextBody"/>
        <w:bidi w:val="0"/>
        <w:jc w:val="both"/>
        <w:rPr>
          <w:rFonts w:ascii="Times New Roman" w:hAnsi="Times New Roman"/>
          <w:color w:val="000000"/>
          <w:sz w:val="20"/>
        </w:rPr>
      </w:pPr>
      <w:r>
        <w:rPr>
          <w:rFonts w:ascii="Times New Roman" w:hAnsi="Times New Roman"/>
          <w:color w:val="000000"/>
          <w:sz w:val="20"/>
        </w:rPr>
        <w:t xml:space="preserve">The Advisory Agreement complies, in all material respects, with the applicable provisions set forth in Section 205(a)(2) of the Advisers Act and Section 15(a) of the Investment Company Act.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11.</w:t>
      </w:r>
    </w:p>
    <w:p>
      <w:pPr>
        <w:pStyle w:val="TextBody"/>
        <w:bidi w:val="0"/>
        <w:jc w:val="both"/>
        <w:rPr>
          <w:rFonts w:ascii="Times New Roman" w:hAnsi="Times New Roman"/>
          <w:color w:val="000000"/>
          <w:sz w:val="20"/>
        </w:rPr>
      </w:pPr>
      <w:r>
        <w:rPr>
          <w:rFonts w:ascii="Times New Roman" w:hAnsi="Times New Roman"/>
          <w:color w:val="000000"/>
          <w:sz w:val="20"/>
        </w:rPr>
        <w:t xml:space="preserve">The sale and issuance of the Notes has been authorized by the Company and the Notes have been duly authorized, executed and delivered by the Company, and when duly executed, authenticated and delivered by the Trustee in accordance with the terms of the Indenture and paid for by the Underwriters in accordance with the terms of the Underwriting Agreement, the Notes will be valid and binding obligations of the Company, enforceable against the Company in accordance with their terms and the terms of the Indenture and entitled to the benefits of the Indenture. </w:t>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12.</w:t>
      </w:r>
    </w:p>
    <w:p>
      <w:pPr>
        <w:pStyle w:val="TextBody"/>
        <w:bidi w:val="0"/>
        <w:jc w:val="both"/>
        <w:rPr>
          <w:rFonts w:ascii="Times New Roman" w:hAnsi="Times New Roman"/>
          <w:sz w:val="20"/>
        </w:rPr>
      </w:pPr>
      <w:r>
        <w:rPr>
          <w:rFonts w:ascii="Times New Roman" w:hAnsi="Times New Roman"/>
          <w:color w:val="000000"/>
          <w:sz w:val="20"/>
        </w:rPr>
        <w:t>No consent, approval, authorization or order of, or filing (a “</w:t>
      </w:r>
      <w:r>
        <w:rPr>
          <w:rFonts w:ascii="Times New Roman" w:hAnsi="Times New Roman"/>
          <w:color w:val="000000"/>
          <w:sz w:val="20"/>
          <w:u w:val="single"/>
        </w:rPr>
        <w:t>Consent</w:t>
      </w:r>
      <w:r>
        <w:rPr>
          <w:rFonts w:ascii="Times New Roman" w:hAnsi="Times New Roman"/>
          <w:color w:val="000000"/>
          <w:sz w:val="20"/>
        </w:rPr>
        <w:t>”) with, any U.S. federal or New York governmental body or agency or under the MGCL is required to be obtained or made by the Company for the consummation by the Company of the issuance and sale of the Notes pursuant to the Indenture and the Underwriting Agreement, except (i) such as have been obtained or made prior to the date hereof, (ii) such as may be required under state securities or “blue sky” laws (as to which we express no opinion), or the rules and regulations of the Financial Industry Regulatory Authority, Inc. (“</w:t>
      </w:r>
      <w:r>
        <w:rPr>
          <w:rFonts w:ascii="Times New Roman" w:hAnsi="Times New Roman"/>
          <w:color w:val="000000"/>
          <w:sz w:val="20"/>
          <w:u w:val="single"/>
        </w:rPr>
        <w:t>FINRA</w:t>
      </w:r>
      <w:r>
        <w:rPr>
          <w:rFonts w:ascii="Times New Roman" w:hAnsi="Times New Roman"/>
          <w:color w:val="000000"/>
          <w:sz w:val="20"/>
        </w:rPr>
        <w:t>”) (as to which we express no opinion) and (iii) where the failure to obtain and make such Consent would not, individually or in the aggregate, materially and adversely affect the ability of the Company or the Adviser, as applicable, to perform its obligations under the Underwriting Agreement.</w:t>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13.</w:t>
      </w:r>
    </w:p>
    <w:p>
      <w:pPr>
        <w:pStyle w:val="TextBody"/>
        <w:bidi w:val="0"/>
        <w:jc w:val="both"/>
        <w:rPr>
          <w:rFonts w:ascii="Times New Roman" w:hAnsi="Times New Roman"/>
          <w:color w:val="000000"/>
          <w:sz w:val="20"/>
        </w:rPr>
      </w:pPr>
      <w:r>
        <w:rPr>
          <w:rFonts w:ascii="Times New Roman" w:hAnsi="Times New Roman"/>
          <w:color w:val="000000"/>
          <w:sz w:val="20"/>
        </w:rPr>
        <w:t>No Consent of any U.S. federal or New York governmental agency or body or any U.S. federal or New York court or under the DLLCA is required to be obtained or made by the Adviser for the performance by the Adviser of its obligations under the Underwriting Agreement, except (i) such as have been obtained or made prior to the date hereof, (ii) such as may be required under state securities or “blue sky” laws (as to which we express no opinion), or the rules and regulations of FINRA (as to which we express no opinion) and (iii) where the failure to obtain and make such Consent would not, individually or in the aggregate, materially and adversely affect the ability of the Adviser to perform its obligations under the Underwriting Agreement</w:t>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14.</w:t>
      </w:r>
    </w:p>
    <w:p>
      <w:pPr>
        <w:pStyle w:val="TextBody"/>
        <w:bidi w:val="0"/>
        <w:jc w:val="both"/>
        <w:rPr>
          <w:rFonts w:ascii="Times New Roman" w:hAnsi="Times New Roman"/>
          <w:color w:val="000000"/>
          <w:sz w:val="20"/>
        </w:rPr>
      </w:pPr>
      <w:r>
        <w:rPr>
          <w:rFonts w:ascii="Times New Roman" w:hAnsi="Times New Roman"/>
          <w:color w:val="000000"/>
          <w:sz w:val="20"/>
        </w:rPr>
        <w:t>The provisions of the Charter and the Bylaws comply in all material respects with the provisions of the Investment Company Act applicable to the Company, and the compliance by the Company with the investment objective, policies and strategies described in the Preliminary Prospectus and the Prospectus will not conflict with the provisions of the Investment Company Act applicable to the Company.</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15.</w:t>
      </w:r>
    </w:p>
    <w:p>
      <w:pPr>
        <w:pStyle w:val="TextBody"/>
        <w:bidi w:val="0"/>
        <w:jc w:val="both"/>
        <w:rPr>
          <w:rFonts w:ascii="Times New Roman" w:hAnsi="Times New Roman"/>
          <w:color w:val="000000"/>
          <w:sz w:val="20"/>
        </w:rPr>
      </w:pPr>
      <w:r>
        <w:rPr>
          <w:rFonts w:ascii="Times New Roman" w:hAnsi="Times New Roman"/>
          <w:color w:val="000000"/>
          <w:sz w:val="20"/>
        </w:rPr>
        <w:t xml:space="preserve">The execution and delivery of the Underwriting Agreement by the Company and the Adviser, the performance by the Company of its obligations under the Transaction Documents, the issuance of the Notes by the Company, and the performance by the Adviser of its obligations under the Underwriting Agreement (other than its obligations under the indemnification and contribution provisions, as to which we express no opinion) (i) will not result in a violation or breach, or constitute a default under (nor constitute any event which with notice, the lapse of time or both would result in any breach or constitute a default under), or result in the imposition of any lien, charge or encumbrance upon any property or asset of the Company or the Adviser under the Company’s Charter or Bylaws, the Adviser Certificate of Formation or Adviser Operating Agreement, as applicable, or any of the Transaction Documents; (ii) assuming that, at the time of the issuance of the Notes, after giving effect to such issuance, the Company will be in compliance with Section 18(a) of the Investment Company Act giving effect to Section 61(a)(1) and (2) of the Investment Company Act, will not result in a violation or breach of the MGCL or the DLLCA, as applicable, or any other statute, rule, or regulation, or order known to us to be </w:t>
      </w:r>
    </w:p>
    <w:p>
      <w:pPr>
        <w:pStyle w:val="TextBody"/>
        <w:bidi w:val="0"/>
        <w:jc w:val="center"/>
        <w:rPr>
          <w:rFonts w:ascii="Times New Roman" w:hAnsi="Times New Roman"/>
          <w:color w:val="000000"/>
          <w:sz w:val="24"/>
        </w:rPr>
      </w:pPr>
      <w:r>
        <w:rPr>
          <w:rFonts w:ascii="Times New Roman" w:hAnsi="Times New Roman"/>
          <w:color w:val="000000"/>
          <w:sz w:val="24"/>
        </w:rPr>
        <w:t>34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sz w:val="20"/>
        </w:rPr>
      </w:pPr>
      <w:r>
        <w:rPr>
          <w:rFonts w:ascii="Times New Roman" w:hAnsi="Times New Roman"/>
          <w:color w:val="000000"/>
          <w:sz w:val="20"/>
        </w:rPr>
        <w:t xml:space="preserve">applicable to the Company or the Adviser, of any U.S. federal or New York governmental agency or body or any court having jurisdiction over the Company and the Adviser and (iii) will not result in a violation or breach, or constitute a default under (nor constitute any event which with notice, lapse of time or both would result in any breach or constitute a default under) any document listed on </w:t>
      </w:r>
      <w:r>
        <w:rPr>
          <w:rFonts w:ascii="Times New Roman" w:hAnsi="Times New Roman"/>
          <w:color w:val="000000"/>
          <w:sz w:val="20"/>
          <w:u w:val="single"/>
        </w:rPr>
        <w:t>Annex A</w:t>
      </w:r>
      <w:r>
        <w:rPr>
          <w:rFonts w:ascii="Times New Roman" w:hAnsi="Times New Roman"/>
          <w:color w:val="000000"/>
          <w:sz w:val="20"/>
        </w:rPr>
        <w:t xml:space="preserve"> to this letter, except in the case of clauses (ii) and (iii) such as would not, individually or in the aggregate, materially and adversely affect the Company or the Adviser or the ability of the Company or the Adviser to perform their respective obligations under the Underwriting Agreement.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16.</w:t>
      </w:r>
    </w:p>
    <w:p>
      <w:pPr>
        <w:pStyle w:val="TextBody"/>
        <w:bidi w:val="0"/>
        <w:jc w:val="both"/>
        <w:rPr>
          <w:rFonts w:ascii="Times New Roman" w:hAnsi="Times New Roman"/>
          <w:color w:val="000000"/>
          <w:sz w:val="20"/>
        </w:rPr>
      </w:pPr>
      <w:r>
        <w:rPr>
          <w:rFonts w:ascii="Times New Roman" w:hAnsi="Times New Roman"/>
          <w:color w:val="000000"/>
          <w:sz w:val="20"/>
        </w:rPr>
        <w:t>The Company is not and, immediately after giving effect to the application of the net proceeds from the issuance and sale by the Company of the Notes as described in the Preliminary Prospectus and the Prospectus, will not be, required to register as an “investment company” as such term is defined in the Investment Company Act.</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17.</w:t>
      </w:r>
    </w:p>
    <w:p>
      <w:pPr>
        <w:pStyle w:val="TextBody"/>
        <w:bidi w:val="0"/>
        <w:jc w:val="both"/>
        <w:rPr>
          <w:rFonts w:ascii="Times New Roman" w:hAnsi="Times New Roman"/>
          <w:color w:val="000000"/>
          <w:sz w:val="20"/>
        </w:rPr>
      </w:pPr>
      <w:r>
        <w:rPr>
          <w:rFonts w:ascii="Times New Roman" w:hAnsi="Times New Roman"/>
          <w:color w:val="000000"/>
          <w:sz w:val="20"/>
        </w:rPr>
        <w:t xml:space="preserve">The Indenture meets the requirements for qualification under the Trust Indenture Act.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18.</w:t>
      </w:r>
    </w:p>
    <w:p>
      <w:pPr>
        <w:pStyle w:val="TextBody"/>
        <w:bidi w:val="0"/>
        <w:jc w:val="both"/>
        <w:rPr>
          <w:rFonts w:ascii="Times New Roman" w:hAnsi="Times New Roman"/>
          <w:color w:val="000000"/>
          <w:sz w:val="20"/>
        </w:rPr>
      </w:pPr>
      <w:r>
        <w:rPr>
          <w:rFonts w:ascii="Times New Roman" w:hAnsi="Times New Roman"/>
          <w:color w:val="000000"/>
          <w:sz w:val="20"/>
        </w:rPr>
        <w:t xml:space="preserve">The Indenture, assuming due authorization, execution and delivery thereof by the Trustee, constitutes a valid and binding obligation of the Company, enforceable against the Company in accordance with its terms. </w:t>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19.</w:t>
      </w:r>
    </w:p>
    <w:p>
      <w:pPr>
        <w:pStyle w:val="TextBody"/>
        <w:bidi w:val="0"/>
        <w:jc w:val="both"/>
        <w:rPr>
          <w:rFonts w:ascii="Times New Roman" w:hAnsi="Times New Roman"/>
          <w:color w:val="000000"/>
          <w:sz w:val="20"/>
        </w:rPr>
      </w:pPr>
      <w:r>
        <w:rPr>
          <w:rFonts w:ascii="Times New Roman" w:hAnsi="Times New Roman"/>
          <w:color w:val="000000"/>
          <w:sz w:val="20"/>
        </w:rPr>
        <w:t>To our knowledge there are no contracts required to be described in the Registration Statement or the Prospectus or required to be filed as exhibits to the Registration Statement that are not described or filed as required;</w:t>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20.</w:t>
      </w:r>
    </w:p>
    <w:p>
      <w:pPr>
        <w:pStyle w:val="TextBody"/>
        <w:bidi w:val="0"/>
        <w:jc w:val="both"/>
        <w:rPr>
          <w:rFonts w:ascii="Times New Roman" w:hAnsi="Times New Roman"/>
          <w:sz w:val="20"/>
        </w:rPr>
      </w:pPr>
      <w:r>
        <w:rPr>
          <w:rFonts w:ascii="Times New Roman" w:hAnsi="Times New Roman"/>
          <w:color w:val="000000"/>
          <w:sz w:val="20"/>
        </w:rPr>
        <w:t>The Adviser is duly registered with the Commission as an investment adviser under the Investment Advisers Act of 1940, as amended (the “</w:t>
      </w:r>
      <w:r>
        <w:rPr>
          <w:rFonts w:ascii="Times New Roman" w:hAnsi="Times New Roman"/>
          <w:color w:val="000000"/>
          <w:sz w:val="20"/>
          <w:u w:val="single"/>
        </w:rPr>
        <w:t>Advisers Act</w:t>
      </w:r>
      <w:r>
        <w:rPr>
          <w:rFonts w:ascii="Times New Roman" w:hAnsi="Times New Roman"/>
          <w:color w:val="000000"/>
          <w:sz w:val="20"/>
        </w:rPr>
        <w:t>”), and is not prohibited by the Advisers Act, the Investment Company Act or the applicable published rules and regulations thereunder from acting under the Advisory Agreement as investment adviser to the Company as contemplated by the Preliminary Prospectus and the Prospectus; and</w:t>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21.</w:t>
      </w:r>
    </w:p>
    <w:p>
      <w:pPr>
        <w:pStyle w:val="TextBody"/>
        <w:bidi w:val="0"/>
        <w:jc w:val="both"/>
        <w:rPr>
          <w:rFonts w:ascii="Times New Roman" w:hAnsi="Times New Roman"/>
          <w:color w:val="000000"/>
          <w:sz w:val="20"/>
        </w:rPr>
      </w:pPr>
      <w:r>
        <w:rPr>
          <w:rFonts w:ascii="Times New Roman" w:hAnsi="Times New Roman"/>
          <w:color w:val="000000"/>
          <w:sz w:val="20"/>
        </w:rPr>
        <w:t>Each of the Company Agreements to which the Company or the Adviser is a party has been duly authorized by each of the Company or the Adviser, as applicable, and duly executed and delivered by each of the Company or the Adviser, as applicable, and constitutes a valid and legally binding obligation of each of the Company or the Adviser, as applicable, enforceable against each of the Company or the Adviser, as applicable, in accordance with its terms.</w:t>
      </w:r>
    </w:p>
    <w:p>
      <w:pPr>
        <w:pStyle w:val="TextBody"/>
        <w:bidi w:val="0"/>
        <w:jc w:val="both"/>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Solely based on our review of the Commission’s list of stop orders as disclosed on the Commission’s website on October 1, 2026 at 9:00 a.m. Eastern Time, no stop order suspending the effectiveness of the Registration Statement has been issued by the Commission as of that time. To our knowledge, no proceedings for that purpose have been instituted or have been threatened by the Commission. To our knowledge, no order of suspension or revocation of the Company’s election to be treated by the Commission under the Investment Company Act as a “business development company” has been issued or proceedings therefor initiated by the Commission.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To our knowledge, (i) there are no pending or threatened legal or governmental actions or proceedings to which the Company or the Adviser is a party that are required to be described in the Registration Statement, the Preliminary Prospectus or the Prospectus that are not so described as required, or which seek to restrain, enjoin, prevent the consummation of or otherwise challenge the issuance or sale of the Notes to be sold under the Underwriting Agreement and (ii) there are no contracts required to be described in the Registration Statement or the Prospectus or required to be filed as exhibits to the Registration Statement that are not described or filed as required.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opinions set forth in this letter relate only to the federal laws of the United States of America, the laws of the State of New York, and, to the extent relevant, the MGCL and the DLLCA. We are not members of the bar of the State of Maryland or the State of Delaware and we do not purport to be experts in the laws of the State of Maryland or the State of Delaware, nor did we review official codifications of the laws of the State of Maryland or the State of Delaware. Our review was limited to standard compilations of the MGCL and the DLLCA, and our opinions are based solely on such review and those procedures and not on any other review of the laws of the State of Maryland or the State of Delaware. We express no opinion concerning the laws of any other jurisdiction, and we express no opinion </w:t>
      </w:r>
    </w:p>
    <w:p>
      <w:pPr>
        <w:pStyle w:val="TextBody"/>
        <w:bidi w:val="0"/>
        <w:jc w:val="center"/>
        <w:rPr>
          <w:rFonts w:ascii="Times New Roman" w:hAnsi="Times New Roman"/>
          <w:color w:val="000000"/>
          <w:sz w:val="24"/>
        </w:rPr>
      </w:pPr>
      <w:r>
        <w:rPr>
          <w:rFonts w:ascii="Times New Roman" w:hAnsi="Times New Roman"/>
          <w:color w:val="000000"/>
          <w:sz w:val="24"/>
        </w:rPr>
        <w:t>35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concerning any state securities or “blue sky” laws, rules or regulations or any federal, state, local or foreign laws, rules or regulations relating to (i) antitrust or unfair competition, (ii) environmental matters, (iii) the Employee Retirement Income Security Act of 1974, as amended, and similar state laws, (iv) counties, cities, townships, municipalities, other special local non-state governmental authorities or political subdivisions, (v) anti-terrorism, (vi) insurance, banking or financial institutions, (vii) FINRA, or (viii) tax matters (except to the extent set forth in paragraph 4 above). Our opinions set forth herein are based on our consideration of only those statutes, rules, regulations and judicial decisions that, in our experience, are normally applicable to, or normally relevant in connection with, the transactions of the type contemplated by the Underwriting Agreement, but without having made any special investigation as to the applicability of any specific law, rule or regulation. Further, we do not express any opinion as to any statute, rule, regulation or judicial decision that may be applicable to the Company or to the transactions contemplated by the Underwriting Agreement solely because such statute, rule, regulation, or judicial decision is part of a regulatory regime applicable to any party to the Underwriting Agreement or any of its affiliates (other than the Runway Entities) due to the specific assets or business of such party or such affiliate.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opinions expressed herein are limited by principles of equity (regardless of whether considered in a proceeding in equity or at law) that may limit the availability of certain rights and remedies and do not reflect the effect of bankruptcy (including preferences), insolvency, fraudulent conveyance, receivership, reorganization, moratorium and other laws or decisions relating to or affecting debtors’ obligations or creditors’ rights generally and, as to rights of indemnification and contribution, by principles of public policy and statutes of limitation. The opinions expressed herein also do not reflect the effect of laws and equitable doctrines (including requirements that the parties to agreements act reasonably and in good faith and in a commercially reasonable manner, and give reasonable notice prior to exercising rights and remedies) or the effect of the exercise of discretion of the court before which any proceeding may be brought, which may limit the availability of any particular remedy, and we express no opinion as to the rights of any of the parties to the Transaction Documents to accelerate the due dates of any payment due thereunder or to exercise other remedies available to them on the happening of a non-material breach of any such document or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Without limiting the generality of the foregoing, we express no opinion with respect to: (1) the enforceability of provisions contained in the Transaction Documents relating to the effect of laws which may be enacted in the future; (2) the enforceability of provisions in the Transaction Documents purporting to waive the effect of applicable laws to the extent such waivers are prohibited by such applicable laws; (3) the effectiveness of any power-of-attorney given under the Transaction Documents that is intended to bind successors and assigns that have not granted such powers by a power-of-attorney specifically executed by them; (4) provisions in the Transaction Documents related to waivers of remedies (or the delay or omission of enforcement thereof), disclaimers, liability limitations or limitations on the obligations of the Trustee in circumstances in which a failure of condition or default by any party is not material; (5) any self-help provisions in the Transaction Documents; (6) provisions in the Transaction Documents that purport to establish evidentiary standards; (7) provisions in the Transaction Documents that provide that certain rights or obligations are absolute or unconditional (other than guarantees); (8) the right of the Trustee to set off against funds held in any account maintained with the Trustee by the Company and which account is designated, or contains funds that such Trustee is aware have been set aside, for special purposes, such as payroll, trust and escrow accounts, or which funds are subject to special agreement between the Trustee and the Company precluding or limiting rights to set off funds; (9) provisions in the Transaction Documents that provide for the enforceability of the remaining terms and provisions of the applicable Transaction Document in circumstances in which certain other terms and provisions of such Transaction Document are illegal or unenforceable; (10) provisions in the Transaction Documents that restrict access to or waive legal or equitable remedies or access to courts; (11) provisions in the Transaction Documents that affect or confer jurisdiction (other than on the courts of New York); (12) provisions in the Transaction Documents that permit the Trustee to act in its sole discretion or to be exculpated from liability for its actions to the extent not permitted by law; (13) any provision of the Transaction Documents that may be construed as a forfeiture or penalty; (14) any provision of the Transaction Documents that purports to provide that the terms thereof may not be varied or waived except in writing or that the express terms thereof supersede any inconsistent course of performance and/or usage of the trade; (15) the effect of the laws of any jurisdiction (other than New York) in which a holder of the Notes is located that limits the interest, fees or other charges it may impose for the Notes or use of money or other credit; (16) any provisions of the Transaction Documents to the effect that certain determinations made by one party shall have conclusive or binding effect; (17) choice of law provisions or conflict of laws (or the rules or regulations or public policy underlying the same), other than the selection of New York law under choice of law rules in New York; (18) the availability of specific performance or other equitable remedies for noncompliance with any of the provisions </w:t>
      </w:r>
    </w:p>
    <w:p>
      <w:pPr>
        <w:pStyle w:val="TextBody"/>
        <w:bidi w:val="0"/>
        <w:jc w:val="center"/>
        <w:rPr>
          <w:rFonts w:ascii="Times New Roman" w:hAnsi="Times New Roman"/>
          <w:color w:val="000000"/>
          <w:sz w:val="24"/>
        </w:rPr>
      </w:pPr>
      <w:r>
        <w:rPr>
          <w:rFonts w:ascii="Times New Roman" w:hAnsi="Times New Roman"/>
          <w:color w:val="000000"/>
          <w:sz w:val="24"/>
        </w:rPr>
        <w:t>36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contained in the Transaction Documents; (19) the indemnification and contribution provisions of the Transaction Documents if and to the extent that such provisions contravene public policy or might require indemnification or payments with respect to any litigation against a party to a Transaction Document determined adversely to the other party(ies) to such litigation, or any loss, cost or expense arising out of an indemnified party’s bad faith, gross negligence or willful misconduct or any violation by an indemnified party of statutory duties, general principles of equity or public policy; (20) the enforceability of any so-called “savings clauses” or other similar provisions of the Transaction Documents; or (21) any provisions providing for waivers of a jury trial or rights to attorneys’ fees.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giving our opinion set forth in paragraph 12 and 13, we express no opinion with respect to any Consent that may be required as a result of the regulatory status or other facts or circumstances specifically relating to the Trustee or the Underwriters.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express no opinion as to whether the execution, delivery or performance by the Company of any of the Transaction Documents will constitute a violation of, or a default under, any covenant, restriction or provision with respect to financial ratios or tests of the Company or any of its subsidiaries.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opinion as to the enforceability of the choice of New York law as the governing law is subject to the qualification that a court may decline to enforce the choice of law provisions in the Transaction Documents on the grounds of comity or because United States constitutional requirements are not satisfied.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opinion is based upon the law as in effect and the documentation and facts known to us on the date hereof. We have not undertaken to advise you of any subsequent changes in the law or of any facts that hereafter may come to our attention. Whenever our opinion with respect to the existence or absence of facts is indicated to be based on our knowledge or awareness or correlative terms, we are referring to the actual knowledge of the individual Dechert LLP attorneys who have participated directly and substantially in the specific transactions to which this opinion relates and, to the extent there are other attorneys who have devoted significant attention to matters for the Runway Entities, such other Dechert LLP attorneys that we, in our sole discretion, have determined are appropriate to have consulted. Except as expressly set forth herein, we have not undertaken any independent investigation to determine the existence or absence of such facts or matters and no inference as to our knowledge should be drawn from the fact that such representation has been undertaken by us.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Trustee is entitled to rely on our opinions set forth in numbered paragraphs 1, 8 and 11.</w:t>
      </w:r>
    </w:p>
    <w:p>
      <w:pPr>
        <w:pStyle w:val="TextBody"/>
        <w:bidi w:val="0"/>
        <w:jc w:val="both"/>
        <w:rPr>
          <w:rFonts w:ascii="Times New Roman" w:hAnsi="Times New Roman"/>
          <w:color w:val="000000"/>
          <w:sz w:val="20"/>
        </w:rPr>
      </w:pPr>
      <w:r>
        <w:rPr>
          <w:rFonts w:ascii="Times New Roman" w:hAnsi="Times New Roman"/>
          <w:color w:val="000000"/>
          <w:sz w:val="20"/>
        </w:rPr>
        <w:t>The opinions expressed herein are limited to the matters expressly stated herein and, except with respect to the Trustee as set forth in the immediately preceding paragraph, are given solely for your benefit in your capacity as Underwriters in connection with the closing under the Underwriting Agreement on the date hereof, and may not be relied upon by, or assigned to, any other person, firm or entity for any purpose (including any person, firm or entity that acquires the Notes from you), and may not be circulated, quoted, filed with or furnished to any governmental agency or other person or entity for any other purpose, or otherwise referred to (with or without specific reference to our firm), in whole or in part, without our prior written consent in each instance.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Very truly yours,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Dechert LLP</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Annex A</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Third Amended and Restated Investment Advisory Agreement, dated as of January 30, 2025, by and between the Company and the Adviser</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Amended and Restated Administration Agreement, dated as of June 28, 2021, by and between the Company and the Administrator</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Custody Agreement, dated as of December 16, 2016, by and between the Company and U.S. Bank National Association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First Amendment to Custody Agreement, dated as of August 3, 2023, between Runway Growth Finance Corp. and U.S. Bank National Association, as the custodian</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Trademark License Agreement, dated as of September 23, 2021, by and between the Company and the Adviser</w:t>
      </w:r>
    </w:p>
    <w:p>
      <w:pPr>
        <w:pStyle w:val="TextBody"/>
        <w:bidi w:val="0"/>
        <w:jc w:val="center"/>
        <w:rPr>
          <w:rFonts w:ascii="Times New Roman" w:hAnsi="Times New Roman"/>
          <w:color w:val="000000"/>
          <w:sz w:val="24"/>
        </w:rPr>
      </w:pPr>
      <w:r>
        <w:rPr>
          <w:rFonts w:ascii="Times New Roman" w:hAnsi="Times New Roman"/>
          <w:color w:val="000000"/>
          <w:sz w:val="24"/>
        </w:rPr>
        <w:t>37</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Stockholder Agreement, dated December 15, 2016, by and between the Company and OCM Growth Holdings, LLC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Amended and Restated Credit Agreement, dated as of April 20, 2022, among Runway Growth Finance Corp., as borrower; the financial institutions party thereto as lenders; KeyBank National Association, as administrative agent and lender; CIBC Bank USA, as documentation agent and lender; MUFG Union Bank, N.A. as co-documentation agent and lender; and U.S. Bank National Association, as paying agent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Second Amendment to the Amended and Restated Credit Agreement, dated as of January 4, 2023, among Runway Growth Finance Corp., as borrower; the financial institutions parties thereto as lenders; and KeyBank National Association, as administrative agent and lender; CIBC Bank USA, as documentation agent; MUFG Union Bank, Ltd (as successor-in-interest to MUFG Union Bank, N.A.), as documentation agent; and U.S. Bank Trust Company, National Association, as paying agent</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Third Amendment to the Amended and Restated Credit Agreement, dated as of March 24, 2023, among Runway Growth Finance Corp., as borrower, the financial institutions party thereto as lenders, KeyBank National Association, as administrative and lender, CIBC Bank USA, as documentation, MUFG Bank, Ltd. (as successor in interest to MUFG Bank, N.A.), as co-documentation agent, and U.S. Bank Trust Company, National Association, as paying agent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Fourth Amendment to the Amended and Restated Credit Agreement, dated as of December 4, 2023, among Runway Growth Finance Corp., as borrower, the financial institutions party thereto as lenders, KeyBank National Association, as administrative agent and lender, CIBC Bank USA, as documentation agent, MUFG Bank, Ltd. (as successor in interest to MUFG Union Bank, N.A.), as co-documentation agent, and U.S. Bank Trust Company, National Association, as paying agent</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Joinder Agreement and Facility Amount Increase, dated as of December 4, 2023, among Runway Growth Finance Corp., as borrower, the financial institutions party thereto as lenders, and KeyBank National Association, as administrative agent</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Fifth Amendment to the Amended and Restated Credit Agreement, dated as of November 22, 2024, among Runway Growth Finance Corp., as borrower, the financial institutions party thereto as lenders, KeyBank National Association, as administrative agent and lender, CIBC Bank USA, as documentation agent, MUFG Bank, Ltd. (as successor in interest to MUFG Union Bank, N.A.), as co-documentation agent, and U.S. Bank Trust Company, National Association, as paying agent</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Sixth Amendment to the Amended and Restated Credit Agreement, dated as of March 18, 2025, among Runway Growth Finance Corp., as borrower, the financial institutions party thereto as lenders, KeyBank National Association, as administrative agent and lender, CIBC Bank USA, as documentation agent, MUFG Bank, Ltd. (as successor in interest to MUFG Union Bank, N.A.), as co-documentation agent, and U.S. Bank Trust Company, National Association, as paying agent</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Transfer Agency and Registrar Services Agreement, dated as of December 28, 2018, by and between the Company and American Stock Transfer &amp; Trust Company, LLC</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Fourth Supplemental Indenture, dated as of May 29, 2026, by and between Runway Growth Finance Corp. and U.S. Bank Trust Company, National Association, as trustee, relating to the Company's 7.00% Notes due 2029</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Agreement and Plan of Merger, by and among Runway Growth Finance Corp., RWAY Portfolio Holding Corp., RWAY Portfolio Corp., Runway Growth Capital LLC and SWK Holdings Corporation, dated as of October 9, 2025</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Key Stockholder Agreement by and among Runway Growth Finance Corp., Black Diamond Offshore Ltd. and Double Black Diamond Offshore Ltd., dated as of October 9, 2025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Seventh Amendment to the Amended and Restated Credit Agreement, dated as of December 19, 2025, among Runway Growth Finance Corp., as borrower, the financial institutions party thereto as lenders, KeyBank National Association, as administrative agent and lender, CIBC Bank USA, as documentation agent, MUFG Bank, Ltd. (as successor in interest to MUFG Union Bank, N.A.), as co-documentation agent, and U.S. Bank Trust Company, National Association, as paying agent</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Note Purchase Agreement by and between the Company and the purchasers party thereto, dated April 7, 2025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Eighth Amendment to the Amended and Restated Credit Agreement, dated as of July 13, 2026, among Runway Growth Finance Corp., as borrower, the financial institutions party thereto as lenders, KeyBank National Association, as administrative agent and lender, CIBC Bank USA, as documentation agent, MUFG Bank, Ltd. (as successor in interest to MUFG Union Bank, N.A.), as co-documentation agent, and U.S. Bank Trust Company, National Association, as paying agent</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38</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aps/>
          <w:color w:val="000000"/>
          <w:sz w:val="20"/>
        </w:rPr>
      </w:pPr>
      <w:r>
        <w:rPr>
          <w:rFonts w:ascii="Times New Roman" w:hAnsi="Times New Roman"/>
          <w:b/>
          <w:caps/>
          <w:color w:val="000000"/>
          <w:sz w:val="20"/>
        </w:rPr>
        <w:t>Form of Disclosure letter of dechert llp</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Oppenheimer &amp; Co. Inc. </w:t>
      </w:r>
    </w:p>
    <w:p>
      <w:pPr>
        <w:pStyle w:val="TextBody"/>
        <w:bidi w:val="0"/>
        <w:jc w:val="left"/>
        <w:rPr>
          <w:rFonts w:ascii="Times New Roman" w:hAnsi="Times New Roman"/>
          <w:i/>
          <w:color w:val="000000"/>
          <w:sz w:val="20"/>
        </w:rPr>
      </w:pPr>
      <w:r>
        <w:rPr>
          <w:rFonts w:ascii="Times New Roman" w:hAnsi="Times New Roman"/>
          <w:i/>
          <w:color w:val="000000"/>
          <w:sz w:val="20"/>
        </w:rPr>
        <w:t>As Representative of the several Underwriters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Oppenheimer &amp; Co. Inc.</w:t>
      </w:r>
    </w:p>
    <w:p>
      <w:pPr>
        <w:pStyle w:val="TextBody"/>
        <w:bidi w:val="0"/>
        <w:jc w:val="left"/>
        <w:rPr>
          <w:rFonts w:ascii="Times New Roman" w:hAnsi="Times New Roman"/>
          <w:color w:val="000000"/>
          <w:sz w:val="20"/>
        </w:rPr>
      </w:pPr>
      <w:r>
        <w:rPr>
          <w:rFonts w:ascii="Times New Roman" w:hAnsi="Times New Roman"/>
          <w:color w:val="000000"/>
          <w:sz w:val="20"/>
        </w:rPr>
        <w:t>85 Broad Street, 23rd Floor</w:t>
      </w:r>
    </w:p>
    <w:p>
      <w:pPr>
        <w:pStyle w:val="TextBody"/>
        <w:bidi w:val="0"/>
        <w:jc w:val="left"/>
        <w:rPr>
          <w:rFonts w:ascii="Times New Roman" w:hAnsi="Times New Roman"/>
          <w:color w:val="000000"/>
          <w:sz w:val="20"/>
        </w:rPr>
      </w:pPr>
      <w:r>
        <w:rPr>
          <w:rFonts w:ascii="Times New Roman" w:hAnsi="Times New Roman"/>
          <w:color w:val="000000"/>
          <w:sz w:val="20"/>
        </w:rPr>
        <w:t>New York, New York 10004</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Ladies and Gentlemen:</w:t>
      </w:r>
    </w:p>
    <w:p>
      <w:pPr>
        <w:pStyle w:val="TextBody"/>
        <w:bidi w:val="0"/>
        <w:jc w:val="both"/>
        <w:rPr>
          <w:rFonts w:ascii="Times New Roman" w:hAnsi="Times New Roman"/>
          <w:sz w:val="20"/>
        </w:rPr>
      </w:pPr>
      <w:r>
        <w:rPr>
          <w:rFonts w:ascii="Times New Roman" w:hAnsi="Times New Roman"/>
          <w:color w:val="000000"/>
          <w:sz w:val="20"/>
        </w:rPr>
        <w:t>We have acted as counsel to Runway Growth Finance Corp., a Maryland corporation (the “</w:t>
      </w:r>
      <w:r>
        <w:rPr>
          <w:rFonts w:ascii="Times New Roman" w:hAnsi="Times New Roman"/>
          <w:color w:val="000000"/>
          <w:sz w:val="20"/>
          <w:u w:val="single"/>
        </w:rPr>
        <w:t>Company</w:t>
      </w:r>
      <w:r>
        <w:rPr>
          <w:rFonts w:ascii="Times New Roman" w:hAnsi="Times New Roman"/>
          <w:color w:val="000000"/>
          <w:sz w:val="20"/>
        </w:rPr>
        <w:t>”), and Runway Growth Capital LLC, a Delaware limited liability company (together with the Company, the “</w:t>
      </w:r>
      <w:r>
        <w:rPr>
          <w:rFonts w:ascii="Times New Roman" w:hAnsi="Times New Roman"/>
          <w:color w:val="000000"/>
          <w:sz w:val="20"/>
          <w:u w:val="single"/>
        </w:rPr>
        <w:t>Runway Entities</w:t>
      </w:r>
      <w:r>
        <w:rPr>
          <w:rFonts w:ascii="Times New Roman" w:hAnsi="Times New Roman"/>
          <w:color w:val="000000"/>
          <w:sz w:val="20"/>
        </w:rPr>
        <w:t>”), in connection with the issuance and sale by the Company of $45,000,000 aggregate principal amount of the Company’s 7.75% notes due 2031 (the “</w:t>
      </w:r>
      <w:r>
        <w:rPr>
          <w:rFonts w:ascii="Times New Roman" w:hAnsi="Times New Roman"/>
          <w:color w:val="000000"/>
          <w:sz w:val="20"/>
          <w:u w:val="single"/>
        </w:rPr>
        <w:t>Notes</w:t>
      </w:r>
      <w:r>
        <w:rPr>
          <w:rFonts w:ascii="Times New Roman" w:hAnsi="Times New Roman"/>
          <w:color w:val="000000"/>
          <w:sz w:val="20"/>
        </w:rPr>
        <w:t>”), to the several underwriters (the “</w:t>
      </w:r>
      <w:r>
        <w:rPr>
          <w:rFonts w:ascii="Times New Roman" w:hAnsi="Times New Roman"/>
          <w:color w:val="000000"/>
          <w:sz w:val="20"/>
          <w:u w:val="single"/>
        </w:rPr>
        <w:t>Underwriters</w:t>
      </w:r>
      <w:r>
        <w:rPr>
          <w:rFonts w:ascii="Times New Roman" w:hAnsi="Times New Roman"/>
          <w:color w:val="000000"/>
          <w:sz w:val="20"/>
        </w:rPr>
        <w:t>”) named in the Underwriting Agreement, dated September 24, 2026 (the “</w:t>
      </w:r>
      <w:r>
        <w:rPr>
          <w:rFonts w:ascii="Times New Roman" w:hAnsi="Times New Roman"/>
          <w:color w:val="000000"/>
          <w:sz w:val="20"/>
          <w:u w:val="single"/>
        </w:rPr>
        <w:t>Underwriting Agreement</w:t>
      </w:r>
      <w:r>
        <w:rPr>
          <w:rFonts w:ascii="Times New Roman" w:hAnsi="Times New Roman"/>
          <w:color w:val="000000"/>
          <w:sz w:val="20"/>
        </w:rPr>
        <w:t>”), by and among the Runway Entities and Oppenheimer &amp; Co. Inc., as representative of the several underwriters identified on Schedule I to the Underwriting Agreement. A registration statement on Form N-2 (Registration No. 333-284781) relating to the Notes was filed by the Company and was declared effective by the U.S. Securities and Exchange Commission (the “</w:t>
      </w:r>
      <w:r>
        <w:rPr>
          <w:rFonts w:ascii="Times New Roman" w:hAnsi="Times New Roman"/>
          <w:color w:val="000000"/>
          <w:sz w:val="20"/>
          <w:u w:val="single"/>
        </w:rPr>
        <w:t>Commission</w:t>
      </w:r>
      <w:r>
        <w:rPr>
          <w:rFonts w:ascii="Times New Roman" w:hAnsi="Times New Roman"/>
          <w:color w:val="000000"/>
          <w:sz w:val="20"/>
        </w:rPr>
        <w:t>”) on March 19, 2025 (such Registration Statement at the time it became effective on March 19, 2025, together with any post-effective amendments thereto, all exhibits thereto and all documents incorporated by reference therein, including the Base Prospectus (as defined below) and the information deemed to be part thereof or incorporated by reference therein at the time it most recently became effective pursuant to Rule 430B of the Commission under the Securities Act (as defined below), being hereinafter referred to collectively as the “</w:t>
      </w:r>
      <w:r>
        <w:rPr>
          <w:rFonts w:ascii="Times New Roman" w:hAnsi="Times New Roman"/>
          <w:color w:val="000000"/>
          <w:sz w:val="20"/>
          <w:u w:val="single"/>
        </w:rPr>
        <w:t>Registration Statement</w:t>
      </w:r>
      <w:r>
        <w:rPr>
          <w:rFonts w:ascii="Times New Roman" w:hAnsi="Times New Roman"/>
          <w:color w:val="000000"/>
          <w:sz w:val="20"/>
        </w:rPr>
        <w:t>”). The base prospectus dated March 19, 2025 (the “</w:t>
      </w:r>
      <w:r>
        <w:rPr>
          <w:rFonts w:ascii="Times New Roman" w:hAnsi="Times New Roman"/>
          <w:color w:val="000000"/>
          <w:sz w:val="20"/>
          <w:u w:val="single"/>
        </w:rPr>
        <w:t>Base Prospectus</w:t>
      </w:r>
      <w:r>
        <w:rPr>
          <w:rFonts w:ascii="Times New Roman" w:hAnsi="Times New Roman"/>
          <w:color w:val="000000"/>
          <w:sz w:val="20"/>
        </w:rPr>
        <w:t>”), together with the preliminary prospectus supplement dated September 23, 2026, in the form filed with the Commission pursuant to Rule 424 under the Securities Act of 1933, as amended (the “</w:t>
      </w:r>
      <w:r>
        <w:rPr>
          <w:rFonts w:ascii="Times New Roman" w:hAnsi="Times New Roman"/>
          <w:color w:val="000000"/>
          <w:sz w:val="20"/>
          <w:u w:val="single"/>
        </w:rPr>
        <w:t>Securities Act</w:t>
      </w:r>
      <w:r>
        <w:rPr>
          <w:rFonts w:ascii="Times New Roman" w:hAnsi="Times New Roman"/>
          <w:color w:val="000000"/>
          <w:sz w:val="20"/>
        </w:rPr>
        <w:t>”), and generally distributed to investors is the preliminary prospectus (together with the documents incorporated by reference therein, the “</w:t>
      </w:r>
      <w:r>
        <w:rPr>
          <w:rFonts w:ascii="Times New Roman" w:hAnsi="Times New Roman"/>
          <w:color w:val="000000"/>
          <w:sz w:val="20"/>
          <w:u w:val="single"/>
        </w:rPr>
        <w:t>Preliminary Prospectus</w:t>
      </w:r>
      <w:r>
        <w:rPr>
          <w:rFonts w:ascii="Times New Roman" w:hAnsi="Times New Roman"/>
          <w:color w:val="000000"/>
          <w:sz w:val="20"/>
        </w:rPr>
        <w:t>”), which Preliminary Prospectus omitted certain pricing terms and related information regarding the Notes in accordance with Rule 430B under the Securities Act. The final prospectus supplement dated September 24, 2026 relating to the Notes was filed with the Commission pursuant to Rule 424 under the Securities Act on September 24, 2026 (together with the Base Prospectus and the documents incorporated by reference therein, the “</w:t>
      </w:r>
      <w:r>
        <w:rPr>
          <w:rFonts w:ascii="Times New Roman" w:hAnsi="Times New Roman"/>
          <w:color w:val="000000"/>
          <w:sz w:val="20"/>
          <w:u w:val="single"/>
        </w:rPr>
        <w:t>Prospectus</w:t>
      </w:r>
      <w:r>
        <w:rPr>
          <w:rFonts w:ascii="Times New Roman" w:hAnsi="Times New Roman"/>
          <w:color w:val="000000"/>
          <w:sz w:val="20"/>
        </w:rPr>
        <w:t xml:space="preserve">”). Except as otherwise indicated, capitalized terms used but not defined in this letter have the meanings ascribed to them in the Underwriting Agreement. This letter is delivered to you pursuant to Section 5(c)(i) of the Underwriting Agreement.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Nothing herein shall be construed to cause us to be considered “experts” within the meaning of Section 11 of the Securities Act.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the course of preparation by the Company of the Registration Statement, we participated in conferences with officers and other representatives of the Company at which the contents of the Registration Statement and related matters were discussed. In addition, in the course of the preparation by the Company of the Preliminary Prospectus and the Prospectus, we participated in conferences with officers and other representatives of the Company, representatives of the independent public accountants for the Company, representatives of the Underwriters and representatives of counsel for the Underwriters at which the contents of the Preliminary Prospectus and the Prospectus and related matters were discussed. The purpose of our professional engagement was not to establish or confirm factual matters set forth in the Registration Statement, the Preliminary Prospectus and the Prospectus, and we have not undertaken any obligation to verify independently any of those factual matters. Moreover, many of the determinations required to be made in the preparation of the Registration Statement, the Preliminary Prospectus and the Prospectus involve matters of a non-legal nature. Accordingly, we are not passing upon and assume no responsibility for the accuracy, completeness or fairness of the statements contained in the Registration Statement, the Preliminary Prospectus or the Prospectus (except to the extent expressly set forth in the numbered paragraphs 7 and 11 of our opinion letter to you of even date herewith).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Subject to the limitations set forth in the immediately preceding paragraph, we advise you that, on the basis of the information we gained in the course of performing the services referred to above, each of the Registration Statement, the Preliminary Prospectus and the Prospectus (it being understood in each case that we express no belief with respect </w:t>
      </w:r>
    </w:p>
    <w:p>
      <w:pPr>
        <w:pStyle w:val="TextBody"/>
        <w:bidi w:val="0"/>
        <w:jc w:val="center"/>
        <w:rPr>
          <w:rFonts w:ascii="Times New Roman" w:hAnsi="Times New Roman"/>
          <w:color w:val="000000"/>
          <w:sz w:val="24"/>
        </w:rPr>
      </w:pPr>
      <w:r>
        <w:rPr>
          <w:rFonts w:ascii="Times New Roman" w:hAnsi="Times New Roman"/>
          <w:color w:val="000000"/>
          <w:sz w:val="24"/>
        </w:rPr>
        <w:t>39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color w:val="000000"/>
          <w:sz w:val="20"/>
        </w:rPr>
      </w:pPr>
      <w:r>
        <w:rPr>
          <w:rFonts w:ascii="Times New Roman" w:hAnsi="Times New Roman"/>
          <w:color w:val="000000"/>
          <w:sz w:val="20"/>
        </w:rPr>
        <w:t>to the financial statements, schedules or other financial information or data, or statistical data derived therefrom, or any interactive data files included in or omitted from any of the foregoing) appears on its face to have been appropriately responsive in all material respects to the disclosure requirements of the Securities Act, the Investment Company Act of 1940, as amended, and the applicable rules and regulations of the Commission thereunder.</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Subject to the limitations set forth in the second preceding paragraph, we confirm to you that, on the basis of the information we gained in the course of performing the services referred to above, no facts have come to our attention that have caused us to believe that (i) the Registration Statement, as of its most recent effective date, contained an untrue statement of a material fact or omitted to state a material fact required to be stated therein or necessary in order to make the statements therein not misleading; (ii) the Preliminary Prospectus, as of 4:00 p.m. New York City time on September 23, 2026 (which you have advised us is the time immediately prior to the first sale of the Notes to any Underwriter), contained an untrue statement of a material fact or omitted to state a material fact necessary in order to make the statements therein, in light of the circumstances under which they were made, not misleading; and (iii) the Prospectus, as of its date or as of the date hereof, contained or contains an untrue statement of a material fact or omitted or omits to state a material fact necessary in order to make the statements therein, in light of the circumstances under which they were made, not misleading (it being understood in each case that we express no belief with respect to the financial statements, schedules or other financial information or data, or statistical data derived therefrom, or any interactive data files included in or omitted from any of the foregoing).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assume no obligation to advise you of any changes in the foregoing after the delivery of this letter. This letter has been prepared solely for your use in your capacity as Underwriters in connection with the closing under the Underwriting Agreement on the date hereof and may not be relied upon by any other person, firm or entity for any purpose (including any person, firm or other entity that acquires the Notes from you). This letter may not be circulated, quoted, filed with or furnished to any governmental agency or other person or entity, or otherwise referred to with or without specific reference to our firm, in whole or in part, without our prior written consent in each instance.</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Very truly yours,</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40</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aps/>
          <w:color w:val="000000"/>
          <w:sz w:val="20"/>
        </w:rPr>
      </w:pPr>
      <w:r>
        <w:rPr>
          <w:rFonts w:ascii="Times New Roman" w:hAnsi="Times New Roman"/>
          <w:b/>
          <w:caps/>
          <w:color w:val="000000"/>
          <w:sz w:val="20"/>
        </w:rPr>
        <w:t>Exhibit B</w:t>
      </w:r>
    </w:p>
    <w:p>
      <w:pPr>
        <w:pStyle w:val="TextBody"/>
        <w:bidi w:val="0"/>
        <w:jc w:val="center"/>
        <w:rPr/>
      </w:pPr>
      <w:r>
        <w:rPr/>
        <w:t> </w:t>
      </w:r>
    </w:p>
    <w:p>
      <w:pPr>
        <w:pStyle w:val="TextBody"/>
        <w:bidi w:val="0"/>
        <w:jc w:val="center"/>
        <w:rPr>
          <w:rFonts w:ascii="Times New Roman" w:hAnsi="Times New Roman"/>
          <w:b/>
          <w:caps/>
          <w:color w:val="000000"/>
          <w:sz w:val="20"/>
        </w:rPr>
      </w:pPr>
      <w:r>
        <w:rPr>
          <w:rFonts w:ascii="Times New Roman" w:hAnsi="Times New Roman"/>
          <w:b/>
          <w:caps/>
          <w:color w:val="000000"/>
          <w:sz w:val="20"/>
        </w:rPr>
        <w:t>Form of Officers’ Certificate</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This Officers’ Certificate (this “</w:t>
      </w:r>
      <w:r>
        <w:rPr>
          <w:rFonts w:ascii="Times New Roman" w:hAnsi="Times New Roman"/>
          <w:color w:val="000000"/>
          <w:sz w:val="20"/>
          <w:u w:val="single"/>
        </w:rPr>
        <w:t>Certificate</w:t>
      </w:r>
      <w:r>
        <w:rPr>
          <w:rFonts w:ascii="Times New Roman" w:hAnsi="Times New Roman"/>
          <w:color w:val="000000"/>
          <w:sz w:val="20"/>
        </w:rPr>
        <w:t>”) is executed and delivered pursuant to Section 5(b)(i) of the Underwriting Agreement (the “</w:t>
      </w:r>
      <w:r>
        <w:rPr>
          <w:rFonts w:ascii="Times New Roman" w:hAnsi="Times New Roman"/>
          <w:color w:val="000000"/>
          <w:sz w:val="20"/>
          <w:u w:val="single"/>
        </w:rPr>
        <w:t>Underwriting Agreement</w:t>
      </w:r>
      <w:r>
        <w:rPr>
          <w:rFonts w:ascii="Times New Roman" w:hAnsi="Times New Roman"/>
          <w:color w:val="000000"/>
          <w:sz w:val="20"/>
        </w:rPr>
        <w:t>”), dated as of September 24, 2026, and entered into by and among Runway Growth Finance Corp., a Maryland corporation (the “</w:t>
      </w:r>
      <w:r>
        <w:rPr>
          <w:rFonts w:ascii="Times New Roman" w:hAnsi="Times New Roman"/>
          <w:color w:val="000000"/>
          <w:sz w:val="20"/>
          <w:u w:val="single"/>
        </w:rPr>
        <w:t>Company</w:t>
      </w:r>
      <w:r>
        <w:rPr>
          <w:rFonts w:ascii="Times New Roman" w:hAnsi="Times New Roman"/>
          <w:color w:val="000000"/>
          <w:sz w:val="20"/>
        </w:rPr>
        <w:t>”), Runway Growth Capital LLC, a Delaware limited liability company (the “</w:t>
      </w:r>
      <w:r>
        <w:rPr>
          <w:rFonts w:ascii="Times New Roman" w:hAnsi="Times New Roman"/>
          <w:color w:val="000000"/>
          <w:sz w:val="20"/>
          <w:u w:val="single"/>
        </w:rPr>
        <w:t>Adviser</w:t>
      </w:r>
      <w:r>
        <w:rPr>
          <w:rFonts w:ascii="Times New Roman" w:hAnsi="Times New Roman"/>
          <w:color w:val="000000"/>
          <w:sz w:val="20"/>
        </w:rPr>
        <w:t>”), and Oppenheimer &amp; Co. Inc., as representative of the several Underwriters named in Schedule I thereto (collectively, the “</w:t>
      </w:r>
      <w:r>
        <w:rPr>
          <w:rFonts w:ascii="Times New Roman" w:hAnsi="Times New Roman"/>
          <w:color w:val="000000"/>
          <w:sz w:val="20"/>
          <w:u w:val="single"/>
        </w:rPr>
        <w:t>Underwriters</w:t>
      </w:r>
      <w:r>
        <w:rPr>
          <w:rFonts w:ascii="Times New Roman" w:hAnsi="Times New Roman"/>
          <w:color w:val="000000"/>
          <w:sz w:val="20"/>
        </w:rPr>
        <w:t>”). All capitalized terms used but not defined herein shall have the meanings given to such terms in the Underwriting Agreement.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undersigned, duly appointed and authorized officers of the Company, each having made reasonable inquiries to establish the accuracy of the statements below and each having been authorized by the Company to execute this Certificate on behalf of the Company, and each hereby certifies on behalf of the Company as follows: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1. Between the time of execution of the Underwriting Agreement, or since the respective dates as of which information is given in the Registration Statement, the General Disclosure Package or the Prospectus, and the Closing Date, no event, circumstance or change constituting a Material Adverse Effect has occurred or become known to the Company.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2. Each of the representations and warranties of the Company contained in Section 1(a) of the Underwriting Agreement is true and correct with the same force and effect as though expressly made at and as of the Closing Date, except to the extent that such representations and warranties speak as of another date, in which case such representations and warranties are true and correct as of such other date.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3. The Company has complied with all covenants and agreements and satisfied all conditions on its part to be performed or satisfied under the Underwriting Agreement at or prior to the Closing Date.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4. No stop order suspending the effectiveness of the Registration Statement has been issued, no order preventing or suspending the use of any preliminary prospectus or the Prospectus has been issued and no proceedings for that purpose have been instituted or are pending or, to their knowledge, contemplated by the Commission.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Dechert LLP, counsel to the Company, and Eversheds Sutherland (US) LLP, counsel to the Underwriters, are each entitled to rely upon this Certificate of Officers in connection with any opinions given in connection with the transactions contemplated by the Underwriting Agreement.</w:t>
      </w:r>
    </w:p>
    <w:p>
      <w:pPr>
        <w:pStyle w:val="TextBody"/>
        <w:bidi w:val="0"/>
        <w:jc w:val="center"/>
        <w:rPr>
          <w:rFonts w:ascii="Times New Roman" w:hAnsi="Times New Roman"/>
          <w:color w:val="000000"/>
          <w:sz w:val="24"/>
        </w:rPr>
      </w:pPr>
      <w:r>
        <w:rPr>
          <w:rFonts w:ascii="Times New Roman" w:hAnsi="Times New Roman"/>
          <w:color w:val="000000"/>
          <w:sz w:val="24"/>
        </w:rPr>
        <w:t>41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undersigned have executed this Officers’ Certificate on behalf of the Company as of the date first written above.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RUNWAY GROWTH FINANCE CORP. </w:t>
      </w:r>
    </w:p>
    <w:p>
      <w:pPr>
        <w:pStyle w:val="TextBody"/>
        <w:bidi w:val="0"/>
        <w:jc w:val="both"/>
        <w:rPr/>
      </w:pPr>
      <w:r>
        <w:rPr/>
        <w:t> </w:t>
      </w:r>
    </w:p>
    <w:p>
      <w:pPr>
        <w:pStyle w:val="TextBody"/>
        <w:bidi w:val="0"/>
        <w:jc w:val="both"/>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By: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Name: R. David Spreng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Title: President and Co-Chief Executive Officer</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By: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Name: Carmela Thomson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Title: Chief Financial Officer, Treasurer and Secretary</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42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aps/>
          <w:color w:val="000000"/>
          <w:sz w:val="20"/>
        </w:rPr>
      </w:pPr>
      <w:r>
        <w:rPr>
          <w:rFonts w:ascii="Times New Roman" w:hAnsi="Times New Roman"/>
          <w:b/>
          <w:caps/>
          <w:color w:val="000000"/>
          <w:sz w:val="20"/>
        </w:rPr>
        <w:t>Exhibit c</w:t>
      </w:r>
    </w:p>
    <w:p>
      <w:pPr>
        <w:pStyle w:val="TextBody"/>
        <w:bidi w:val="0"/>
        <w:jc w:val="center"/>
        <w:rPr/>
      </w:pPr>
      <w:r>
        <w:rPr/>
        <w:t> </w:t>
      </w:r>
    </w:p>
    <w:p>
      <w:pPr>
        <w:pStyle w:val="TextBody"/>
        <w:bidi w:val="0"/>
        <w:jc w:val="center"/>
        <w:rPr>
          <w:rFonts w:ascii="Times New Roman" w:hAnsi="Times New Roman"/>
          <w:b/>
          <w:caps/>
          <w:color w:val="000000"/>
          <w:sz w:val="20"/>
        </w:rPr>
      </w:pPr>
      <w:r>
        <w:rPr>
          <w:rFonts w:ascii="Times New Roman" w:hAnsi="Times New Roman"/>
          <w:b/>
          <w:caps/>
          <w:color w:val="000000"/>
          <w:sz w:val="20"/>
        </w:rPr>
        <w:t>Form of chief financial officer certificate</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I, Carmela Thomson, do hereby certify that I am the Chief Financial Officer of Runway Growth Finance Corp., a Maryland corporation (the “</w:t>
      </w:r>
      <w:r>
        <w:rPr>
          <w:rFonts w:ascii="Times New Roman" w:hAnsi="Times New Roman"/>
          <w:color w:val="000000"/>
          <w:sz w:val="20"/>
          <w:u w:val="single"/>
        </w:rPr>
        <w:t>Company</w:t>
      </w:r>
      <w:r>
        <w:rPr>
          <w:rFonts w:ascii="Times New Roman" w:hAnsi="Times New Roman"/>
          <w:color w:val="000000"/>
          <w:sz w:val="20"/>
        </w:rPr>
        <w:t>”), and, solely in my capacity as such and not in my individual capacity, do hereby certify that: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both"/>
        <w:rPr/>
      </w:pPr>
      <w:r>
        <w:rPr>
          <w:rFonts w:ascii="Times New Roman" w:hAnsi="Times New Roman"/>
          <w:color w:val="000000"/>
          <w:sz w:val="20"/>
        </w:rPr>
        <w:t>I am providing this certificate in connection with the Company’s offering of $45,000,000 aggregate principal amount of 7.75% Notes due 2031 (the “</w:t>
      </w:r>
      <w:r>
        <w:rPr>
          <w:rFonts w:ascii="Times New Roman" w:hAnsi="Times New Roman"/>
          <w:color w:val="000000"/>
          <w:sz w:val="20"/>
          <w:u w:val="single"/>
        </w:rPr>
        <w:t>Offering</w:t>
      </w:r>
      <w:r>
        <w:rPr>
          <w:color w:val="000000"/>
        </w:rPr>
        <w:t>”</w:t>
      </w:r>
      <w:r>
        <w:rPr>
          <w:rFonts w:ascii="Times New Roman" w:hAnsi="Times New Roman"/>
          <w:color w:val="000000"/>
          <w:sz w:val="20"/>
        </w:rPr>
        <w:t>), pursuant to the Company’s base prospectus, dated March 19, 2025, as supplemented by a [preliminary/final] prospectus supplement, dated September [23/24], 2026 (the “[</w:t>
      </w:r>
      <w:r>
        <w:rPr>
          <w:rFonts w:ascii="Times New Roman" w:hAnsi="Times New Roman"/>
          <w:color w:val="000000"/>
          <w:sz w:val="20"/>
          <w:u w:val="single"/>
        </w:rPr>
        <w:t>Preliminary/Final] Prospectus Supplement</w:t>
      </w:r>
      <w:r>
        <w:rPr>
          <w:color w:val="000000"/>
        </w:rPr>
        <w:t>”</w:t>
      </w:r>
      <w:r>
        <w:rPr>
          <w:rFonts w:ascii="Times New Roman" w:hAnsi="Times New Roman"/>
          <w:color w:val="000000"/>
          <w:sz w:val="20"/>
        </w:rPr>
        <w:t>). Capitalized terms used but not otherwise defined herein shall have the meanings ascribed to them in the Underwriting Agreement, dated September 24, 2026, by and among the Company, Runway Growth Capital LLC, and Oppenheimer &amp; Co. Inc., as the Representative of the several Underwriters named in Schedule I thereto.</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9" w:after="283"/>
        <w:jc w:val="both"/>
        <w:rPr/>
      </w:pPr>
      <w:r>
        <w:rPr/>
        <w:t> </w:t>
      </w:r>
    </w:p>
    <w:p>
      <w:pPr>
        <w:pStyle w:val="TextBody"/>
        <w:bidi w:val="0"/>
        <w:spacing w:before="1"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 w:after="283"/>
        <w:jc w:val="both"/>
        <w:rPr>
          <w:rFonts w:ascii="Times New Roman" w:hAnsi="Times New Roman"/>
          <w:color w:val="000000"/>
          <w:sz w:val="20"/>
        </w:rPr>
      </w:pPr>
      <w:r>
        <w:rPr>
          <w:rFonts w:ascii="Times New Roman" w:hAnsi="Times New Roman"/>
          <w:color w:val="000000"/>
          <w:sz w:val="20"/>
        </w:rPr>
        <w:t>I am knowledgeable with respect to the accounting records and internal accounting practices, policies, procedures and controls of the Company and its subsidiaries.</w:t>
      </w:r>
    </w:p>
    <w:p>
      <w:pPr>
        <w:pStyle w:val="TextBody"/>
        <w:bidi w:val="0"/>
        <w:spacing w:before="9" w:after="283"/>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w:t>
      </w:r>
    </w:p>
    <w:p>
      <w:pPr>
        <w:pStyle w:val="TextBody"/>
        <w:bidi w:val="0"/>
        <w:jc w:val="both"/>
        <w:rPr>
          <w:rFonts w:ascii="Times New Roman" w:hAnsi="Times New Roman"/>
          <w:sz w:val="20"/>
        </w:rPr>
      </w:pPr>
      <w:r>
        <w:rPr>
          <w:rFonts w:ascii="Times New Roman" w:hAnsi="Times New Roman"/>
          <w:color w:val="000000"/>
          <w:sz w:val="20"/>
        </w:rPr>
        <w:t xml:space="preserve">I, or members of my staff, have reviewed each of the circled items marked on the [Preliminary/Final] Prospectus Supplement, attached hereto as </w:t>
      </w:r>
      <w:r>
        <w:rPr>
          <w:rFonts w:ascii="Times New Roman" w:hAnsi="Times New Roman"/>
          <w:color w:val="000000"/>
          <w:sz w:val="20"/>
          <w:u w:val="single"/>
        </w:rPr>
        <w:t>Exhibit A</w:t>
      </w:r>
      <w:r>
        <w:rPr>
          <w:rFonts w:ascii="Times New Roman" w:hAnsi="Times New Roman"/>
          <w:color w:val="000000"/>
          <w:sz w:val="20"/>
        </w:rPr>
        <w:t xml:space="preserve"> (the “</w:t>
      </w:r>
      <w:r>
        <w:rPr>
          <w:rFonts w:ascii="Times New Roman" w:hAnsi="Times New Roman"/>
          <w:color w:val="000000"/>
          <w:sz w:val="20"/>
          <w:u w:val="single"/>
        </w:rPr>
        <w:t>Certified Information</w:t>
      </w:r>
      <w:r>
        <w:rPr>
          <w:rFonts w:ascii="Times New Roman" w:hAnsi="Times New Roman"/>
          <w:color w:val="000000"/>
          <w:sz w:val="20"/>
        </w:rPr>
        <w:t>”) and confirm that I, or members of my staff, have compared the dollar amounts and percentages with the corresponding amounts included in the Company’s accounting records, or analyses prepared by the Company from its accounting or other internal records, and found them to be in agreement.</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4.</w:t>
      </w:r>
    </w:p>
    <w:p>
      <w:pPr>
        <w:pStyle w:val="TextBody"/>
        <w:bidi w:val="0"/>
        <w:jc w:val="both"/>
        <w:rPr>
          <w:rFonts w:ascii="Times New Roman" w:hAnsi="Times New Roman"/>
          <w:color w:val="000000"/>
          <w:sz w:val="20"/>
        </w:rPr>
      </w:pPr>
      <w:r>
        <w:rPr>
          <w:rFonts w:ascii="Times New Roman" w:hAnsi="Times New Roman"/>
          <w:color w:val="000000"/>
          <w:sz w:val="20"/>
        </w:rPr>
        <w:t>Based on such examination and review, nothing has come to my attention that causes me to believe that any of the Certified Information is not true and accurate in all material respects as of the date of such information.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This certificate is being furnished to Oppenheimer &amp; Co. Inc., as the Representative of the several Underwriters, solely to assist them in conducting their investigation of the Company in connection with the Offering. This certificate may be relied upon by the Representative for this purpose.</w:t>
      </w:r>
    </w:p>
    <w:p>
      <w:pPr>
        <w:pStyle w:val="TextBody"/>
        <w:bidi w:val="0"/>
        <w:jc w:val="left"/>
        <w:rPr/>
      </w:pPr>
      <w:r>
        <w:rPr/>
        <w:t> </w:t>
      </w:r>
    </w:p>
    <w:p>
      <w:pPr>
        <w:pStyle w:val="TextBody"/>
        <w:bidi w:val="0"/>
        <w:spacing w:before="1" w:after="283"/>
        <w:jc w:val="left"/>
        <w:rPr/>
      </w:pPr>
      <w:r>
        <w:rPr/>
        <w:t> </w:t>
      </w:r>
    </w:p>
    <w:p>
      <w:pPr>
        <w:pStyle w:val="TextBody"/>
        <w:bidi w:val="0"/>
        <w:jc w:val="center"/>
        <w:rPr>
          <w:rFonts w:ascii="Times New Roman" w:hAnsi="Times New Roman"/>
          <w:sz w:val="20"/>
        </w:rPr>
      </w:pPr>
      <w:bookmarkStart w:id="9" w:name="cfo_cert_signature_page_4_4_22_docx__002"/>
      <w:bookmarkEnd w:id="9"/>
      <w:r>
        <w:rPr>
          <w:rFonts w:ascii="Times New Roman" w:hAnsi="Times New Roman"/>
          <w:i/>
          <w:color w:val="000000"/>
          <w:sz w:val="20"/>
        </w:rPr>
        <w:t>[Signature</w:t>
      </w:r>
      <w:r>
        <w:rPr>
          <w:rFonts w:ascii="Times New Roman" w:hAnsi="Times New Roman"/>
          <w:color w:val="000000"/>
          <w:sz w:val="20"/>
        </w:rPr>
        <w:t xml:space="preserve"> </w:t>
      </w:r>
      <w:r>
        <w:rPr>
          <w:rFonts w:ascii="Times New Roman" w:hAnsi="Times New Roman"/>
          <w:i/>
          <w:color w:val="000000"/>
          <w:sz w:val="20"/>
        </w:rPr>
        <w:t>Page</w:t>
      </w:r>
      <w:r>
        <w:rPr>
          <w:rFonts w:ascii="Times New Roman" w:hAnsi="Times New Roman"/>
          <w:color w:val="000000"/>
          <w:sz w:val="20"/>
        </w:rPr>
        <w:t xml:space="preserve"> </w:t>
      </w:r>
      <w:r>
        <w:rPr>
          <w:rFonts w:ascii="Times New Roman" w:hAnsi="Times New Roman"/>
          <w:i/>
          <w:color w:val="000000"/>
          <w:sz w:val="20"/>
        </w:rPr>
        <w:t>Follows]</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43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WITNESS WHEREOF, the undersigned has executed this certificate as of the date first set forth above.</w:t>
      </w:r>
    </w:p>
    <w:p>
      <w:pPr>
        <w:pStyle w:val="TextBody"/>
        <w:bidi w:val="0"/>
        <w:spacing w:before="11" w:after="283"/>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By: </w:t>
      </w:r>
    </w:p>
    <w:p>
      <w:pPr>
        <w:pStyle w:val="TextBody"/>
        <w:bidi w:val="0"/>
        <w:jc w:val="left"/>
        <w:rPr>
          <w:rFonts w:ascii="Times New Roman" w:hAnsi="Times New Roman"/>
          <w:color w:val="000000"/>
          <w:sz w:val="20"/>
        </w:rPr>
      </w:pPr>
      <w:r>
        <w:rPr>
          <w:rFonts w:ascii="Times New Roman" w:hAnsi="Times New Roman"/>
          <w:color w:val="000000"/>
          <w:sz w:val="20"/>
        </w:rPr>
        <w:t>Name: Carmela Thomson</w:t>
      </w:r>
    </w:p>
    <w:p>
      <w:pPr>
        <w:pStyle w:val="TextBody"/>
        <w:bidi w:val="0"/>
        <w:jc w:val="left"/>
        <w:rPr>
          <w:rFonts w:ascii="Times New Roman" w:hAnsi="Times New Roman"/>
          <w:color w:val="000000"/>
          <w:sz w:val="20"/>
        </w:rPr>
      </w:pPr>
      <w:r>
        <w:rPr>
          <w:rFonts w:ascii="Times New Roman" w:hAnsi="Times New Roman"/>
          <w:color w:val="000000"/>
          <w:sz w:val="20"/>
        </w:rPr>
        <w:t>Title: Chief Financial Officer</w:t>
      </w:r>
    </w:p>
    <w:p>
      <w:pPr>
        <w:pStyle w:val="TextBody"/>
        <w:bidi w:val="0"/>
        <w:jc w:val="center"/>
        <w:rPr>
          <w:rFonts w:ascii="Times New Roman" w:hAnsi="Times New Roman"/>
          <w:color w:val="000000"/>
          <w:sz w:val="24"/>
        </w:rPr>
      </w:pPr>
      <w:r>
        <w:rPr>
          <w:rFonts w:ascii="Times New Roman" w:hAnsi="Times New Roman"/>
          <w:color w:val="000000"/>
          <w:sz w:val="24"/>
        </w:rPr>
        <w:t>44</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26571</Words>
  <Characters>141712</Characters>
  <CharactersWithSpaces>167950</CharactersWithSpaces>
  <Paragraphs>1060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