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58"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2000" w:right="980" w:hanging="1079"/>
        <w:spacing w:after="0" w:line="266" w:lineRule="auto"/>
        <w:tabs>
          <w:tab w:leader="none" w:pos="20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58" w:lineRule="exact"/>
        <w:rPr>
          <w:sz w:val="24"/>
          <w:szCs w:val="24"/>
          <w:color w:val="auto"/>
        </w:rPr>
      </w:pPr>
    </w:p>
    <w:p>
      <w:pPr>
        <w:ind w:left="2000" w:right="980" w:hanging="1081"/>
        <w:spacing w:after="0" w:line="282" w:lineRule="auto"/>
        <w:tabs>
          <w:tab w:leader="none" w:pos="20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814-01180</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Runway Growth Credit Fund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080" w:type="dxa"/>
        <w:tblCellMar>
          <w:top w:w="0" w:type="dxa"/>
          <w:left w:w="0" w:type="dxa"/>
          <w:bottom w:w="0" w:type="dxa"/>
          <w:right w:w="0" w:type="dxa"/>
        </w:tblCellMar>
      </w:tblPr>
      <w:tr>
        <w:trPr>
          <w:trHeight w:val="220"/>
        </w:trPr>
        <w:tc>
          <w:tcPr>
            <w:tcW w:w="3980" w:type="dxa"/>
            <w:vAlign w:val="bottom"/>
          </w:tcPr>
          <w:p>
            <w:pPr>
              <w:jc w:val="center"/>
              <w:ind w:right="1030"/>
              <w:spacing w:after="0"/>
              <w:rPr>
                <w:sz w:val="20"/>
                <w:szCs w:val="20"/>
                <w:color w:val="auto"/>
              </w:rPr>
            </w:pPr>
            <w:r>
              <w:rPr>
                <w:rFonts w:ascii="Arial" w:cs="Arial" w:eastAsia="Arial" w:hAnsi="Arial"/>
                <w:sz w:val="18"/>
                <w:szCs w:val="18"/>
                <w:b w:val="1"/>
                <w:bCs w:val="1"/>
                <w:color w:val="auto"/>
                <w:w w:val="98"/>
              </w:rPr>
              <w:t>Maryland</w:t>
            </w:r>
          </w:p>
        </w:tc>
        <w:tc>
          <w:tcPr>
            <w:tcW w:w="3720" w:type="dxa"/>
            <w:vAlign w:val="bottom"/>
          </w:tcPr>
          <w:p>
            <w:pPr>
              <w:jc w:val="right"/>
              <w:ind w:right="790"/>
              <w:spacing w:after="0"/>
              <w:rPr>
                <w:sz w:val="20"/>
                <w:szCs w:val="20"/>
                <w:color w:val="auto"/>
              </w:rPr>
            </w:pPr>
            <w:r>
              <w:rPr>
                <w:rFonts w:ascii="Arial" w:cs="Arial" w:eastAsia="Arial" w:hAnsi="Arial"/>
                <w:sz w:val="18"/>
                <w:szCs w:val="18"/>
                <w:b w:val="1"/>
                <w:bCs w:val="1"/>
                <w:color w:val="auto"/>
              </w:rPr>
              <w:t>47-5049745</w:t>
            </w:r>
          </w:p>
        </w:tc>
      </w:tr>
      <w:tr>
        <w:trPr>
          <w:trHeight w:val="230"/>
        </w:trPr>
        <w:tc>
          <w:tcPr>
            <w:tcW w:w="3980" w:type="dxa"/>
            <w:vAlign w:val="bottom"/>
          </w:tcPr>
          <w:p>
            <w:pPr>
              <w:jc w:val="center"/>
              <w:ind w:right="1030"/>
              <w:spacing w:after="0"/>
              <w:rPr>
                <w:sz w:val="20"/>
                <w:szCs w:val="20"/>
                <w:color w:val="auto"/>
              </w:rPr>
            </w:pPr>
            <w:r>
              <w:rPr>
                <w:rFonts w:ascii="Arial" w:cs="Arial" w:eastAsia="Arial" w:hAnsi="Arial"/>
                <w:sz w:val="18"/>
                <w:szCs w:val="18"/>
                <w:color w:val="auto"/>
                <w:w w:val="92"/>
              </w:rPr>
              <w:t>(State of incorporation)</w:t>
            </w:r>
          </w:p>
        </w:tc>
        <w:tc>
          <w:tcPr>
            <w:tcW w:w="3720" w:type="dxa"/>
            <w:vAlign w:val="bottom"/>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346"/>
        </w:trPr>
        <w:tc>
          <w:tcPr>
            <w:tcW w:w="39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0"/>
              </w:rPr>
              <w:t>205 N. Michigan Ave., Suite 4200</w:t>
            </w:r>
          </w:p>
        </w:tc>
        <w:tc>
          <w:tcPr>
            <w:tcW w:w="3720" w:type="dxa"/>
            <w:vAlign w:val="bottom"/>
          </w:tcPr>
          <w:p>
            <w:pPr>
              <w:spacing w:after="0"/>
              <w:rPr>
                <w:sz w:val="24"/>
                <w:szCs w:val="24"/>
                <w:color w:val="auto"/>
              </w:rPr>
            </w:pPr>
          </w:p>
        </w:tc>
      </w:tr>
      <w:tr>
        <w:trPr>
          <w:trHeight w:val="220"/>
        </w:trPr>
        <w:tc>
          <w:tcPr>
            <w:tcW w:w="3980" w:type="dxa"/>
            <w:vAlign w:val="bottom"/>
          </w:tcPr>
          <w:p>
            <w:pPr>
              <w:jc w:val="center"/>
              <w:ind w:right="1030"/>
              <w:spacing w:after="0"/>
              <w:rPr>
                <w:sz w:val="20"/>
                <w:szCs w:val="20"/>
                <w:color w:val="auto"/>
              </w:rPr>
            </w:pPr>
            <w:r>
              <w:rPr>
                <w:rFonts w:ascii="Arial" w:cs="Arial" w:eastAsia="Arial" w:hAnsi="Arial"/>
                <w:sz w:val="18"/>
                <w:szCs w:val="18"/>
                <w:b w:val="1"/>
                <w:bCs w:val="1"/>
                <w:color w:val="auto"/>
                <w:w w:val="92"/>
              </w:rPr>
              <w:t>Chicago, IL</w:t>
            </w:r>
          </w:p>
        </w:tc>
        <w:tc>
          <w:tcPr>
            <w:tcW w:w="3720" w:type="dxa"/>
            <w:vAlign w:val="bottom"/>
          </w:tcPr>
          <w:p>
            <w:pPr>
              <w:jc w:val="right"/>
              <w:ind w:right="990"/>
              <w:spacing w:after="0"/>
              <w:rPr>
                <w:sz w:val="20"/>
                <w:szCs w:val="20"/>
                <w:color w:val="auto"/>
              </w:rPr>
            </w:pPr>
            <w:r>
              <w:rPr>
                <w:rFonts w:ascii="Arial" w:cs="Arial" w:eastAsia="Arial" w:hAnsi="Arial"/>
                <w:sz w:val="18"/>
                <w:szCs w:val="18"/>
                <w:b w:val="1"/>
                <w:bCs w:val="1"/>
                <w:color w:val="auto"/>
              </w:rPr>
              <w:t>60601</w:t>
            </w:r>
          </w:p>
        </w:tc>
      </w:tr>
      <w:tr>
        <w:trPr>
          <w:trHeight w:val="230"/>
        </w:trPr>
        <w:tc>
          <w:tcPr>
            <w:tcW w:w="398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20" w:type="dxa"/>
            <w:vAlign w:val="bottom"/>
          </w:tcPr>
          <w:p>
            <w:pPr>
              <w:jc w:val="center"/>
              <w:ind w:left="1010"/>
              <w:spacing w:after="0"/>
              <w:rPr>
                <w:sz w:val="20"/>
                <w:szCs w:val="20"/>
                <w:color w:val="auto"/>
              </w:rPr>
            </w:pPr>
            <w:r>
              <w:rPr>
                <w:rFonts w:ascii="Arial" w:cs="Arial" w:eastAsia="Arial" w:hAnsi="Arial"/>
                <w:sz w:val="18"/>
                <w:szCs w:val="18"/>
                <w:color w:val="auto"/>
                <w:w w:val="91"/>
              </w:rPr>
              <w:t>(Zip Code)</w:t>
            </w: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281-6270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9920"/>
          </w:cols>
          <w:pgMar w:left="980" w:top="665" w:right="999" w:bottom="1440" w:gutter="0" w:footer="0" w:header="0"/>
        </w:sectPr>
      </w:pPr>
    </w:p>
    <w:p>
      <w:pPr>
        <w:spacing w:after="0" w:line="15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Name of each exchange on which registered </w:t>
      </w:r>
      <w:r>
        <w:rPr>
          <w:rFonts w:ascii="Arial" w:cs="Arial" w:eastAsia="Arial" w:hAnsi="Arial"/>
          <w:sz w:val="18"/>
          <w:szCs w:val="18"/>
          <w:color w:val="auto"/>
        </w:rPr>
        <w:t>N/A</w:t>
      </w:r>
    </w:p>
    <w:p>
      <w:pPr>
        <w:spacing w:after="0" w:line="98" w:lineRule="exact"/>
        <w:rPr>
          <w:sz w:val="24"/>
          <w:szCs w:val="24"/>
          <w:color w:val="auto"/>
        </w:rPr>
      </w:pPr>
    </w:p>
    <w:p>
      <w:pPr>
        <w:sectPr>
          <w:pgSz w:w="11900" w:h="16838" w:orient="portrait"/>
          <w:cols w:equalWidth="0" w:num="3">
            <w:col w:w="2580" w:space="720"/>
            <w:col w:w="2040" w:space="720"/>
            <w:col w:w="3860"/>
          </w:cols>
          <w:pgMar w:left="980" w:top="665" w:right="999" w:bottom="1440" w:gutter="0" w:footer="0" w:header="0"/>
          <w:type w:val="continuous"/>
        </w:sect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type w:val="continuous"/>
        </w:sectPr>
      </w:pPr>
    </w:p>
    <w:p>
      <w:pPr>
        <w:spacing w:after="0" w:line="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9920"/>
          </w:cols>
          <w:pgMar w:left="980" w:top="665" w:right="999" w:bottom="1440" w:gutter="0" w:footer="0" w:header="0"/>
          <w:type w:val="continuous"/>
        </w:sectPr>
      </w:pPr>
    </w:p>
    <w:p>
      <w:pPr>
        <w:spacing w:after="0" w:line="213" w:lineRule="exact"/>
        <w:rPr>
          <w:sz w:val="24"/>
          <w:szCs w:val="24"/>
          <w:color w:val="auto"/>
        </w:rPr>
      </w:pPr>
    </w:p>
    <w:p>
      <w:pPr>
        <w:ind w:right="340" w:firstLine="324"/>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340" w:right="4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issuer had 32,053,327 shares of common stock, $0.01 par value per share, outstanding as of May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652145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94615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137795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MARCH 31,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80" w:type="dxa"/>
            <w:vAlign w:val="bottom"/>
            <w:gridSpan w:val="9"/>
            <w:vMerge w:val="restart"/>
          </w:tcPr>
          <w:p>
            <w:pPr>
              <w:ind w:left="320"/>
              <w:spacing w:after="0"/>
              <w:rPr>
                <w:sz w:val="20"/>
                <w:szCs w:val="20"/>
                <w:color w:val="auto"/>
              </w:rPr>
            </w:pPr>
            <w:r>
              <w:rPr>
                <w:rFonts w:ascii="Arial" w:cs="Arial" w:eastAsia="Arial" w:hAnsi="Arial"/>
                <w:sz w:val="14"/>
                <w:szCs w:val="14"/>
                <w:b w:val="1"/>
                <w:bCs w:val="1"/>
                <w:color w:val="auto"/>
              </w:rPr>
              <w:t>INDEX</w:t>
            </w: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80" w:type="dxa"/>
            <w:vAlign w:val="bottom"/>
            <w:gridSpan w:val="9"/>
            <w:vMerge w:val="continue"/>
          </w:tcPr>
          <w:p>
            <w:pPr>
              <w:spacing w:after="0"/>
              <w:rPr>
                <w:sz w:val="14"/>
                <w:szCs w:val="14"/>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NO.</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Statements of Assets and Liabilities as of March 31, 2021 (unaudited) and December 31, 2020</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Operations for the three months ended March 31, 2021 and 2020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Changes in Net Assets for the three months ended March 31, 2021 and 2020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Statements of Cash Flows for the three months ended March 31, 2021 and 2020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Schedule of Investments as of March 31, 2021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Schedule of Investments as of December 31, 2020</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Notes to Financial Statements (unaudited)</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2.</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Item 3.</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Item 4.</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Controls and Procedures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PART II.</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OTHER INFORMATION</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Item 1.</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gridSpan w:val="6"/>
            <w:shd w:val="clear" w:color="auto" w:fill="CCEEFF"/>
          </w:tcPr>
          <w:p>
            <w:pPr>
              <w:jc w:val="right"/>
              <w:ind w:right="4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1A.</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Risk Factors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2.</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3.</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Defaults Upon Senior Securities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4.</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Mine Safety Disclosures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5.</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line="17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Item 6.</w:t>
              </w:r>
            </w:hyperlink>
          </w:p>
        </w:tc>
        <w:tc>
          <w:tcPr>
            <w:tcW w:w="8440" w:type="dxa"/>
            <w:vAlign w:val="bottom"/>
            <w:gridSpan w:val="22"/>
            <w:shd w:val="clear" w:color="auto" w:fill="CCEEFF"/>
          </w:tcPr>
          <w:p>
            <w:pPr>
              <w:ind w:left="4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28"/>
            <w:shd w:val="clear" w:color="auto" w:fill="CCEEFF"/>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SIGNATURES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8"/>
        </w:trPr>
        <w:tc>
          <w:tcPr>
            <w:tcW w:w="2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31"/>
              <w:spacing w:after="0"/>
              <w:rPr>
                <w:sz w:val="20"/>
                <w:szCs w:val="20"/>
                <w:color w:val="auto"/>
              </w:rPr>
            </w:pPr>
            <w:r>
              <w:rPr>
                <w:rFonts w:ascii="Arial" w:cs="Arial" w:eastAsia="Arial" w:hAnsi="Arial"/>
                <w:sz w:val="14"/>
                <w:szCs w:val="14"/>
                <w:b w:val="1"/>
                <w:bCs w:val="1"/>
                <w:color w:val="auto"/>
                <w:w w:val="92"/>
              </w:rPr>
              <w:t>March 31, 2021</w:t>
            </w:r>
          </w:p>
        </w:tc>
        <w:tc>
          <w:tcPr>
            <w:tcW w:w="2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71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Non-control/non-affiliate investments at fair value (cost of $572,409,671 and $532,676,057,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579,274,683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541,978,736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w w:val="93"/>
              </w:rPr>
              <w:t>Control/affiliate investments at fair value (cost of $14,411,494 and $13,911,494, respectively)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10,872,938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9,845,854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71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in U.S. Treasury Bills at fair value (cost of $24,999,979 and $70,001,472,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24,999,969</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70,002,060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Total investments at fair value (cost of $611,821,144 and $616,589,023, respectively)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615,147,590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621,826,650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1,780,788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2,402,752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2,682,405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619,723,262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639,891,397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Debt: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Credit facilities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117,000,000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7100" w:type="dxa"/>
            <w:vAlign w:val="bottom"/>
          </w:tcPr>
          <w:p>
            <w:pPr>
              <w:ind w:left="100"/>
              <w:spacing w:after="0" w:line="201" w:lineRule="exact"/>
              <w:rPr>
                <w:sz w:val="20"/>
                <w:szCs w:val="20"/>
                <w:color w:val="auto"/>
              </w:rPr>
            </w:pPr>
            <w:r>
              <w:rPr>
                <w:rFonts w:ascii="Arial" w:cs="Arial" w:eastAsia="Arial" w:hAnsi="Arial"/>
                <w:sz w:val="18"/>
                <w:szCs w:val="18"/>
                <w:color w:val="auto"/>
                <w:w w:val="99"/>
              </w:rPr>
              <w:t>Deferred credit facility fees (net of accumulated amortization of $499,719 and $383,873,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(1,467,384)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(1,583,230)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debt, less unamortized deferred financing costs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115,532,616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97,416,770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Reverse repurchase agreement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24,874,914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69,650,000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Accrued incentive fees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4,090,339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Due to affiliate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991,065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146,245,838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173,647,712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7100" w:type="dxa"/>
            <w:vAlign w:val="bottom"/>
          </w:tcPr>
          <w:p>
            <w:pPr>
              <w:ind w:left="100"/>
              <w:spacing w:after="0" w:line="201" w:lineRule="exact"/>
              <w:rPr>
                <w:sz w:val="20"/>
                <w:szCs w:val="20"/>
                <w:color w:val="auto"/>
              </w:rPr>
            </w:pPr>
            <w:r>
              <w:rPr>
                <w:rFonts w:ascii="Arial" w:cs="Arial" w:eastAsia="Arial" w:hAnsi="Arial"/>
                <w:sz w:val="18"/>
                <w:szCs w:val="18"/>
                <w:color w:val="auto"/>
                <w:w w:val="94"/>
              </w:rPr>
              <w:t>Common stock, $0.01 par value; 100,000,000 shares authorized; 32,053,327 and 31,414,051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shares issued and outstanding, respectively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320,533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314,140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476,351,521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466,872,304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Distributable (losses) earnings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(3,194,630)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net assets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473,477,424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466,243,685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100" w:type="dxa"/>
            <w:vAlign w:val="bottom"/>
            <w:tcBorders>
              <w:top w:val="single" w:sz="8" w:color="CCEEFF"/>
              <w:bottom w:val="single" w:sz="8" w:color="CCEEFF"/>
            </w:tcBorders>
            <w:vMerge w:val="restart"/>
          </w:tcPr>
          <w:p>
            <w:pPr>
              <w:ind w:left="4020"/>
              <w:spacing w:after="0"/>
              <w:rPr>
                <w:sz w:val="20"/>
                <w:szCs w:val="20"/>
                <w:color w:val="auto"/>
              </w:rPr>
            </w:pPr>
            <w:r>
              <w:rPr>
                <w:rFonts w:ascii="Arial" w:cs="Arial" w:eastAsia="Arial" w:hAnsi="Arial"/>
                <w:sz w:val="18"/>
                <w:szCs w:val="18"/>
                <w:color w:val="auto"/>
              </w:rPr>
              <w:t>See notes to financial statements.</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 w:type="dxa"/>
            <w:vAlign w:val="bottom"/>
          </w:tcPr>
          <w:p>
            <w:pPr>
              <w:spacing w:after="0"/>
              <w:rPr>
                <w:sz w:val="24"/>
                <w:szCs w:val="24"/>
                <w:color w:val="auto"/>
              </w:rPr>
            </w:pPr>
          </w:p>
        </w:tc>
        <w:tc>
          <w:tcPr>
            <w:tcW w:w="7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180" w:type="dxa"/>
            <w:vAlign w:val="bottom"/>
            <w:gridSpan w:val="2"/>
          </w:tcPr>
          <w:p>
            <w:pPr>
              <w:jc w:val="right"/>
              <w:ind w:right="209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March 31, 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95"/>
              <w:spacing w:after="0"/>
              <w:rPr>
                <w:sz w:val="20"/>
                <w:szCs w:val="20"/>
                <w:color w:val="auto"/>
              </w:rPr>
            </w:pPr>
            <w:r>
              <w:rPr>
                <w:rFonts w:ascii="Arial" w:cs="Arial" w:eastAsia="Arial" w:hAnsi="Arial"/>
                <w:sz w:val="14"/>
                <w:szCs w:val="14"/>
                <w:b w:val="1"/>
                <w:bCs w:val="1"/>
                <w:color w:val="auto"/>
                <w:w w:val="98"/>
              </w:rPr>
              <w:t>March 31,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Investment income</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100"/>
              <w:spacing w:after="0"/>
              <w:rPr>
                <w:sz w:val="20"/>
                <w:szCs w:val="20"/>
                <w:color w:val="auto"/>
              </w:rPr>
            </w:pPr>
            <w:r>
              <w:rPr>
                <w:rFonts w:ascii="Arial" w:cs="Arial" w:eastAsia="Arial" w:hAnsi="Arial"/>
                <w:sz w:val="17"/>
                <w:szCs w:val="17"/>
                <w:color w:val="auto"/>
              </w:rPr>
              <w:t>From non-control/non-affiliate:</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15,020,565</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13,627,375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rPr>
                <w:sz w:val="20"/>
                <w:szCs w:val="20"/>
                <w:color w:val="auto"/>
              </w:rPr>
            </w:pPr>
            <w:r>
              <w:rPr>
                <w:rFonts w:ascii="Arial" w:cs="Arial" w:eastAsia="Arial" w:hAnsi="Arial"/>
                <w:sz w:val="17"/>
                <w:szCs w:val="17"/>
                <w:color w:val="auto"/>
              </w:rPr>
              <w:t>Payment in-kind interest income</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944,031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517,930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114,292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rPr>
                <w:sz w:val="20"/>
                <w:szCs w:val="20"/>
                <w:color w:val="auto"/>
              </w:rPr>
            </w:pPr>
            <w:r>
              <w:rPr>
                <w:rFonts w:ascii="Arial" w:cs="Arial" w:eastAsia="Arial" w:hAnsi="Arial"/>
                <w:sz w:val="17"/>
                <w:szCs w:val="17"/>
                <w:color w:val="auto"/>
              </w:rPr>
              <w:t>Interest income from U.S. Treasury Bills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16,569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Dividend income</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343,755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 income from non-investment sources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investment income</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16,422,773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14,820,857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100"/>
              <w:spacing w:after="0"/>
              <w:rPr>
                <w:sz w:val="20"/>
                <w:szCs w:val="20"/>
                <w:color w:val="auto"/>
              </w:rPr>
            </w:pPr>
            <w:r>
              <w:rPr>
                <w:rFonts w:ascii="Arial" w:cs="Arial" w:eastAsia="Arial" w:hAnsi="Arial"/>
                <w:sz w:val="17"/>
                <w:szCs w:val="17"/>
                <w:color w:val="auto"/>
              </w:rPr>
              <w:t>Management fees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2,069,209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1,536,948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Incentive fees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975,704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2,315,118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100"/>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727,915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164,412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Professional fees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216,163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337,813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100"/>
              <w:spacing w:after="0"/>
              <w:rPr>
                <w:sz w:val="20"/>
                <w:szCs w:val="20"/>
                <w:color w:val="auto"/>
              </w:rPr>
            </w:pPr>
            <w:r>
              <w:rPr>
                <w:rFonts w:ascii="Arial" w:cs="Arial" w:eastAsia="Arial" w:hAnsi="Arial"/>
                <w:sz w:val="17"/>
                <w:szCs w:val="17"/>
                <w:color w:val="auto"/>
              </w:rPr>
              <w:t>Overhead allocation expense</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197,384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184,318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Administration fee</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100"/>
              <w:spacing w:after="0"/>
              <w:rPr>
                <w:sz w:val="20"/>
                <w:szCs w:val="20"/>
                <w:color w:val="auto"/>
              </w:rPr>
            </w:pPr>
            <w:r>
              <w:rPr>
                <w:rFonts w:ascii="Arial" w:cs="Arial" w:eastAsia="Arial" w:hAnsi="Arial"/>
                <w:sz w:val="17"/>
                <w:szCs w:val="17"/>
                <w:color w:val="auto"/>
              </w:rPr>
              <w:t>Facility fees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289,985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178,729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Directors’ fees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64,750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100"/>
              <w:spacing w:after="0"/>
              <w:rPr>
                <w:sz w:val="20"/>
                <w:szCs w:val="20"/>
                <w:color w:val="auto"/>
              </w:rPr>
            </w:pPr>
            <w:r>
              <w:rPr>
                <w:rFonts w:ascii="Arial" w:cs="Arial" w:eastAsia="Arial" w:hAnsi="Arial"/>
                <w:sz w:val="17"/>
                <w:szCs w:val="17"/>
                <w:color w:val="auto"/>
              </w:rPr>
              <w:t>Consulting fees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Tax expense</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100"/>
              <w:spacing w:after="0"/>
              <w:rPr>
                <w:sz w:val="20"/>
                <w:szCs w:val="20"/>
                <w:color w:val="auto"/>
              </w:rPr>
            </w:pPr>
            <w:r>
              <w:rPr>
                <w:rFonts w:ascii="Arial" w:cs="Arial" w:eastAsia="Arial" w:hAnsi="Arial"/>
                <w:sz w:val="17"/>
                <w:szCs w:val="17"/>
                <w:color w:val="auto"/>
              </w:rPr>
              <w:t>Insurance expense</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23,275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26,438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General and administrative expenses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Other expenses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212,627</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199,394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operating expenses</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4,941,041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5,177,270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Net investment income</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11,481,732</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9,643,587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00" w:type="dxa"/>
            <w:vAlign w:val="bottom"/>
          </w:tcPr>
          <w:p>
            <w:pPr>
              <w:spacing w:after="0"/>
              <w:rPr>
                <w:sz w:val="20"/>
                <w:szCs w:val="20"/>
                <w:color w:val="auto"/>
              </w:rPr>
            </w:pPr>
            <w:r>
              <w:rPr>
                <w:rFonts w:ascii="Arial" w:cs="Arial" w:eastAsia="Arial" w:hAnsi="Arial"/>
                <w:sz w:val="17"/>
                <w:szCs w:val="17"/>
                <w:b w:val="1"/>
                <w:bCs w:val="1"/>
                <w:color w:val="auto"/>
              </w:rPr>
              <w:t>Realized and unrealized gain (loss) on investments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Realized (loss) on non-control/non-affiliate investments, including U.S. Treasury Bills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(199,223)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(6,717,262)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00" w:type="dxa"/>
            <w:vAlign w:val="bottom"/>
          </w:tcPr>
          <w:p>
            <w:pPr>
              <w:ind w:left="100"/>
              <w:spacing w:after="0" w:line="185" w:lineRule="exact"/>
              <w:rPr>
                <w:sz w:val="20"/>
                <w:szCs w:val="20"/>
                <w:color w:val="auto"/>
              </w:rPr>
            </w:pPr>
            <w:r>
              <w:rPr>
                <w:rFonts w:ascii="Arial" w:cs="Arial" w:eastAsia="Arial" w:hAnsi="Arial"/>
                <w:sz w:val="17"/>
                <w:szCs w:val="17"/>
                <w:color w:val="auto"/>
                <w:w w:val="97"/>
              </w:rPr>
              <w:t>Net change in unrealized (depreciation) on non-control/non-affiliate investments, including U.S.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7"/>
                <w:szCs w:val="17"/>
                <w:color w:val="auto"/>
              </w:rPr>
              <w:t>Treasury Bills</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(2,438,265)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(1,179,081)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change in unrealized appreciation on control/affiliate investments</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527,084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Net realized and unrealized (loss) on investments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(2,110,404)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(7,896,343)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00" w:type="dxa"/>
            <w:vAlign w:val="bottom"/>
          </w:tcPr>
          <w:p>
            <w:pPr>
              <w:spacing w:after="0"/>
              <w:rPr>
                <w:sz w:val="20"/>
                <w:szCs w:val="20"/>
                <w:color w:val="auto"/>
              </w:rPr>
            </w:pPr>
            <w:r>
              <w:rPr>
                <w:rFonts w:ascii="Arial" w:cs="Arial" w:eastAsia="Arial" w:hAnsi="Arial"/>
                <w:sz w:val="17"/>
                <w:szCs w:val="17"/>
                <w:b w:val="1"/>
                <w:bCs w:val="1"/>
                <w:color w:val="auto"/>
              </w:rPr>
              <w:t>Net increase in net assets resulting from operations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9,371,328</w:t>
            </w:r>
          </w:p>
        </w:tc>
        <w:tc>
          <w:tcPr>
            <w:tcW w:w="80" w:type="dxa"/>
            <w:vAlign w:val="bottom"/>
          </w:tcPr>
          <w:p>
            <w:pPr>
              <w:spacing w:after="0"/>
              <w:rPr>
                <w:sz w:val="21"/>
                <w:szCs w:val="21"/>
                <w:color w:val="auto"/>
              </w:rPr>
            </w:pPr>
          </w:p>
        </w:tc>
        <w:tc>
          <w:tcPr>
            <w:tcW w:w="2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1,747,244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00" w:type="dxa"/>
            <w:vAlign w:val="bottom"/>
          </w:tcPr>
          <w:p>
            <w:pPr>
              <w:spacing w:after="0"/>
              <w:rPr>
                <w:sz w:val="20"/>
                <w:szCs w:val="20"/>
                <w:color w:val="auto"/>
              </w:rPr>
            </w:pPr>
            <w:r>
              <w:rPr>
                <w:rFonts w:ascii="Arial" w:cs="Arial" w:eastAsia="Arial" w:hAnsi="Arial"/>
                <w:sz w:val="17"/>
                <w:szCs w:val="17"/>
                <w:color w:val="auto"/>
              </w:rPr>
              <w:t>Net increase in net assets resulting from operations per common share</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0.30</w:t>
            </w:r>
          </w:p>
        </w:tc>
        <w:tc>
          <w:tcPr>
            <w:tcW w:w="8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Net investment income per common share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7"/>
                <w:szCs w:val="17"/>
                <w:color w:val="auto"/>
              </w:rPr>
              <w:t>Weighted-average shares outstanding</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31,505,254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25,887,286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March 31, 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March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from operations</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11,481,732</w:t>
            </w:r>
          </w:p>
        </w:tc>
        <w:tc>
          <w:tcPr>
            <w:tcW w:w="8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9,643,587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non-control/non-affiliate investments, including U.S. Treasury Bills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(199,223)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tcPr>
          <w:p>
            <w:pPr>
              <w:spacing w:after="0" w:line="201" w:lineRule="exact"/>
              <w:rPr>
                <w:sz w:val="20"/>
                <w:szCs w:val="20"/>
                <w:color w:val="auto"/>
              </w:rPr>
            </w:pPr>
            <w:r>
              <w:rPr>
                <w:rFonts w:ascii="Arial" w:cs="Arial" w:eastAsia="Arial" w:hAnsi="Arial"/>
                <w:sz w:val="18"/>
                <w:szCs w:val="18"/>
                <w:color w:val="auto"/>
                <w:w w:val="93"/>
              </w:rPr>
              <w:t>Net change in unrealized (depreciation) on non-control/non-affiliate investments, including U.S.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Treasury Bills</w:t>
            </w:r>
          </w:p>
        </w:tc>
        <w:tc>
          <w:tcPr>
            <w:tcW w:w="1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(2,438,265)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(1,179,081)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on control/affiliate investments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9,371,328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1,747,244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Distributions to stockholders from:</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(11,623,199)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(10,324,486)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distributions to stockholders</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(11,623,199)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(10,324,486)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of common stock</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Issuance of shares of common stock under dividend reinvestment plan</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9,183,220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9,485,610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8,655,663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rPr>
          <w:sz w:val="20"/>
          <w:szCs w:val="20"/>
          <w:color w:val="auto"/>
        </w:rPr>
      </w:pPr>
      <w:r>
        <w:rPr>
          <w:rFonts w:ascii="Arial" w:cs="Arial" w:eastAsia="Arial" w:hAnsi="Arial"/>
          <w:sz w:val="18"/>
          <w:szCs w:val="18"/>
          <w:b w:val="1"/>
          <w:bCs w:val="1"/>
          <w:color w:val="auto"/>
        </w:rPr>
        <w:t>Total increase in net assets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Net assets at beginning of period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7,233,739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466,243,685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376,313,221</w:t>
            </w:r>
          </w:p>
        </w:tc>
      </w:tr>
      <w:tr>
        <w:trPr>
          <w:trHeight w:val="210"/>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473,477,424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376,391,642</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-325120</wp:posOffset>
            </wp:positionV>
            <wp:extent cx="629221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400" w:space="720"/>
            <w:col w:w="2800"/>
          </w:cols>
          <w:pgMar w:left="980" w:top="517" w:right="99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639,276</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596,153</w:t>
            </w:r>
          </w:p>
        </w:tc>
      </w:tr>
      <w:tr>
        <w:trPr>
          <w:trHeight w:val="216"/>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outstanding at beginning of 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31,414,051</w:t>
            </w:r>
          </w:p>
        </w:tc>
        <w:tc>
          <w:tcPr>
            <w:tcW w:w="1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25,811,214</w:t>
            </w:r>
          </w:p>
        </w:tc>
      </w:tr>
      <w:tr>
        <w:trPr>
          <w:trHeight w:val="209"/>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Shares outstanding at end of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32,053,327</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26,407,367</w:t>
            </w:r>
          </w:p>
        </w:tc>
      </w:tr>
      <w:tr>
        <w:trPr>
          <w:trHeight w:val="20"/>
        </w:trPr>
        <w:tc>
          <w:tcPr>
            <w:tcW w:w="7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1200" w:type="dxa"/>
            <w:vAlign w:val="bottom"/>
            <w:gridSpan w:val="3"/>
          </w:tcPr>
          <w:p>
            <w:pPr>
              <w:ind w:left="20"/>
              <w:spacing w:after="0"/>
              <w:rPr>
                <w:sz w:val="20"/>
                <w:szCs w:val="20"/>
                <w:color w:val="auto"/>
              </w:rPr>
            </w:pPr>
            <w:r>
              <w:rPr>
                <w:rFonts w:ascii="Arial" w:cs="Arial" w:eastAsia="Arial" w:hAnsi="Arial"/>
                <w:sz w:val="13"/>
                <w:szCs w:val="13"/>
                <w:b w:val="1"/>
                <w:bCs w:val="1"/>
                <w:color w:val="auto"/>
                <w:w w:val="90"/>
              </w:rPr>
              <w:t>Three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March 31, 2021</w:t>
            </w:r>
          </w:p>
        </w:tc>
        <w:tc>
          <w:tcPr>
            <w:tcW w:w="12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March 31,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Net increase in net assets resulting from operations</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9,371,328</w:t>
            </w:r>
          </w:p>
        </w:tc>
        <w:tc>
          <w:tcPr>
            <w:tcW w:w="2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1,747,244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3"/>
              </w:rPr>
              <w:t>Adjustments to reconcile net increase in net assets resulting from operations to net cash provided by (used</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 operating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(53,900,000)</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(34,749,725)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U.S. Treasury Bills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(24,999,969)</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(50,001,334)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Payment in-kind interest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(944,031)</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(517,930)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or repayments of investments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16,566,442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36,107,388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Sales or maturities of U.S. Treasury Bills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69,999,183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99,986,570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Realized loss on investments, including U.S. Treasury Bills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199,223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6,717,262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Net change in unrealized depreciation on investments, including U.S. Treasury Bills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1,911,181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1,179,081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fixed income premiums or accretion of discounts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(2,171,173)</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(2,171,574)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Amortization of deferred credit facility fees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115,846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Accrued interest receivable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279,653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accounts receivable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67,236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36,728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57,047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Payable for securities purchased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Accrued incentive fees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(916,726)</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623,808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Due to affiliate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(110,657)</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00"/>
              <w:spacing w:after="0"/>
              <w:rPr>
                <w:sz w:val="20"/>
                <w:szCs w:val="20"/>
                <w:color w:val="auto"/>
              </w:rPr>
            </w:pPr>
            <w:r>
              <w:rPr>
                <w:rFonts w:ascii="Arial" w:cs="Arial" w:eastAsia="Arial" w:hAnsi="Arial"/>
                <w:sz w:val="16"/>
                <w:szCs w:val="16"/>
                <w:color w:val="auto"/>
              </w:rPr>
              <w:t>Interest payable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256,032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(356,364)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46,921</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(507,001)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bottom w:val="single" w:sz="8" w:color="CCEEFF"/>
            </w:tcBorders>
          </w:tcPr>
          <w:p>
            <w:pPr>
              <w:ind w:left="32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15,807,217</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58,508,657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Borrowings under credit facilities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43,000,000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Repayments under credit facilities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(25,000,000)</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reverse repurchase agreements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24,874,914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49,751,199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Repayments of reverse repurchase agreements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(69,650,000)</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(74,593,802)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Dividends paid to stockholders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(2,439,979)</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(1,921,604)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Offering costs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(4,521)</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(45,068)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cash received from common stock issued</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306,911</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bottom w:val="single" w:sz="8" w:color="CCEEFF"/>
            </w:tcBorders>
          </w:tcPr>
          <w:p>
            <w:pPr>
              <w:ind w:left="320"/>
              <w:spacing w:after="0"/>
              <w:rPr>
                <w:sz w:val="20"/>
                <w:szCs w:val="20"/>
                <w:color w:val="auto"/>
              </w:rPr>
            </w:pPr>
            <w:r>
              <w:rPr>
                <w:rFonts w:ascii="Arial" w:cs="Arial" w:eastAsia="Arial" w:hAnsi="Arial"/>
                <w:sz w:val="16"/>
                <w:szCs w:val="16"/>
                <w:b w:val="1"/>
                <w:bCs w:val="1"/>
                <w:color w:val="auto"/>
              </w:rPr>
              <w:t>Net cash (used in) financing activities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(28,912,675)</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(87,493,967)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60" w:type="dxa"/>
            <w:vAlign w:val="bottom"/>
          </w:tcPr>
          <w:p>
            <w:pPr>
              <w:spacing w:after="0"/>
              <w:rPr>
                <w:sz w:val="20"/>
                <w:szCs w:val="20"/>
                <w:color w:val="auto"/>
              </w:rPr>
            </w:pPr>
            <w:r>
              <w:rPr>
                <w:rFonts w:ascii="Arial" w:cs="Arial" w:eastAsia="Arial" w:hAnsi="Arial"/>
                <w:sz w:val="16"/>
                <w:szCs w:val="16"/>
                <w:color w:val="auto"/>
              </w:rPr>
              <w:t>Net (decrease) in cash</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(13,105,458)</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(28,985,310)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14,886,246</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45,799,672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60" w:type="dxa"/>
            <w:vAlign w:val="bottom"/>
            <w:tcBorders>
              <w:bottom w:val="single" w:sz="8" w:color="CCEEFF"/>
            </w:tcBorders>
          </w:tcPr>
          <w:p>
            <w:pPr>
              <w:ind w:left="100"/>
              <w:spacing w:after="0"/>
              <w:rPr>
                <w:sz w:val="20"/>
                <w:szCs w:val="20"/>
                <w:color w:val="auto"/>
              </w:rPr>
            </w:pPr>
            <w:r>
              <w:rPr>
                <w:rFonts w:ascii="Arial" w:cs="Arial" w:eastAsia="Arial" w:hAnsi="Arial"/>
                <w:sz w:val="16"/>
                <w:szCs w:val="16"/>
                <w:b w:val="1"/>
                <w:bCs w:val="1"/>
                <w:color w:val="auto"/>
              </w:rPr>
              <w:t>Cash and cash equivalents at end of period</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1,780,788</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16,814,362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60" w:type="dxa"/>
            <w:vAlign w:val="bottom"/>
          </w:tcPr>
          <w:p>
            <w:pPr>
              <w:spacing w:after="0"/>
              <w:rPr>
                <w:sz w:val="20"/>
                <w:szCs w:val="20"/>
                <w:color w:val="auto"/>
              </w:rPr>
            </w:pPr>
            <w:r>
              <w:rPr>
                <w:rFonts w:ascii="Arial" w:cs="Arial" w:eastAsia="Arial" w:hAnsi="Arial"/>
                <w:sz w:val="16"/>
                <w:szCs w:val="16"/>
                <w:b w:val="1"/>
                <w:bCs w:val="1"/>
                <w:color w:val="auto"/>
              </w:rPr>
              <w:t>Supplemental and non-cash financing cash flow information: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Taxes paid</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Interest paid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471,883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520,776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Non-cash portfolio purchases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648,744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23,959,450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tcPr>
          <w:p>
            <w:pPr>
              <w:ind w:left="100"/>
              <w:spacing w:after="0"/>
              <w:rPr>
                <w:sz w:val="20"/>
                <w:szCs w:val="20"/>
                <w:color w:val="auto"/>
              </w:rPr>
            </w:pPr>
            <w:r>
              <w:rPr>
                <w:rFonts w:ascii="Arial" w:cs="Arial" w:eastAsia="Arial" w:hAnsi="Arial"/>
                <w:sz w:val="16"/>
                <w:szCs w:val="16"/>
                <w:color w:val="auto"/>
              </w:rPr>
              <w:t>Non-cash dividend reinvestments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9,183,220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8,385,423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4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tcBorders>
              <w:top w:val="single" w:sz="8" w:color="auto"/>
              <w:bottom w:val="single" w:sz="8" w:color="auto"/>
            </w:tcBorders>
            <w:gridSpan w:val="4"/>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Control/affiliate investments</w:t>
            </w:r>
          </w:p>
        </w:tc>
        <w:tc>
          <w:tcPr>
            <w:tcW w:w="1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w w:val="89"/>
              </w:rPr>
              <w:t>(14)</w:t>
            </w: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1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3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w w:val="97"/>
              </w:rPr>
              <w:t>Senior Secured Term Loans</w:t>
            </w:r>
            <w:r>
              <w:rPr>
                <w:rFonts w:ascii="Arial" w:cs="Arial" w:eastAsia="Arial" w:hAnsi="Arial"/>
                <w:sz w:val="10"/>
                <w:szCs w:val="10"/>
                <w:b w:val="1"/>
                <w:bCs w:val="1"/>
                <w:color w:val="auto"/>
                <w:w w:val="97"/>
              </w:rPr>
              <w:t>(13)</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Mojix,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LIBOR+12.00% PIK,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12.00% floor, 5% ETP, due 5/15/2021</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5/16/2017</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6,519,240</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6,502,036</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5,279,896</w:t>
            </w: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1.12 %</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LIBOR+12.00% PIK,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80" w:type="dxa"/>
            <w:vAlign w:val="bottom"/>
            <w:gridSpan w:val="3"/>
          </w:tcPr>
          <w:p>
            <w:pPr>
              <w:ind w:left="80"/>
              <w:spacing w:after="0" w:line="157" w:lineRule="exact"/>
              <w:rPr>
                <w:sz w:val="20"/>
                <w:szCs w:val="20"/>
                <w:color w:val="auto"/>
              </w:rPr>
            </w:pPr>
            <w:r>
              <w:rPr>
                <w:rFonts w:ascii="Arial" w:cs="Arial" w:eastAsia="Arial" w:hAnsi="Arial"/>
                <w:sz w:val="14"/>
                <w:szCs w:val="14"/>
                <w:color w:val="auto"/>
              </w:rPr>
              <w:t>12.00% floor, 5% ETP, due 5/15/2021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8/3/2017</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2,173,080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2,170,069</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1,759,966</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0.37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gridSpan w:val="2"/>
          </w:tcPr>
          <w:p>
            <w:pPr>
              <w:ind w:left="80"/>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III: LIBOR+12.00% PIK,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12.00% floor, 5% ETP, due 5/15/2021</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7/6/2018</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542,721</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543,783</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439,547</w:t>
            </w: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IV: LIBOR+12.00% PIK,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80" w:type="dxa"/>
            <w:vAlign w:val="bottom"/>
            <w:gridSpan w:val="3"/>
          </w:tcPr>
          <w:p>
            <w:pPr>
              <w:ind w:left="80"/>
              <w:spacing w:after="0" w:line="157" w:lineRule="exact"/>
              <w:rPr>
                <w:sz w:val="20"/>
                <w:szCs w:val="20"/>
                <w:color w:val="auto"/>
              </w:rPr>
            </w:pPr>
            <w:r>
              <w:rPr>
                <w:rFonts w:ascii="Arial" w:cs="Arial" w:eastAsia="Arial" w:hAnsi="Arial"/>
                <w:sz w:val="14"/>
                <w:szCs w:val="14"/>
                <w:color w:val="auto"/>
              </w:rPr>
              <w:t>12.00% floor, 5% ETP, due 5/15/2021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9/5/2018</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541,964</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542,215</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438,933</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gridSpan w:val="2"/>
          </w:tcPr>
          <w:p>
            <w:pPr>
              <w:ind w:left="80"/>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V: LIBOR+12.00% PIK,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12.00% floor, 5% ETP, due 5/15/2021</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1/28/2019</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1,079,293</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1,073,081</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874,098</w:t>
            </w: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VI: LIBOR+12.00% PIK,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80" w:type="dxa"/>
            <w:vAlign w:val="bottom"/>
            <w:gridSpan w:val="3"/>
          </w:tcPr>
          <w:p>
            <w:pPr>
              <w:ind w:left="80"/>
              <w:spacing w:after="0" w:line="157" w:lineRule="exact"/>
              <w:rPr>
                <w:sz w:val="20"/>
                <w:szCs w:val="20"/>
                <w:color w:val="auto"/>
              </w:rPr>
            </w:pPr>
            <w:r>
              <w:rPr>
                <w:rFonts w:ascii="Arial" w:cs="Arial" w:eastAsia="Arial" w:hAnsi="Arial"/>
                <w:sz w:val="14"/>
                <w:szCs w:val="14"/>
                <w:color w:val="auto"/>
              </w:rPr>
              <w:t>12.00% floor, 5% ETP, due 4/30/2021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4"/>
              </w:rPr>
              <w:t>12/18/2019</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1,034,143</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1,034,143</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837,541</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gridSpan w:val="2"/>
          </w:tcPr>
          <w:p>
            <w:pPr>
              <w:ind w:left="80"/>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VII: LIBOR+12.00% PIK,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xml:space="preserve">12.00% floor, due 4/30/21 </w:t>
            </w:r>
            <w:r>
              <w:rPr>
                <w:rFonts w:ascii="Arial" w:cs="Arial" w:eastAsia="Arial" w:hAnsi="Arial"/>
                <w:sz w:val="10"/>
                <w:szCs w:val="10"/>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2/11/2021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505,444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gridSpan w:val="6"/>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40" w:type="dxa"/>
            <w:vAlign w:val="bottom"/>
            <w:gridSpan w:val="8"/>
          </w:tcPr>
          <w:p>
            <w:pPr>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12,365,327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10,135,425</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Preferred Stocks</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Mojix,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Series A-1 Preferred Stock </w:t>
            </w:r>
            <w:r>
              <w:rPr>
                <w:rFonts w:ascii="Arial" w:cs="Arial" w:eastAsia="Arial" w:hAnsi="Arial"/>
                <w:sz w:val="10"/>
                <w:szCs w:val="10"/>
                <w:color w:val="auto"/>
              </w:rPr>
              <w:t>(7)</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12/14/2020</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67,114,092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737,513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tcPr>
          <w:p>
            <w:pPr>
              <w:spacing w:after="0" w:line="130" w:lineRule="exact"/>
              <w:rPr>
                <w:sz w:val="20"/>
                <w:szCs w:val="20"/>
                <w:color w:val="auto"/>
              </w:rPr>
            </w:pPr>
            <w:r>
              <w:rPr>
                <w:rFonts w:ascii="Arial" w:cs="Arial" w:eastAsia="Arial" w:hAnsi="Arial"/>
                <w:sz w:val="14"/>
                <w:szCs w:val="14"/>
                <w:color w:val="auto"/>
              </w:rPr>
              <w:t>Mojix,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w w:val="94"/>
              </w:rPr>
              <w:t>12/14/2020</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w w:val="98"/>
              </w:rPr>
              <w:t>price $1.286/share, expires 12/13/2030</w:t>
            </w:r>
          </w:p>
        </w:tc>
        <w:tc>
          <w:tcPr>
            <w:tcW w:w="7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2,349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119,320</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12/14/2020</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4"/>
              </w:rPr>
              <w:t>price $2.1286/share, expires 12/13/2030</w:t>
            </w:r>
          </w:p>
        </w:tc>
        <w:tc>
          <w:tcPr>
            <w:tcW w:w="7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5,873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298,325</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w w:val="94"/>
              </w:rPr>
              <w:t>12/14/2020</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price $5.57338/share,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rPr>
              <w:t>12/13/2030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394,733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828,522</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Borders>
              <w:top w:val="single" w:sz="8" w:color="CCEEFF"/>
            </w:tcBorders>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1,246,167</w:t>
            </w: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6"/>
          </w:tcPr>
          <w:p>
            <w:pPr>
              <w:spacing w:after="0" w:line="115" w:lineRule="exact"/>
              <w:rPr>
                <w:sz w:val="20"/>
                <w:szCs w:val="20"/>
                <w:color w:val="auto"/>
              </w:rPr>
            </w:pPr>
            <w:r>
              <w:rPr>
                <w:rFonts w:ascii="Arial" w:cs="Arial" w:eastAsia="Arial" w:hAnsi="Arial"/>
                <w:sz w:val="13"/>
                <w:szCs w:val="13"/>
                <w:b w:val="1"/>
                <w:bCs w:val="1"/>
                <w:color w:val="auto"/>
              </w:rPr>
              <w:t>Total Control/affiliate</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14,411,494</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10,872,938</w:t>
            </w: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tcBorders>
              <w:top w:val="single" w:sz="8" w:color="CCEEFF"/>
            </w:tcBorders>
            <w:gridSpan w:val="6"/>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Non-control/non-affiliate</w:t>
            </w:r>
          </w:p>
        </w:tc>
        <w:tc>
          <w:tcPr>
            <w:tcW w:w="8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3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3"/>
              </w:rPr>
              <w:t>investments</w:t>
            </w:r>
          </w:p>
        </w:tc>
        <w:tc>
          <w:tcPr>
            <w:tcW w:w="80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50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Corporate Bond</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w w:val="97"/>
              </w:rPr>
              <w:t>TriplePoint Venture Growth BDC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Specialty Finance</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Bonds, 5.75% Interest rate, due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Corp.</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xml:space="preserve">7/15/2022 </w:t>
            </w:r>
            <w:r>
              <w:rPr>
                <w:rFonts w:ascii="Arial" w:cs="Arial" w:eastAsia="Arial" w:hAnsi="Arial"/>
                <w:sz w:val="10"/>
                <w:szCs w:val="10"/>
                <w:color w:val="auto"/>
              </w:rPr>
              <w:t>(3)</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13,227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253,095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334,650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Senior Secured Term Loans</w:t>
            </w:r>
            <w:r>
              <w:rPr>
                <w:rFonts w:ascii="Arial" w:cs="Arial" w:eastAsia="Arial" w:hAnsi="Arial"/>
                <w:sz w:val="10"/>
                <w:szCs w:val="10"/>
                <w:b w:val="1"/>
                <w:bCs w:val="1"/>
                <w:color w:val="auto"/>
                <w:w w:val="97"/>
              </w:rPr>
              <w:t>(13)</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6"/>
          </w:tcPr>
          <w:p>
            <w:pPr>
              <w:spacing w:after="0" w:line="130" w:lineRule="exact"/>
              <w:rPr>
                <w:sz w:val="20"/>
                <w:szCs w:val="20"/>
                <w:color w:val="auto"/>
              </w:rPr>
            </w:pPr>
            <w:r>
              <w:rPr>
                <w:rFonts w:ascii="Arial" w:cs="Arial" w:eastAsia="Arial" w:hAnsi="Arial"/>
                <w:sz w:val="14"/>
                <w:szCs w:val="14"/>
                <w:color w:val="auto"/>
              </w:rPr>
              <w:t>Aria Systems,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LIBOR+9.00%, 11.35%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4.50% ETP, due 12/15/2021</w:t>
            </w:r>
          </w:p>
        </w:tc>
        <w:tc>
          <w:tcPr>
            <w:tcW w:w="720" w:type="dxa"/>
            <w:vAlign w:val="bottom"/>
          </w:tcPr>
          <w:p>
            <w:pPr>
              <w:jc w:val="right"/>
              <w:spacing w:after="0"/>
              <w:rPr>
                <w:sz w:val="20"/>
                <w:szCs w:val="20"/>
                <w:color w:val="auto"/>
              </w:rPr>
            </w:pPr>
            <w:r>
              <w:rPr>
                <w:rFonts w:ascii="Arial" w:cs="Arial" w:eastAsia="Arial" w:hAnsi="Arial"/>
                <w:sz w:val="14"/>
                <w:szCs w:val="14"/>
                <w:color w:val="auto"/>
              </w:rPr>
              <w:t>6/29/2018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25,000,000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25,709,297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26,334,943</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4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(13)</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(continued)</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LIBOR+9.00%, 11.35%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4.50% ETP, due 12/15/2021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2,500,000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2,312,176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2,633,494</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1"/>
              </w:rPr>
              <w:t>0.56 %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Allurion Technologies,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LIBOR+9.05%, 9.50% floor, 3.00%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Technology</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3/30/2025</w:t>
            </w:r>
          </w:p>
        </w:tc>
        <w:tc>
          <w:tcPr>
            <w:tcW w:w="720" w:type="dxa"/>
            <w:vAlign w:val="bottom"/>
          </w:tcPr>
          <w:p>
            <w:pPr>
              <w:jc w:val="right"/>
              <w:spacing w:after="0"/>
              <w:rPr>
                <w:sz w:val="20"/>
                <w:szCs w:val="20"/>
                <w:color w:val="auto"/>
              </w:rPr>
            </w:pPr>
            <w:r>
              <w:rPr>
                <w:rFonts w:ascii="Arial" w:cs="Arial" w:eastAsia="Arial" w:hAnsi="Arial"/>
                <w:sz w:val="14"/>
                <w:szCs w:val="14"/>
                <w:color w:val="auto"/>
              </w:rPr>
              <w:t>3/30/2021</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15,000,000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14,804,573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14,804,573</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Bombora,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w w:val="97"/>
              </w:rPr>
              <w:t>LIBOR+5.00%, 5.50% floor, 3.75%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and Services</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xml:space="preserve">PIK, 2.00% ETP, due 3/31/2025 </w:t>
            </w:r>
            <w:r>
              <w:rPr>
                <w:rFonts w:ascii="Arial" w:cs="Arial" w:eastAsia="Arial" w:hAnsi="Arial"/>
                <w:sz w:val="10"/>
                <w:szCs w:val="10"/>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19,626,043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19,626,043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Brilliant Earth, LLC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Retail</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9"/>
              </w:rPr>
              <w:t>Tranche I: LIBOR+8.25%, 9.25% floor,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4.50% ETP, due 10/15/2023</w:t>
            </w:r>
          </w:p>
        </w:tc>
        <w:tc>
          <w:tcPr>
            <w:tcW w:w="720" w:type="dxa"/>
            <w:vAlign w:val="bottom"/>
          </w:tcPr>
          <w:p>
            <w:pPr>
              <w:jc w:val="right"/>
              <w:spacing w:after="0"/>
              <w:rPr>
                <w:sz w:val="20"/>
                <w:szCs w:val="20"/>
                <w:color w:val="auto"/>
              </w:rPr>
            </w:pPr>
            <w:r>
              <w:rPr>
                <w:rFonts w:ascii="Arial" w:cs="Arial" w:eastAsia="Arial" w:hAnsi="Arial"/>
                <w:sz w:val="14"/>
                <w:szCs w:val="14"/>
                <w:color w:val="auto"/>
              </w:rPr>
              <w:t>9/30/2019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35,000,000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34,911,060</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34,735,418</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LIBOR+8.25%, 9.25%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0.75% ETP, due 10/15/2023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12/17/2020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29,786,032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29,773,215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6.29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Circadence Corporation</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LIBOR+9.50%, 12.00% floor, 7.50%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12/15/2022</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12/20/2018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17,400,000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16,792,218</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15,807,865</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CloudPassage,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Data Processing &amp;</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LIBOR+7.50%, 1.00% PIK, 10.00%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Outsourced</w:t>
            </w:r>
          </w:p>
        </w:tc>
        <w:tc>
          <w:tcPr>
            <w:tcW w:w="24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 xml:space="preserve">floor, 2.75% ETP, due 6/13/2023 </w:t>
            </w:r>
            <w:r>
              <w:rPr>
                <w:rFonts w:ascii="Arial" w:cs="Arial" w:eastAsia="Arial" w:hAnsi="Arial"/>
                <w:sz w:val="10"/>
                <w:szCs w:val="10"/>
                <w:color w:val="auto"/>
              </w:rPr>
              <w:t>(4)</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7,634,680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7,609,245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7,355,361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CloudPay Solutions Ltd.</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3"/>
              </w:rPr>
              <w:t>Human Resource &amp;</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LIBOR+9.50%, 1.25% PIK, 11.25%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Employment</w:t>
            </w:r>
          </w:p>
        </w:tc>
        <w:tc>
          <w:tcPr>
            <w:tcW w:w="248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7"/>
              </w:rPr>
              <w:t xml:space="preserve">floor, 3.00% ETP, due 12/15/2023 </w:t>
            </w:r>
            <w:r>
              <w:rPr>
                <w:rFonts w:ascii="Arial" w:cs="Arial" w:eastAsia="Arial" w:hAnsi="Arial"/>
                <w:sz w:val="10"/>
                <w:szCs w:val="10"/>
                <w:color w:val="auto"/>
                <w:w w:val="97"/>
              </w:rPr>
              <w:t>(3),(4),</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2400" w:type="dxa"/>
            <w:vAlign w:val="bottom"/>
            <w:gridSpan w:val="2"/>
          </w:tcPr>
          <w:p>
            <w:pPr>
              <w:ind w:left="80"/>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25,224,849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24,950,842</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24,950,841</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Credit Sesame,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Specialized</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LIBOR+8.35%, 10.25%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3"/>
              </w:rPr>
              <w:t>Consumer Services</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2.50% ETP, due 12/15/2023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34,860,569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34,700,379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7.33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9"/>
              </w:rPr>
              <w:t>Tranche II: LIBOR+8.35% , 2.00% PIK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on overadvance, 10.25% floor, due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rPr>
              <w:t xml:space="preserve">5/15/2023 </w:t>
            </w:r>
            <w:r>
              <w:rPr>
                <w:rFonts w:ascii="Arial" w:cs="Arial" w:eastAsia="Arial" w:hAnsi="Arial"/>
                <w:sz w:val="10"/>
                <w:szCs w:val="10"/>
                <w:color w:val="auto"/>
              </w:rPr>
              <w:t>(4)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9,518,477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9,518,477</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9,436,993</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LIBOR+9.15%, 11.50% floor, 5.13%</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11/15/2021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4,270,732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4,615,437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4,615,438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0.97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Echo 360 Holdings,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5"/>
              </w:rPr>
              <w:t>Education Services</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LIBOR+9.25%, 12.05%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4.00% ETP, due 5/3/2023</w:t>
            </w:r>
          </w:p>
        </w:tc>
        <w:tc>
          <w:tcPr>
            <w:tcW w:w="720" w:type="dxa"/>
            <w:vAlign w:val="bottom"/>
          </w:tcPr>
          <w:p>
            <w:pPr>
              <w:jc w:val="right"/>
              <w:spacing w:after="0"/>
              <w:rPr>
                <w:sz w:val="20"/>
                <w:szCs w:val="20"/>
                <w:color w:val="auto"/>
              </w:rPr>
            </w:pPr>
            <w:r>
              <w:rPr>
                <w:rFonts w:ascii="Arial" w:cs="Arial" w:eastAsia="Arial" w:hAnsi="Arial"/>
                <w:sz w:val="14"/>
                <w:szCs w:val="14"/>
                <w:color w:val="auto"/>
              </w:rPr>
              <w:t>5/3/2019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14,000,000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14,149,393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14,343,811</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LIBOR+9.25%, 12.05%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4.00% ETP, due 5/3/2023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3,042,415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3,073,674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0.65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FiscalNote,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LIBOR+9.25%, 9.75% floor, 5.00%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8/21/2023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10/19/2020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45,000,000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44,603,113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44,603,113</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9.42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LIBOR+8.75%, 9.25% floor, 3.50%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29,246,515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29,246,515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6.18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LIBOR+8.00%, 10.50%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and Services</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2.50% ETP, due 7/15/2023</w:t>
            </w:r>
          </w:p>
        </w:tc>
        <w:tc>
          <w:tcPr>
            <w:tcW w:w="720" w:type="dxa"/>
            <w:vAlign w:val="bottom"/>
          </w:tcPr>
          <w:p>
            <w:pPr>
              <w:jc w:val="right"/>
              <w:spacing w:after="0"/>
              <w:rPr>
                <w:sz w:val="20"/>
                <w:szCs w:val="20"/>
                <w:color w:val="auto"/>
              </w:rPr>
            </w:pPr>
            <w:r>
              <w:rPr>
                <w:rFonts w:ascii="Arial" w:cs="Arial" w:eastAsia="Arial" w:hAnsi="Arial"/>
                <w:sz w:val="14"/>
                <w:szCs w:val="14"/>
                <w:color w:val="auto"/>
              </w:rPr>
              <w:t>7/26/2019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19,975,751</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19,891,607</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LIBOR+8.00%, 10.50%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2.50% ETP, due 7/15/2023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9,861,659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9,945,803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LIBOR+8.75%, 10.75% floor, 3.00%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40" w:type="dxa"/>
            <w:vAlign w:val="bottom"/>
            <w:gridSpan w:val="4"/>
          </w:tcPr>
          <w:p>
            <w:pPr>
              <w:spacing w:after="0"/>
              <w:rPr>
                <w:sz w:val="20"/>
                <w:szCs w:val="20"/>
                <w:color w:val="auto"/>
              </w:rPr>
            </w:pPr>
            <w:r>
              <w:rPr>
                <w:rFonts w:ascii="Arial" w:cs="Arial" w:eastAsia="Arial" w:hAnsi="Arial"/>
                <w:sz w:val="14"/>
                <w:szCs w:val="14"/>
                <w:color w:val="auto"/>
              </w:rPr>
              <w:t>JW Player)</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and Services</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6/15/2023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30,116,130</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30,409,640</w:t>
            </w:r>
          </w:p>
        </w:tc>
        <w:tc>
          <w:tcPr>
            <w:tcW w:w="80" w:type="dxa"/>
            <w:vAlign w:val="bottom"/>
          </w:tcPr>
          <w:p>
            <w:pPr>
              <w:spacing w:after="0"/>
              <w:rPr>
                <w:sz w:val="15"/>
                <w:szCs w:val="15"/>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(13)</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(continued)</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Computer &amp;</w:t>
            </w: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LIBOR+8.25%, 10.65%</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9"/>
              </w:rPr>
              <w:t>Electronics Retail</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4.00% ETP, due 1/15/2023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$ 18,474,451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18,699,093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18,478,994</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3.90 %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LIBOR+8.25%, 10.65%</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floor, due 1/15/2023</w:t>
            </w:r>
          </w:p>
        </w:tc>
        <w:tc>
          <w:tcPr>
            <w:tcW w:w="700" w:type="dxa"/>
            <w:vAlign w:val="bottom"/>
          </w:tcPr>
          <w:p>
            <w:pPr>
              <w:jc w:val="right"/>
              <w:spacing w:after="0"/>
              <w:rPr>
                <w:sz w:val="20"/>
                <w:szCs w:val="20"/>
                <w:color w:val="auto"/>
              </w:rPr>
            </w:pPr>
            <w:r>
              <w:rPr>
                <w:rFonts w:ascii="Arial" w:cs="Arial" w:eastAsia="Arial" w:hAnsi="Arial"/>
                <w:sz w:val="14"/>
                <w:szCs w:val="14"/>
                <w:color w:val="auto"/>
              </w:rPr>
              <w:t>2/23/2021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5"/>
              </w:rPr>
              <w:t>Mingle Healthcare Solutions,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LIBOR+9.50%, 11.75% floor, 10.00%</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8/15/2022</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8/15/2018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3,951,755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4,287,264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4,249,710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Pivot3 Holdings, Inc.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3"/>
              </w:rPr>
              <w:t>Data Processing &amp;</w:t>
            </w: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LIBOR+8.50% PIK,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Outsourced</w:t>
            </w:r>
          </w:p>
        </w:tc>
        <w:tc>
          <w:tcPr>
            <w:tcW w:w="24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11.00% floor, 4.00% ETP, due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 xml:space="preserve">11/15/2022 </w:t>
            </w:r>
            <w:r>
              <w:rPr>
                <w:rFonts w:ascii="Arial" w:cs="Arial" w:eastAsia="Arial" w:hAnsi="Arial"/>
                <w:sz w:val="10"/>
                <w:szCs w:val="10"/>
                <w:color w:val="auto"/>
              </w:rPr>
              <w:t>(4)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5/13/2019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21,973,444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22,333,830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20,112,292</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LIBOR+8.50% PIK,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xml:space="preserve">11.00% floor, due 11/15/2022 </w:t>
            </w:r>
            <w:r>
              <w:rPr>
                <w:rFonts w:ascii="Arial" w:cs="Arial" w:eastAsia="Arial" w:hAnsi="Arial"/>
                <w:sz w:val="10"/>
                <w:szCs w:val="10"/>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1,051,157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1,051,157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963,706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III: LIBOR+8.50% PIK,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11.00% floor, 4.00% ETP, due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 xml:space="preserve">11/15/2022 </w:t>
            </w:r>
            <w:r>
              <w:rPr>
                <w:rFonts w:ascii="Arial" w:cs="Arial" w:eastAsia="Arial" w:hAnsi="Arial"/>
                <w:sz w:val="10"/>
                <w:szCs w:val="10"/>
                <w:color w:val="auto"/>
              </w:rPr>
              <w:t>(4)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3/30/2021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500,106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471,124</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LIBOR+8.00%, 8.55% floor, 4.99%</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xml:space="preserve">ETP, due 12/15/2024 </w:t>
            </w:r>
            <w:r>
              <w:rPr>
                <w:rFonts w:ascii="Arial" w:cs="Arial" w:eastAsia="Arial" w:hAnsi="Arial"/>
                <w:sz w:val="10"/>
                <w:szCs w:val="10"/>
                <w:color w:val="auto"/>
              </w:rPr>
              <w:t>(3), (15)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40,394,947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40,388,536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40,388,536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ShareThis, Inc.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3"/>
              </w:rPr>
              <w:t>Data Processing &amp;</w:t>
            </w: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LIBOR+9.25%, 11.60%</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Outsourced</w:t>
            </w:r>
          </w:p>
        </w:tc>
        <w:tc>
          <w:tcPr>
            <w:tcW w:w="24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floor, 3.00% ETP, due 7/15/2023</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12/3/2018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19,250,000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18,982,163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18,982,162</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LIBOR+9.25%, 11.60%</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3.00% ETP, due 7/15/2023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736,128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736,128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III: LIBOR+9.25%, 11.60%</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floor, 3.00% ETP, due 7/15/2023</w:t>
            </w:r>
          </w:p>
        </w:tc>
        <w:tc>
          <w:tcPr>
            <w:tcW w:w="700" w:type="dxa"/>
            <w:vAlign w:val="bottom"/>
          </w:tcPr>
          <w:p>
            <w:pPr>
              <w:jc w:val="right"/>
              <w:spacing w:after="0"/>
              <w:rPr>
                <w:sz w:val="20"/>
                <w:szCs w:val="20"/>
                <w:color w:val="auto"/>
              </w:rPr>
            </w:pPr>
            <w:r>
              <w:rPr>
                <w:rFonts w:ascii="Arial" w:cs="Arial" w:eastAsia="Arial" w:hAnsi="Arial"/>
                <w:sz w:val="14"/>
                <w:szCs w:val="14"/>
                <w:color w:val="auto"/>
              </w:rPr>
              <w:t>7/24/2019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973,902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973,902</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IV: LIBOR+8.25%, 10.60%</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3.00% ETP, due 7/15/2023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1,002,240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1,002,240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The Kairn Corporation</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LIBOR+9.50% PIK,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 xml:space="preserve">10.81% floor, due 12/15/2022 </w:t>
            </w:r>
            <w:r>
              <w:rPr>
                <w:rFonts w:ascii="Arial" w:cs="Arial" w:eastAsia="Arial" w:hAnsi="Arial"/>
                <w:sz w:val="10"/>
                <w:szCs w:val="10"/>
                <w:color w:val="auto"/>
              </w:rPr>
              <w:t>(4)</w:t>
            </w:r>
          </w:p>
        </w:tc>
        <w:tc>
          <w:tcPr>
            <w:tcW w:w="700" w:type="dxa"/>
            <w:vAlign w:val="bottom"/>
          </w:tcPr>
          <w:p>
            <w:pPr>
              <w:jc w:val="right"/>
              <w:spacing w:after="0"/>
              <w:rPr>
                <w:sz w:val="20"/>
                <w:szCs w:val="20"/>
                <w:color w:val="auto"/>
              </w:rPr>
            </w:pPr>
            <w:r>
              <w:rPr>
                <w:rFonts w:ascii="Arial" w:cs="Arial" w:eastAsia="Arial" w:hAnsi="Arial"/>
                <w:sz w:val="14"/>
                <w:szCs w:val="14"/>
                <w:color w:val="auto"/>
              </w:rPr>
              <w:t>3/24/2020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1,063,251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1,063,251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1,063,251</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Fixed 6.50% PIK, due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xml:space="preserve">3/9/2027 </w:t>
            </w:r>
            <w:r>
              <w:rPr>
                <w:rFonts w:ascii="Arial" w:cs="Arial" w:eastAsia="Arial" w:hAnsi="Arial"/>
                <w:sz w:val="10"/>
                <w:szCs w:val="10"/>
                <w:color w:val="auto"/>
              </w:rPr>
              <w:t>(4)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4,256,355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4,256,355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4,256,355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VERO Biotech LLC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LIBOR+9.05%, 9.55%</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Technology</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floor, 3.00% ETP, due 12/1/2024</w:t>
            </w:r>
          </w:p>
        </w:tc>
        <w:tc>
          <w:tcPr>
            <w:tcW w:w="700" w:type="dxa"/>
            <w:vAlign w:val="bottom"/>
          </w:tcPr>
          <w:p>
            <w:pPr>
              <w:jc w:val="right"/>
              <w:spacing w:after="0"/>
              <w:rPr>
                <w:sz w:val="20"/>
                <w:szCs w:val="20"/>
                <w:color w:val="auto"/>
              </w:rPr>
            </w:pPr>
            <w:r>
              <w:rPr>
                <w:rFonts w:ascii="Arial" w:cs="Arial" w:eastAsia="Arial" w:hAnsi="Arial"/>
                <w:sz w:val="14"/>
                <w:szCs w:val="14"/>
                <w:color w:val="auto"/>
                <w:w w:val="91"/>
              </w:rPr>
              <w:t>12/29/2020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24,368,716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24,368,716</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LIBOR+9.05%, 9.55%</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3.00% ETP, due 12/1/2024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3/30/2021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14,857,746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14,857,746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gridSpan w:val="3"/>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2"/>
              </w:rPr>
              <w:t>531,991,432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529,193,588</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7"/>
              </w:rPr>
              <w:t>111.77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Preferred Stocks</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Series G Preferred Stock </w:t>
            </w:r>
            <w:r>
              <w:rPr>
                <w:rFonts w:ascii="Arial" w:cs="Arial" w:eastAsia="Arial" w:hAnsi="Arial"/>
                <w:sz w:val="10"/>
                <w:szCs w:val="10"/>
                <w:color w:val="auto"/>
              </w:rPr>
              <w:t>(7)</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7/10/2018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289,419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369,620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CareCloud, Inc.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1"/>
                <w:szCs w:val="11"/>
                <w:color w:val="auto"/>
              </w:rPr>
            </w:pPr>
          </w:p>
        </w:tc>
        <w:tc>
          <w:tcPr>
            <w:tcW w:w="238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5"/>
              </w:rPr>
              <w:t>11% Series A Cumulative Redeemable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Technology</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 xml:space="preserve">Perpetual Preferred Stock </w:t>
            </w:r>
            <w:r>
              <w:rPr>
                <w:rFonts w:ascii="Arial" w:cs="Arial" w:eastAsia="Arial" w:hAnsi="Arial"/>
                <w:sz w:val="10"/>
                <w:szCs w:val="10"/>
                <w:color w:val="auto"/>
              </w:rPr>
              <w:t>(15),(16)</w:t>
            </w:r>
          </w:p>
        </w:tc>
        <w:tc>
          <w:tcPr>
            <w:tcW w:w="700" w:type="dxa"/>
            <w:vAlign w:val="bottom"/>
          </w:tcPr>
          <w:p>
            <w:pPr>
              <w:jc w:val="right"/>
              <w:spacing w:after="0"/>
              <w:rPr>
                <w:sz w:val="20"/>
                <w:szCs w:val="20"/>
                <w:color w:val="auto"/>
              </w:rPr>
            </w:pPr>
            <w:r>
              <w:rPr>
                <w:rFonts w:ascii="Arial" w:cs="Arial" w:eastAsia="Arial" w:hAnsi="Arial"/>
                <w:sz w:val="14"/>
                <w:szCs w:val="14"/>
                <w:color w:val="auto"/>
              </w:rPr>
              <w:t>1/8/2020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760,000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18,687,450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15,678,076</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Pivot3 Holdings,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3"/>
              </w:rPr>
              <w:t>Data Processing &amp;</w:t>
            </w: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 xml:space="preserve">Series 1 Preferred Stock </w:t>
            </w:r>
            <w:r>
              <w:rPr>
                <w:rFonts w:ascii="Arial" w:cs="Arial" w:eastAsia="Arial" w:hAnsi="Arial"/>
                <w:sz w:val="10"/>
                <w:szCs w:val="10"/>
                <w:color w:val="auto"/>
              </w:rPr>
              <w:t>(7)</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Outsourced</w:t>
            </w:r>
          </w:p>
        </w:tc>
        <w:tc>
          <w:tcPr>
            <w:tcW w:w="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1/27/2021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2,675,585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1,949,567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20,937,450</w:t>
            </w:r>
          </w:p>
        </w:tc>
        <w:tc>
          <w:tcPr>
            <w:tcW w:w="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17,997,263</w:t>
            </w:r>
          </w:p>
        </w:tc>
        <w:tc>
          <w:tcPr>
            <w:tcW w:w="8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14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3"/>
              </w:rPr>
              <w:t>Investment Description</w:t>
            </w:r>
            <w:r>
              <w:rPr>
                <w:rFonts w:ascii="Arial" w:cs="Arial" w:eastAsia="Arial" w:hAnsi="Arial"/>
                <w:sz w:val="10"/>
                <w:szCs w:val="10"/>
                <w:b w:val="1"/>
                <w:bCs w:val="1"/>
                <w:color w:val="auto"/>
                <w:w w:val="93"/>
              </w:rPr>
              <w:t>(1),(5),(10)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4"/>
                <w:szCs w:val="14"/>
                <w:b w:val="1"/>
                <w:bCs w:val="1"/>
                <w:color w:val="auto"/>
              </w:rPr>
              <w:t>Date</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1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1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1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10"/>
                <w:szCs w:val="10"/>
                <w:color w:val="auto"/>
              </w:rPr>
              <w:t>(3),(15)</w:t>
            </w:r>
          </w:p>
        </w:tc>
        <w:tc>
          <w:tcPr>
            <w:tcW w:w="100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12/23/2020</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38,079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118,100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673,998</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0.14 %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Ouster,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Technology</w:t>
            </w:r>
          </w:p>
        </w:tc>
        <w:tc>
          <w:tcPr>
            <w:tcW w:w="80" w:type="dxa"/>
            <w:vAlign w:val="bottom"/>
          </w:tcPr>
          <w:p>
            <w:pPr>
              <w:spacing w:after="0"/>
              <w:rPr>
                <w:sz w:val="11"/>
                <w:szCs w:val="11"/>
                <w:color w:val="auto"/>
              </w:rPr>
            </w:pPr>
          </w:p>
        </w:tc>
        <w:tc>
          <w:tcPr>
            <w:tcW w:w="2140" w:type="dxa"/>
            <w:vAlign w:val="bottom"/>
          </w:tcPr>
          <w:p>
            <w:pPr>
              <w:ind w:left="40"/>
              <w:spacing w:after="0" w:line="130"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10"/>
                <w:szCs w:val="10"/>
                <w:color w:val="auto"/>
              </w:rPr>
              <w:t>(3),(15)</w:t>
            </w:r>
          </w:p>
        </w:tc>
        <w:tc>
          <w:tcPr>
            <w:tcW w:w="100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3/12/2021</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8"/>
              </w:rPr>
              <w:t>Hardware, Storage</w:t>
            </w: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&amp; Peripherals</w:t>
            </w: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1,209,659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103,010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9,492,345</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zSpace,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Technology</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Common Stock</w:t>
            </w:r>
          </w:p>
        </w:tc>
        <w:tc>
          <w:tcPr>
            <w:tcW w:w="100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12/31/2020</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8"/>
              </w:rPr>
              <w:t>Hardware, Storage</w:t>
            </w:r>
          </w:p>
        </w:tc>
        <w:tc>
          <w:tcPr>
            <w:tcW w:w="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&amp; Peripherals</w:t>
            </w: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6,078,499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1,119,096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Common Stocks</w:t>
            </w:r>
          </w:p>
        </w:tc>
        <w:tc>
          <w:tcPr>
            <w:tcW w:w="8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1,340,206</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10,166,343</w:t>
            </w:r>
          </w:p>
        </w:tc>
        <w:tc>
          <w:tcPr>
            <w:tcW w:w="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AllClear ID,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Specialized</w:t>
            </w:r>
          </w:p>
        </w:tc>
        <w:tc>
          <w:tcPr>
            <w:tcW w:w="3320" w:type="dxa"/>
            <w:vAlign w:val="bottom"/>
            <w:gridSpan w:val="6"/>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4"/>
              </w:rPr>
              <w:t>Consumer Services</w:t>
            </w: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6"/>
              </w:rPr>
              <w:t>price $0.01/share, expires 9/1/2027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9/1/2017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870,514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1,749,733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908,817</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Allurion Technologies,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3320" w:type="dxa"/>
            <w:vAlign w:val="bottom"/>
            <w:gridSpan w:val="6"/>
          </w:tcPr>
          <w:p>
            <w:pPr>
              <w:ind w:left="80"/>
              <w:spacing w:after="0" w:line="130" w:lineRule="exact"/>
              <w:rPr>
                <w:sz w:val="20"/>
                <w:szCs w:val="20"/>
                <w:color w:val="auto"/>
              </w:rPr>
            </w:pPr>
            <w:r>
              <w:rPr>
                <w:rFonts w:ascii="Arial" w:cs="Arial" w:eastAsia="Arial" w:hAnsi="Arial"/>
                <w:sz w:val="14"/>
                <w:szCs w:val="14"/>
                <w:color w:val="auto"/>
              </w:rPr>
              <w:t>Warrant for Series C Preferred Stock,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Technology</w:t>
            </w: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exercise price $6.58/share, expires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3/30/2031</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3/30/2021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79,787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46,289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46,289</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3320" w:type="dxa"/>
            <w:vAlign w:val="bottom"/>
            <w:gridSpan w:val="6"/>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G Preferred Stock,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w:t>
            </w: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1"/>
              </w:rPr>
              <w:t>exercise price $0.8638/share, expires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6/29/2028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6/29/2018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2,387,705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1,047,581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3,049,362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Aspen Group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6"/>
              </w:rPr>
              <w:t>Education Services</w:t>
            </w:r>
          </w:p>
        </w:tc>
        <w:tc>
          <w:tcPr>
            <w:tcW w:w="3320" w:type="dxa"/>
            <w:vAlign w:val="bottom"/>
            <w:gridSpan w:val="6"/>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w w:val="93"/>
              </w:rPr>
              <w:t>price $6.87/share, expires 7/25/2022</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7/25/2017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224,174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583,301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349,000</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Bombora,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3320" w:type="dxa"/>
            <w:vAlign w:val="bottom"/>
            <w:gridSpan w:val="6"/>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and Services</w:t>
            </w: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3"/>
              </w:rPr>
              <w:t>price $3.29/share, expires 3/31/2031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3/31/2021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121,581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174,500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174,500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Brilliant Earth, LLC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Retail</w:t>
            </w:r>
          </w:p>
        </w:tc>
        <w:tc>
          <w:tcPr>
            <w:tcW w:w="3320" w:type="dxa"/>
            <w:vAlign w:val="bottom"/>
            <w:gridSpan w:val="6"/>
          </w:tcPr>
          <w:p>
            <w:pPr>
              <w:ind w:left="80"/>
              <w:spacing w:after="0" w:line="130" w:lineRule="exact"/>
              <w:rPr>
                <w:sz w:val="20"/>
                <w:szCs w:val="20"/>
                <w:color w:val="auto"/>
              </w:rPr>
            </w:pPr>
            <w:r>
              <w:rPr>
                <w:rFonts w:ascii="Arial" w:cs="Arial" w:eastAsia="Arial" w:hAnsi="Arial"/>
                <w:sz w:val="14"/>
                <w:szCs w:val="14"/>
                <w:color w:val="auto"/>
              </w:rPr>
              <w:t>Warrant for Class P Units, exercise price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$5.25/share, expires 9/30/2029</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9/30/2019</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333,333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973,000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1,406,667</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320" w:type="dxa"/>
            <w:vAlign w:val="bottom"/>
            <w:gridSpan w:val="6"/>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Class P Units, exercise price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$10.00/share, expires 12/17/2030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12/17/2020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25,500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53,500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CareCloud,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3320" w:type="dxa"/>
            <w:vAlign w:val="bottom"/>
            <w:gridSpan w:val="6"/>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Technology</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w w:val="96"/>
              </w:rPr>
              <w:t>price $7.50/share, expires 1/8/2022</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1,000,000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435,000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2,205,000</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320" w:type="dxa"/>
            <w:vAlign w:val="bottom"/>
            <w:gridSpan w:val="6"/>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3"/>
              </w:rPr>
              <w:t>price $10.00/share, expires 1/8/2023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837,000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2,068,000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Circadence Corporation</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3320" w:type="dxa"/>
            <w:vAlign w:val="bottom"/>
            <w:gridSpan w:val="6"/>
          </w:tcPr>
          <w:p>
            <w:pPr>
              <w:ind w:left="80"/>
              <w:spacing w:after="0" w:line="130" w:lineRule="exact"/>
              <w:rPr>
                <w:sz w:val="20"/>
                <w:szCs w:val="20"/>
                <w:color w:val="auto"/>
              </w:rPr>
            </w:pPr>
            <w:r>
              <w:rPr>
                <w:rFonts w:ascii="Arial" w:cs="Arial" w:eastAsia="Arial" w:hAnsi="Arial"/>
                <w:sz w:val="14"/>
                <w:szCs w:val="14"/>
                <w:color w:val="auto"/>
              </w:rPr>
              <w:t>Warrant for Series A-6 Preferred Stock,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w:t>
            </w: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exercise price $1.17/share, expires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12/20/2028</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12/20/2018</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1,538,462</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3,630,000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2,989,773</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320" w:type="dxa"/>
            <w:vAlign w:val="bottom"/>
            <w:gridSpan w:val="6"/>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A-6 Preferred Stock,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7"/>
              </w:rPr>
              <w:t>exercise price $1.17/share, expires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10/31/2029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10/31/2019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384,615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845,540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747,443</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CloudPassage,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Data Processing &amp;</w:t>
            </w:r>
          </w:p>
        </w:tc>
        <w:tc>
          <w:tcPr>
            <w:tcW w:w="3320" w:type="dxa"/>
            <w:vAlign w:val="bottom"/>
            <w:gridSpan w:val="6"/>
          </w:tcPr>
          <w:p>
            <w:pPr>
              <w:ind w:left="80"/>
              <w:spacing w:after="0" w:line="130" w:lineRule="exact"/>
              <w:rPr>
                <w:sz w:val="20"/>
                <w:szCs w:val="20"/>
                <w:color w:val="auto"/>
              </w:rPr>
            </w:pPr>
            <w:r>
              <w:rPr>
                <w:rFonts w:ascii="Arial" w:cs="Arial" w:eastAsia="Arial" w:hAnsi="Arial"/>
                <w:sz w:val="14"/>
                <w:szCs w:val="14"/>
                <w:color w:val="auto"/>
              </w:rPr>
              <w:t>Warrant for Series D-1 Preferred Stock,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Outsourced</w:t>
            </w: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exercise price $1.60/share, expires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6/13/2029</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6/13/2019</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210,938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273,798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CloudPay Solutions Ltd.</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4"/>
              </w:rPr>
              <w:t>Human Resource &amp;</w:t>
            </w:r>
          </w:p>
        </w:tc>
        <w:tc>
          <w:tcPr>
            <w:tcW w:w="3320" w:type="dxa"/>
            <w:vAlign w:val="bottom"/>
            <w:gridSpan w:val="6"/>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B Preferred Stock,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Employment</w:t>
            </w: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4"/>
              </w:rPr>
              <w:t>exercise price $66.53/share, expires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xml:space="preserve">6/30/2030 </w:t>
            </w:r>
            <w:r>
              <w:rPr>
                <w:rFonts w:ascii="Arial" w:cs="Arial" w:eastAsia="Arial" w:hAnsi="Arial"/>
                <w:sz w:val="10"/>
                <w:szCs w:val="10"/>
                <w:color w:val="auto"/>
              </w:rPr>
              <w:t>(3),(11)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6/30/2020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217,500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334,750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Credit Sesame, Inc.</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Specialized</w:t>
            </w:r>
          </w:p>
        </w:tc>
        <w:tc>
          <w:tcPr>
            <w:tcW w:w="3320" w:type="dxa"/>
            <w:vAlign w:val="bottom"/>
            <w:gridSpan w:val="6"/>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w w:val="94"/>
              </w:rPr>
              <w:t>Consumer Services</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w w:val="96"/>
              </w:rPr>
              <w:t>price $0.01/share, expires 1/7/2030</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1/7/2020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191,601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424,800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598,436</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Dejero Labs Inc.</w:t>
            </w:r>
          </w:p>
        </w:tc>
        <w:tc>
          <w:tcPr>
            <w:tcW w:w="12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System Software</w:t>
            </w:r>
          </w:p>
        </w:tc>
        <w:tc>
          <w:tcPr>
            <w:tcW w:w="3320" w:type="dxa"/>
            <w:vAlign w:val="bottom"/>
            <w:gridSpan w:val="6"/>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4"/>
                <w:szCs w:val="14"/>
                <w:color w:val="auto"/>
                <w:w w:val="93"/>
              </w:rPr>
              <w:t>price $0.01/share, expires 5/31/2029</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1"/>
                <w:szCs w:val="11"/>
                <w:color w:val="auto"/>
                <w:w w:val="72"/>
              </w:rPr>
              <w:t>(3),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333,621</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192,499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230,648</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(6)</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5/31/2019</w:t>
            </w:r>
          </w:p>
        </w:tc>
        <w:tc>
          <w:tcPr>
            <w:tcW w:w="10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2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4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2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52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C-Prime Preferred</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w:t>
            </w:r>
          </w:p>
        </w:tc>
        <w:tc>
          <w:tcPr>
            <w:tcW w:w="25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Stock, exercise price $0.6000/share,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expires 6/1/2025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59,000</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294,980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0.06 %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52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C-Prime Preferred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Stock, exercise price $0.6000/share,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20" w:type="dxa"/>
            <w:vAlign w:val="bottom"/>
            <w:gridSpan w:val="3"/>
          </w:tcPr>
          <w:p>
            <w:pPr>
              <w:ind w:left="80"/>
              <w:spacing w:after="0"/>
              <w:rPr>
                <w:sz w:val="20"/>
                <w:szCs w:val="20"/>
                <w:color w:val="auto"/>
              </w:rPr>
            </w:pPr>
            <w:r>
              <w:rPr>
                <w:rFonts w:ascii="Arial" w:cs="Arial" w:eastAsia="Arial" w:hAnsi="Arial"/>
                <w:sz w:val="14"/>
                <w:szCs w:val="14"/>
                <w:color w:val="auto"/>
              </w:rPr>
              <w:t>expires 7/11/2026</w:t>
            </w:r>
          </w:p>
        </w:tc>
        <w:tc>
          <w:tcPr>
            <w:tcW w:w="720" w:type="dxa"/>
            <w:vAlign w:val="bottom"/>
          </w:tcPr>
          <w:p>
            <w:pPr>
              <w:jc w:val="right"/>
              <w:spacing w:after="0"/>
              <w:rPr>
                <w:sz w:val="20"/>
                <w:szCs w:val="20"/>
                <w:color w:val="auto"/>
              </w:rPr>
            </w:pPr>
            <w:r>
              <w:rPr>
                <w:rFonts w:ascii="Arial" w:cs="Arial" w:eastAsia="Arial" w:hAnsi="Arial"/>
                <w:sz w:val="14"/>
                <w:szCs w:val="14"/>
                <w:color w:val="auto"/>
              </w:rPr>
              <w:t>7/11/2019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833,333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114,719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491,633</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Echo 360 Holdings, Inc.</w:t>
            </w:r>
          </w:p>
        </w:tc>
        <w:tc>
          <w:tcPr>
            <w:tcW w:w="12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Education Services</w:t>
            </w:r>
          </w:p>
        </w:tc>
        <w:tc>
          <w:tcPr>
            <w:tcW w:w="252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E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$1.5963/share,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5/3/2029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1,066,767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299,762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629,630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FiscalNote, Inc.</w:t>
            </w:r>
          </w:p>
        </w:tc>
        <w:tc>
          <w:tcPr>
            <w:tcW w:w="12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52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520" w:type="dxa"/>
            <w:vAlign w:val="bottom"/>
            <w:gridSpan w:val="3"/>
          </w:tcPr>
          <w:p>
            <w:pPr>
              <w:ind w:left="80"/>
              <w:spacing w:after="0"/>
              <w:rPr>
                <w:sz w:val="20"/>
                <w:szCs w:val="20"/>
                <w:color w:val="auto"/>
              </w:rPr>
            </w:pPr>
            <w:r>
              <w:rPr>
                <w:rFonts w:ascii="Arial" w:cs="Arial" w:eastAsia="Arial" w:hAnsi="Arial"/>
                <w:sz w:val="14"/>
                <w:szCs w:val="14"/>
                <w:color w:val="auto"/>
              </w:rPr>
              <w:t>price $0.01/share, expires 10/19/2030</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10/19/2020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194,673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438,014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626,867</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2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Success fee, expires 12/1/2027 </w:t>
            </w:r>
            <w:r>
              <w:rPr>
                <w:rFonts w:ascii="Arial" w:cs="Arial" w:eastAsia="Arial" w:hAnsi="Arial"/>
                <w:sz w:val="10"/>
                <w:szCs w:val="10"/>
                <w:color w:val="auto"/>
              </w:rPr>
              <w:t>(12)</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12/1/2020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498,900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514,863</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2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252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and Services</w:t>
            </w:r>
          </w:p>
        </w:tc>
        <w:tc>
          <w:tcPr>
            <w:tcW w:w="2520" w:type="dxa"/>
            <w:vAlign w:val="bottom"/>
            <w:gridSpan w:val="3"/>
          </w:tcPr>
          <w:p>
            <w:pPr>
              <w:ind w:left="80"/>
              <w:spacing w:after="0"/>
              <w:rPr>
                <w:sz w:val="20"/>
                <w:szCs w:val="20"/>
                <w:color w:val="auto"/>
              </w:rPr>
            </w:pPr>
            <w:r>
              <w:rPr>
                <w:rFonts w:ascii="Arial" w:cs="Arial" w:eastAsia="Arial" w:hAnsi="Arial"/>
                <w:sz w:val="14"/>
                <w:szCs w:val="14"/>
                <w:color w:val="auto"/>
              </w:rPr>
              <w:t>price $9.29/share, expires 7/26/2029</w:t>
            </w:r>
          </w:p>
        </w:tc>
        <w:tc>
          <w:tcPr>
            <w:tcW w:w="720" w:type="dxa"/>
            <w:vAlign w:val="bottom"/>
          </w:tcPr>
          <w:p>
            <w:pPr>
              <w:jc w:val="right"/>
              <w:spacing w:after="0"/>
              <w:rPr>
                <w:sz w:val="20"/>
                <w:szCs w:val="20"/>
                <w:color w:val="auto"/>
              </w:rPr>
            </w:pPr>
            <w:r>
              <w:rPr>
                <w:rFonts w:ascii="Arial" w:cs="Arial" w:eastAsia="Arial" w:hAnsi="Arial"/>
                <w:sz w:val="14"/>
                <w:szCs w:val="14"/>
                <w:color w:val="auto"/>
              </w:rPr>
              <w:t>7/26/2019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150,804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522,083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518,615</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2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252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JW Player)</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and Services</w:t>
            </w:r>
          </w:p>
        </w:tc>
        <w:tc>
          <w:tcPr>
            <w:tcW w:w="25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price $1.49/share, expires 12/12/2029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12/12/2019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387,596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46,552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422,868</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Massdrop, Inc.</w:t>
            </w:r>
          </w:p>
        </w:tc>
        <w:tc>
          <w:tcPr>
            <w:tcW w:w="12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Computer &amp;</w:t>
            </w:r>
          </w:p>
        </w:tc>
        <w:tc>
          <w:tcPr>
            <w:tcW w:w="252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B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Electronics Retail</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$1.1938/share,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40" w:type="dxa"/>
            <w:vAlign w:val="bottom"/>
            <w:gridSpan w:val="2"/>
          </w:tcPr>
          <w:p>
            <w:pPr>
              <w:ind w:left="80"/>
              <w:spacing w:after="0"/>
              <w:rPr>
                <w:sz w:val="20"/>
                <w:szCs w:val="20"/>
                <w:color w:val="auto"/>
              </w:rPr>
            </w:pPr>
            <w:r>
              <w:rPr>
                <w:rFonts w:ascii="Arial" w:cs="Arial" w:eastAsia="Arial" w:hAnsi="Arial"/>
                <w:sz w:val="14"/>
                <w:szCs w:val="14"/>
                <w:color w:val="auto"/>
              </w:rPr>
              <w:t>7/22/2019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7/22/2019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848,093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183,188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284,111</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7"/>
              </w:rPr>
              <w:t>Mingle Healthcare Solutions, Inc.</w:t>
            </w:r>
          </w:p>
        </w:tc>
        <w:tc>
          <w:tcPr>
            <w:tcW w:w="12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252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AA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Technology</w:t>
            </w:r>
          </w:p>
        </w:tc>
        <w:tc>
          <w:tcPr>
            <w:tcW w:w="25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$0.24/share,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8/15/2028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8/15/2018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492,375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3DNA Corp. (dba NationBuilder)</w:t>
            </w:r>
          </w:p>
        </w:tc>
        <w:tc>
          <w:tcPr>
            <w:tcW w:w="12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52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8"/>
              </w:rPr>
              <w:t>Warrant for Series C-1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Software</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$1.4643/share,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40" w:type="dxa"/>
            <w:vAlign w:val="bottom"/>
            <w:gridSpan w:val="2"/>
          </w:tcPr>
          <w:p>
            <w:pPr>
              <w:ind w:left="80"/>
              <w:spacing w:after="0"/>
              <w:rPr>
                <w:sz w:val="20"/>
                <w:szCs w:val="20"/>
                <w:color w:val="auto"/>
              </w:rPr>
            </w:pPr>
            <w:r>
              <w:rPr>
                <w:rFonts w:ascii="Arial" w:cs="Arial" w:eastAsia="Arial" w:hAnsi="Arial"/>
                <w:sz w:val="14"/>
                <w:szCs w:val="14"/>
                <w:color w:val="auto"/>
              </w:rPr>
              <w:t>12/28/2028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12/28/2018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273,164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104,138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64,220</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2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Earnout, expires 12/23/2023 </w:t>
            </w:r>
            <w:r>
              <w:rPr>
                <w:rFonts w:ascii="Arial" w:cs="Arial" w:eastAsia="Arial" w:hAnsi="Arial"/>
                <w:sz w:val="10"/>
                <w:szCs w:val="10"/>
                <w:color w:val="auto"/>
              </w:rPr>
              <w:t>(3),(12),(15)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12/23/2020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RealWear, Inc.</w:t>
            </w:r>
          </w:p>
        </w:tc>
        <w:tc>
          <w:tcPr>
            <w:tcW w:w="12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Technology</w:t>
            </w:r>
          </w:p>
        </w:tc>
        <w:tc>
          <w:tcPr>
            <w:tcW w:w="252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A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Hardware, Storage</w:t>
            </w: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$4.4464/share,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&amp; Peripherals</w:t>
            </w:r>
          </w:p>
        </w:tc>
        <w:tc>
          <w:tcPr>
            <w:tcW w:w="2440" w:type="dxa"/>
            <w:vAlign w:val="bottom"/>
            <w:gridSpan w:val="2"/>
          </w:tcPr>
          <w:p>
            <w:pPr>
              <w:ind w:left="80"/>
              <w:spacing w:after="0"/>
              <w:rPr>
                <w:sz w:val="20"/>
                <w:szCs w:val="20"/>
                <w:color w:val="auto"/>
              </w:rPr>
            </w:pPr>
            <w:r>
              <w:rPr>
                <w:rFonts w:ascii="Arial" w:cs="Arial" w:eastAsia="Arial" w:hAnsi="Arial"/>
                <w:sz w:val="14"/>
                <w:szCs w:val="14"/>
                <w:color w:val="auto"/>
              </w:rPr>
              <w:t>10/5/2028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10/5/2018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112,451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135,841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52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Series A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$4.4464/share,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12/28/2028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12/28/2018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52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Series A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$6.78/share,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40" w:type="dxa"/>
            <w:vAlign w:val="bottom"/>
            <w:gridSpan w:val="2"/>
          </w:tcPr>
          <w:p>
            <w:pPr>
              <w:ind w:left="80"/>
              <w:spacing w:after="0"/>
              <w:rPr>
                <w:sz w:val="20"/>
                <w:szCs w:val="20"/>
                <w:color w:val="auto"/>
              </w:rPr>
            </w:pPr>
            <w:r>
              <w:rPr>
                <w:rFonts w:ascii="Arial" w:cs="Arial" w:eastAsia="Arial" w:hAnsi="Arial"/>
                <w:sz w:val="14"/>
                <w:szCs w:val="14"/>
                <w:color w:val="auto"/>
              </w:rPr>
              <w:t>6/27/2029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6/27/2019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123,894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380,850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Scale Computing, Inc.</w:t>
            </w:r>
          </w:p>
        </w:tc>
        <w:tc>
          <w:tcPr>
            <w:tcW w:w="12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System Software</w:t>
            </w:r>
          </w:p>
        </w:tc>
        <w:tc>
          <w:tcPr>
            <w:tcW w:w="252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price $0.80/share, expires 3/29/2029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3/29/2019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9,665,667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345,816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SendtoNews Video, Inc.</w:t>
            </w:r>
          </w:p>
        </w:tc>
        <w:tc>
          <w:tcPr>
            <w:tcW w:w="12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Advertising</w:t>
            </w:r>
          </w:p>
        </w:tc>
        <w:tc>
          <w:tcPr>
            <w:tcW w:w="252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Class B Non-Voting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exercise price $0.67/share,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40" w:type="dxa"/>
            <w:vAlign w:val="bottom"/>
            <w:gridSpan w:val="2"/>
          </w:tcPr>
          <w:p>
            <w:pPr>
              <w:ind w:left="80"/>
              <w:spacing w:after="0"/>
              <w:rPr>
                <w:sz w:val="20"/>
                <w:szCs w:val="20"/>
                <w:color w:val="auto"/>
              </w:rPr>
            </w:pPr>
            <w:r>
              <w:rPr>
                <w:rFonts w:ascii="Arial" w:cs="Arial" w:eastAsia="Arial" w:hAnsi="Arial"/>
                <w:sz w:val="14"/>
                <w:szCs w:val="14"/>
                <w:color w:val="auto"/>
              </w:rPr>
              <w:t xml:space="preserve">6/30/2027 </w:t>
            </w:r>
            <w:r>
              <w:rPr>
                <w:rFonts w:ascii="Arial" w:cs="Arial" w:eastAsia="Arial" w:hAnsi="Arial"/>
                <w:sz w:val="10"/>
                <w:szCs w:val="10"/>
                <w:color w:val="auto"/>
              </w:rPr>
              <w:t>(3),(6)</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6/30/2017</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246,461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29,000</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8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Date</w:t>
            </w: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3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ShareThis, Inc.</w:t>
            </w:r>
          </w:p>
        </w:tc>
        <w:tc>
          <w:tcPr>
            <w:tcW w:w="1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4"/>
              </w:rPr>
              <w:t>Data Processing &amp;</w:t>
            </w: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Warrant for Series D-3 Preferred Stock,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Outsourced</w:t>
            </w:r>
          </w:p>
        </w:tc>
        <w:tc>
          <w:tcPr>
            <w:tcW w:w="24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exercise price $2.4320/share, expires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2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12/3/2028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12/3/2018</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647,615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0.46 %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tcPr>
          <w:p>
            <w:pPr>
              <w:spacing w:after="0" w:line="130" w:lineRule="exact"/>
              <w:rPr>
                <w:sz w:val="20"/>
                <w:szCs w:val="20"/>
                <w:color w:val="auto"/>
              </w:rPr>
            </w:pPr>
            <w:r>
              <w:rPr>
                <w:rFonts w:ascii="Arial" w:cs="Arial" w:eastAsia="Arial" w:hAnsi="Arial"/>
                <w:sz w:val="14"/>
                <w:szCs w:val="14"/>
                <w:color w:val="auto"/>
              </w:rPr>
              <w:t>The Kairn Corporation</w:t>
            </w:r>
          </w:p>
        </w:tc>
        <w:tc>
          <w:tcPr>
            <w:tcW w:w="12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Application</w:t>
            </w: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color w:val="auto"/>
              </w:rPr>
              <w:t>Software</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price $0.01/share, expires 3/9/2030</w:t>
            </w:r>
          </w:p>
        </w:tc>
        <w:tc>
          <w:tcPr>
            <w:tcW w:w="700" w:type="dxa"/>
            <w:vAlign w:val="bottom"/>
          </w:tcPr>
          <w:p>
            <w:pPr>
              <w:jc w:val="right"/>
              <w:spacing w:after="0"/>
              <w:rPr>
                <w:sz w:val="20"/>
                <w:szCs w:val="20"/>
                <w:color w:val="auto"/>
              </w:rPr>
            </w:pPr>
            <w:r>
              <w:rPr>
                <w:rFonts w:ascii="Arial" w:cs="Arial" w:eastAsia="Arial" w:hAnsi="Arial"/>
                <w:sz w:val="14"/>
                <w:szCs w:val="14"/>
                <w:color w:val="auto"/>
              </w:rPr>
              <w:t>3/9/2020</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81,177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VERO Biotech LLC</w:t>
            </w:r>
          </w:p>
        </w:tc>
        <w:tc>
          <w:tcPr>
            <w:tcW w:w="120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 xml:space="preserve">Success fee, expires 12/29/2025 </w:t>
            </w:r>
            <w:r>
              <w:rPr>
                <w:rFonts w:ascii="Arial" w:cs="Arial" w:eastAsia="Arial" w:hAnsi="Arial"/>
                <w:sz w:val="10"/>
                <w:szCs w:val="10"/>
                <w:color w:val="auto"/>
              </w:rPr>
              <w:t>(12)</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12/29/2020</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376,500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381,867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20" w:type="dxa"/>
            <w:vAlign w:val="bottom"/>
            <w:tcBorders>
              <w:bottom w:val="single" w:sz="8" w:color="CCEEFF"/>
            </w:tcBorders>
            <w:gridSpan w:val="5"/>
          </w:tcPr>
          <w:p>
            <w:pPr>
              <w:spacing w:after="0" w:line="149" w:lineRule="exact"/>
              <w:rPr>
                <w:sz w:val="20"/>
                <w:szCs w:val="20"/>
                <w:color w:val="auto"/>
              </w:rPr>
            </w:pPr>
            <w:r>
              <w:rPr>
                <w:rFonts w:ascii="Arial" w:cs="Arial" w:eastAsia="Arial" w:hAnsi="Arial"/>
                <w:sz w:val="14"/>
                <w:szCs w:val="14"/>
                <w:b w:val="1"/>
                <w:bCs w:val="1"/>
                <w:color w:val="auto"/>
              </w:rPr>
              <w:t>Total Warrants</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17,887,488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21,582,839</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gridSpan w:val="5"/>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572,409,671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579,274,683</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122.34</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92"/>
              </w:rPr>
              <w:t>investments</w:t>
            </w:r>
          </w:p>
        </w:tc>
        <w:tc>
          <w:tcPr>
            <w:tcW w:w="1120" w:type="dxa"/>
            <w:vAlign w:val="bottom"/>
            <w:tcBorders>
              <w:top w:val="single" w:sz="8" w:color="auto"/>
              <w:bottom w:val="single" w:sz="8" w:color="CCEEFF"/>
            </w:tcBorders>
            <w:gridSpan w:val="3"/>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3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CCEEFF"/>
              <w:bottom w:val="single" w:sz="8" w:color="CCEEFF"/>
            </w:tcBorders>
            <w:vMerge w:val="continue"/>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020" w:type="dxa"/>
            <w:vAlign w:val="bottom"/>
            <w:gridSpan w:val="5"/>
          </w:tcPr>
          <w:p>
            <w:pPr>
              <w:spacing w:after="0" w:line="97" w:lineRule="exact"/>
              <w:rPr>
                <w:sz w:val="20"/>
                <w:szCs w:val="20"/>
                <w:color w:val="auto"/>
              </w:rPr>
            </w:pPr>
            <w:r>
              <w:rPr>
                <w:rFonts w:ascii="Arial" w:cs="Arial" w:eastAsia="Arial" w:hAnsi="Arial"/>
                <w:sz w:val="11"/>
                <w:szCs w:val="11"/>
                <w:b w:val="1"/>
                <w:bCs w:val="1"/>
                <w:color w:val="auto"/>
              </w:rPr>
              <w:t>U.S. Treasury</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60" w:type="dxa"/>
            <w:vAlign w:val="bottom"/>
            <w:gridSpan w:val="3"/>
          </w:tcPr>
          <w:p>
            <w:pPr>
              <w:ind w:left="80"/>
              <w:spacing w:after="0" w:line="97" w:lineRule="exact"/>
              <w:rPr>
                <w:sz w:val="20"/>
                <w:szCs w:val="20"/>
                <w:color w:val="auto"/>
              </w:rPr>
            </w:pPr>
            <w:r>
              <w:rPr>
                <w:rFonts w:ascii="Arial" w:cs="Arial" w:eastAsia="Arial" w:hAnsi="Arial"/>
                <w:sz w:val="11"/>
                <w:szCs w:val="11"/>
                <w:color w:val="auto"/>
              </w:rPr>
              <w:t>U.S. Treasury Bill, 0.05%, due</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 xml:space="preserve">04/8/2021 </w:t>
            </w:r>
            <w:r>
              <w:rPr>
                <w:rFonts w:ascii="Arial" w:cs="Arial" w:eastAsia="Arial" w:hAnsi="Arial"/>
                <w:sz w:val="10"/>
                <w:szCs w:val="10"/>
                <w:color w:val="auto"/>
              </w:rPr>
              <w:t>(9)</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3/29/2021</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25,000,000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24,999,979</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24,999,969</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2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Total Investments</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611,821,144</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615,147,590</w:t>
            </w:r>
          </w:p>
        </w:tc>
        <w:tc>
          <w:tcPr>
            <w:tcW w:w="8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129.92 %</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60" w:hanging="328"/>
        <w:spacing w:after="0" w:line="238"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March 31, 2021, the 3-Month LIBOR was 0.19% and the U.S. Prime Rate was 3.25%.</w:t>
      </w:r>
    </w:p>
    <w:p>
      <w:pPr>
        <w:spacing w:after="0" w:line="74"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All investments in portfolio companies, which as of March 31, 2021 represented 124.64%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jc w:val="both"/>
        <w:ind w:left="660" w:hanging="328"/>
        <w:spacing w:after="0" w:line="255" w:lineRule="auto"/>
        <w:tabs>
          <w:tab w:leader="none" w:pos="660" w:val="left"/>
        </w:tabs>
        <w:numPr>
          <w:ilvl w:val="0"/>
          <w:numId w:val="3"/>
        </w:numPr>
        <w:rPr>
          <w:rFonts w:ascii="Arial" w:cs="Arial" w:eastAsia="Arial" w:hAnsi="Arial"/>
          <w:sz w:val="10"/>
          <w:szCs w:val="10"/>
          <w:color w:val="auto"/>
        </w:rPr>
      </w:pPr>
      <w:r>
        <w:rPr>
          <w:rFonts w:ascii="Arial" w:cs="Arial" w:eastAsia="Arial" w:hAnsi="Arial"/>
          <w:sz w:val="13"/>
          <w:szCs w:val="13"/>
          <w:color w:val="auto"/>
        </w:rPr>
        <w:t>Investment is not a qualifying asset as defined under Section 55(a) of the Investment Company Act of 1940, as amended (the “1940 Act”). Non-qualifying assets at fair value represent 13.01% of total assets as of March 31, 2021.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66" w:lineRule="exact"/>
        <w:rPr>
          <w:rFonts w:ascii="Arial" w:cs="Arial" w:eastAsia="Arial" w:hAnsi="Arial"/>
          <w:sz w:val="10"/>
          <w:szCs w:val="10"/>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Represents a PIK security. PIK interest is accrued and will be paid at maturity.</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All investments are domiciled in the United States, unless otherwise noted.</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domiciled in Canada.</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Investments are non-income producing.</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Investments are held at Fair Value net of the Fair Value of Unfunded Commitments. See Note 3 for additional detail.</w:t>
      </w:r>
    </w:p>
    <w:p>
      <w:pPr>
        <w:spacing w:after="0" w:line="95"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Treasury bill with $25,000,000 par value was purchased pursuant to a 0.25% reverse repurchase agreement with Goldman Sachs dated March 29, 2021, due April 6, 2021, with a repurchase price to the Company of $24,874,914 collateralized by a 0.05% U.S. Treasury Bill due April 8, 2021 with a par value of 25,000,000 and fair value of $24,999,969.</w:t>
      </w:r>
    </w:p>
    <w:p>
      <w:pPr>
        <w:spacing w:after="0" w:line="74"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Disclosures of end-of-term-payments (“ETP”) are one-time payments stated as a percentage of original principal amount.</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domiciled in the United Kingdom.</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either a cash success fee payable or earnout of shares based on the consummation of certain trigger events.</w:t>
      </w:r>
    </w:p>
    <w:p>
      <w:pPr>
        <w:spacing w:after="0" w:line="95"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The Credit Agreement (as defined in Note 10) is secured by a perfected first priority security interest in each of the Company’s senior secured term loan investments, except for the Mojix, Inc., Pivot3, Inc., and The Kairn Corporation senior secured term loans.</w:t>
      </w:r>
    </w:p>
    <w:p>
      <w:pPr>
        <w:spacing w:after="0" w:line="92"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Control investment, as defined under the 1940 Act, in which the Company owns at least 25% of the investment’s voting securities or has greater than 50% representation on its board.</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publicly traded and listed on NASDAQ.</w:t>
      </w:r>
    </w:p>
    <w:p>
      <w:pPr>
        <w:spacing w:after="0" w:line="136"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3"/>
        </w:numPr>
        <w:rPr>
          <w:rFonts w:ascii="Arial" w:cs="Arial" w:eastAsia="Arial" w:hAnsi="Arial"/>
          <w:sz w:val="11"/>
          <w:szCs w:val="11"/>
          <w:color w:val="auto"/>
        </w:rPr>
      </w:pPr>
      <w:r>
        <w:rPr>
          <w:rFonts w:ascii="Arial" w:cs="Arial" w:eastAsia="Arial" w:hAnsi="Arial"/>
          <w:sz w:val="14"/>
          <w:szCs w:val="14"/>
          <w:color w:val="auto"/>
        </w:rPr>
        <w:t>260,000 shares of CareCloud, Inc. preferred stock, with a fair value of $1,778,026 have restrictions on the sale of the shares due to escrow claims, and such fair value is considered a Level 2 fair value measurement under the fair value hierarchy.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March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100" w:type="dxa"/>
            <w:vAlign w:val="bottom"/>
          </w:tcPr>
          <w:p>
            <w:pPr>
              <w:spacing w:after="0"/>
              <w:rPr>
                <w:sz w:val="10"/>
                <w:szCs w:val="10"/>
                <w:color w:val="auto"/>
              </w:rPr>
            </w:pPr>
          </w:p>
        </w:tc>
        <w:tc>
          <w:tcPr>
            <w:tcW w:w="12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280,457,904</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Northeastern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148,712,084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Northwestern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71,418,559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Southeastern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39,608,329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25,285,591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South Central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24,405,506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259,648</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590,147,621</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159,883,829</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Healthcare Technology</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108,421,355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Software &amp;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80,989,076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Internet Retail</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65,968,800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&amp; Outsourced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54,708,482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Specialized Consumer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45,644,625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Human Resource &amp; Employment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25,285,591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Computer &amp; Electronics Retail</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20,763,105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18,396,115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Technology Hardware, Storage &amp; Peripherals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9,492,345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Specialty Finance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334,650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System Software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230,648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590,147,621</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tabs>
          <w:tab w:leader="none" w:pos="2260" w:val="left"/>
        </w:tabs>
        <w:rPr>
          <w:sz w:val="20"/>
          <w:szCs w:val="20"/>
          <w:color w:val="auto"/>
        </w:rPr>
      </w:pPr>
      <w:r>
        <w:rPr>
          <w:rFonts w:ascii="Arial" w:cs="Arial" w:eastAsia="Arial" w:hAnsi="Arial"/>
          <w:sz w:val="14"/>
          <w:szCs w:val="14"/>
          <w:b w:val="1"/>
          <w:bCs w:val="1"/>
          <w:color w:val="auto"/>
        </w:rPr>
        <w:t>Portfolio Companies</w:t>
      </w:r>
      <w:r>
        <w:rPr>
          <w:sz w:val="20"/>
          <w:szCs w:val="20"/>
          <w:color w:val="auto"/>
        </w:rPr>
        <w:tab/>
      </w:r>
      <w:r>
        <w:rPr>
          <w:rFonts w:ascii="Arial" w:cs="Arial" w:eastAsia="Arial" w:hAnsi="Arial"/>
          <w:sz w:val="13"/>
          <w:szCs w:val="13"/>
          <w:b w:val="1"/>
          <w:bCs w:val="1"/>
          <w:color w:val="auto"/>
        </w:rPr>
        <w:t>Sub-Industry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Control/affiliate investments</w:t>
      </w:r>
      <w:r>
        <w:rPr>
          <w:rFonts w:ascii="Arial" w:cs="Arial" w:eastAsia="Arial" w:hAnsi="Arial"/>
          <w:sz w:val="10"/>
          <w:szCs w:val="10"/>
          <w:b w:val="1"/>
          <w:bCs w:val="1"/>
          <w:u w:val="single" w:color="auto"/>
          <w:color w:val="auto"/>
        </w:rPr>
        <w:t>(14)</w:t>
      </w:r>
    </w:p>
    <w:p>
      <w:pPr>
        <w:spacing w:after="0" w:line="221" w:lineRule="auto"/>
        <w:rPr>
          <w:sz w:val="20"/>
          <w:szCs w:val="20"/>
          <w:color w:val="auto"/>
        </w:rPr>
      </w:pPr>
      <w:r>
        <w:rPr>
          <w:rFonts w:ascii="Arial" w:cs="Arial" w:eastAsia="Arial" w:hAnsi="Arial"/>
          <w:sz w:val="14"/>
          <w:szCs w:val="14"/>
          <w:b w:val="1"/>
          <w:bCs w:val="1"/>
          <w:color w:val="auto"/>
        </w:rPr>
        <w:t>Senior Secured Term Loans</w:t>
      </w:r>
      <w:r>
        <w:rPr>
          <w:rFonts w:ascii="Arial" w:cs="Arial" w:eastAsia="Arial" w:hAnsi="Arial"/>
          <w:sz w:val="10"/>
          <w:szCs w:val="10"/>
          <w:b w:val="1"/>
          <w:bCs w:val="1"/>
          <w:color w:val="auto"/>
        </w:rPr>
        <w:t>(13)</w:t>
      </w:r>
    </w:p>
    <w:p>
      <w:pPr>
        <w:ind w:left="2120" w:right="360" w:hanging="2119"/>
        <w:spacing w:after="0" w:line="271" w:lineRule="auto"/>
        <w:tabs>
          <w:tab w:leader="none" w:pos="210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Senior Secured Term</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Stocks</w:t>
      </w:r>
    </w:p>
    <w:p>
      <w:pPr>
        <w:spacing w:after="0" w:line="4" w:lineRule="exact"/>
        <w:rPr>
          <w:sz w:val="20"/>
          <w:szCs w:val="20"/>
          <w:color w:val="auto"/>
        </w:rPr>
      </w:pPr>
    </w:p>
    <w:p>
      <w:pPr>
        <w:ind w:left="2120" w:right="360" w:hanging="2119"/>
        <w:spacing w:after="0" w:line="271" w:lineRule="auto"/>
        <w:tabs>
          <w:tab w:leader="none" w:pos="210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(8)</w:t>
      </w:r>
    </w:p>
    <w:p>
      <w:pPr>
        <w:spacing w:after="0" w:line="4" w:lineRule="exact"/>
        <w:rPr>
          <w:sz w:val="20"/>
          <w:szCs w:val="20"/>
          <w:color w:val="auto"/>
        </w:rPr>
      </w:pPr>
    </w:p>
    <w:p>
      <w:pPr>
        <w:ind w:left="2120" w:right="360" w:hanging="2119"/>
        <w:spacing w:after="0" w:line="271" w:lineRule="auto"/>
        <w:tabs>
          <w:tab w:leader="none" w:pos="210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Warrants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Total Control/affiliate</w:t>
      </w:r>
    </w:p>
    <w:p>
      <w:pPr>
        <w:spacing w:after="0" w:line="221" w:lineRule="auto"/>
        <w:rPr>
          <w:sz w:val="20"/>
          <w:szCs w:val="20"/>
          <w:color w:val="auto"/>
        </w:rPr>
      </w:pPr>
      <w:r>
        <w:rPr>
          <w:rFonts w:ascii="Arial" w:cs="Arial" w:eastAsia="Arial" w:hAnsi="Arial"/>
          <w:sz w:val="14"/>
          <w:szCs w:val="14"/>
          <w:b w:val="1"/>
          <w:bCs w:val="1"/>
          <w:u w:val="single" w:color="auto"/>
          <w:color w:val="auto"/>
        </w:rPr>
        <w:t>investments</w:t>
      </w:r>
    </w:p>
    <w:p>
      <w:pPr>
        <w:spacing w:after="0" w:line="221" w:lineRule="auto"/>
        <w:rPr>
          <w:sz w:val="20"/>
          <w:szCs w:val="20"/>
          <w:color w:val="auto"/>
        </w:rPr>
      </w:pPr>
      <w:r>
        <w:rPr>
          <w:rFonts w:ascii="Arial" w:cs="Arial" w:eastAsia="Arial" w:hAnsi="Arial"/>
          <w:sz w:val="14"/>
          <w:szCs w:val="14"/>
          <w:b w:val="1"/>
          <w:bCs w:val="1"/>
          <w:u w:val="single" w:color="auto"/>
          <w:color w:val="auto"/>
        </w:rPr>
        <w:t>Non-control/non-affiliate</w:t>
      </w:r>
    </w:p>
    <w:p>
      <w:pPr>
        <w:spacing w:after="0" w:line="222" w:lineRule="auto"/>
        <w:rPr>
          <w:sz w:val="20"/>
          <w:szCs w:val="20"/>
          <w:color w:val="auto"/>
        </w:rPr>
      </w:pPr>
      <w:r>
        <w:rPr>
          <w:rFonts w:ascii="Arial" w:cs="Arial" w:eastAsia="Arial" w:hAnsi="Arial"/>
          <w:sz w:val="14"/>
          <w:szCs w:val="14"/>
          <w:b w:val="1"/>
          <w:bCs w:val="1"/>
          <w:u w:val="single" w:color="auto"/>
          <w:color w:val="auto"/>
        </w:rPr>
        <w:t>investments</w:t>
      </w:r>
    </w:p>
    <w:p>
      <w:pPr>
        <w:spacing w:after="0" w:line="221" w:lineRule="auto"/>
        <w:rPr>
          <w:sz w:val="20"/>
          <w:szCs w:val="20"/>
          <w:color w:val="auto"/>
        </w:rPr>
      </w:pPr>
      <w:r>
        <w:rPr>
          <w:rFonts w:ascii="Arial" w:cs="Arial" w:eastAsia="Arial" w:hAnsi="Arial"/>
          <w:sz w:val="14"/>
          <w:szCs w:val="14"/>
          <w:b w:val="1"/>
          <w:bCs w:val="1"/>
          <w:color w:val="auto"/>
        </w:rPr>
        <w:t>Corporate Bond</w:t>
      </w:r>
    </w:p>
    <w:p>
      <w:pPr>
        <w:spacing w:after="0" w:line="237" w:lineRule="auto"/>
        <w:rPr>
          <w:sz w:val="20"/>
          <w:szCs w:val="20"/>
          <w:color w:val="auto"/>
        </w:rPr>
      </w:pPr>
      <w:r>
        <w:rPr>
          <w:rFonts w:ascii="Arial" w:cs="Arial" w:eastAsia="Arial" w:hAnsi="Arial"/>
          <w:sz w:val="14"/>
          <w:szCs w:val="14"/>
          <w:color w:val="auto"/>
        </w:rPr>
        <w:t>TriplePoint Venture Growth BDC Specialty Finance Corp.</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Term Loans</w:t>
      </w:r>
      <w:r>
        <w:rPr>
          <w:rFonts w:ascii="Arial" w:cs="Arial" w:eastAsia="Arial" w:hAnsi="Arial"/>
          <w:sz w:val="10"/>
          <w:szCs w:val="10"/>
          <w:b w:val="1"/>
          <w:bCs w:val="1"/>
          <w:color w:val="auto"/>
        </w:rPr>
        <w:t>(13)</w:t>
      </w:r>
    </w:p>
    <w:p>
      <w:pPr>
        <w:spacing w:after="0" w:line="4" w:lineRule="exact"/>
        <w:rPr>
          <w:sz w:val="20"/>
          <w:szCs w:val="20"/>
          <w:color w:val="auto"/>
        </w:rPr>
      </w:pPr>
    </w:p>
    <w:p>
      <w:pPr>
        <w:ind w:left="2120" w:right="360" w:hanging="2119"/>
        <w:spacing w:after="0" w:line="271" w:lineRule="auto"/>
        <w:tabs>
          <w:tab w:leader="none" w:pos="2100" w:val="left"/>
        </w:tabs>
        <w:rPr>
          <w:sz w:val="20"/>
          <w:szCs w:val="20"/>
          <w:color w:val="auto"/>
        </w:rPr>
      </w:pPr>
      <w:r>
        <w:rPr>
          <w:rFonts w:ascii="Arial" w:cs="Arial" w:eastAsia="Arial" w:hAnsi="Arial"/>
          <w:sz w:val="14"/>
          <w:szCs w:val="14"/>
          <w:color w:val="auto"/>
        </w:rPr>
        <w:t>Aria Systems, Inc.</w:t>
      </w:r>
      <w:r>
        <w:rPr>
          <w:sz w:val="20"/>
          <w:szCs w:val="20"/>
          <w:color w:val="auto"/>
        </w:rPr>
        <w:tab/>
      </w:r>
      <w:r>
        <w:rPr>
          <w:rFonts w:ascii="Arial" w:cs="Arial" w:eastAsia="Arial" w:hAnsi="Arial"/>
          <w:sz w:val="13"/>
          <w:szCs w:val="13"/>
          <w:color w:val="auto"/>
        </w:rPr>
        <w:t>Application Software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4"/>
                <w:szCs w:val="14"/>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3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0" w:type="dxa"/>
            <w:vAlign w:val="bottom"/>
            <w:vMerge w:val="restart"/>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3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420"/>
        </w:trPr>
        <w:tc>
          <w:tcPr>
            <w:tcW w:w="23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Tranche I: LIBOR+12.00% PIK,</w:t>
            </w:r>
          </w:p>
        </w:tc>
        <w:tc>
          <w:tcPr>
            <w:tcW w:w="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400" w:type="dxa"/>
            <w:vAlign w:val="bottom"/>
            <w:gridSpan w:val="2"/>
          </w:tcPr>
          <w:p>
            <w:pPr>
              <w:spacing w:after="0" w:line="157" w:lineRule="exact"/>
              <w:rPr>
                <w:sz w:val="20"/>
                <w:szCs w:val="20"/>
                <w:color w:val="auto"/>
              </w:rPr>
            </w:pPr>
            <w:r>
              <w:rPr>
                <w:rFonts w:ascii="Arial" w:cs="Arial" w:eastAsia="Arial" w:hAnsi="Arial"/>
                <w:sz w:val="14"/>
                <w:szCs w:val="14"/>
                <w:color w:val="auto"/>
              </w:rPr>
              <w:t>12.00% floor, 5% ETP, due 5/15/2021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5/16/2017</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  6,519,240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  6,502,036</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   4,913,150</w:t>
            </w:r>
          </w:p>
        </w:tc>
        <w:tc>
          <w:tcPr>
            <w:tcW w:w="80" w:type="dxa"/>
            <w:vAlign w:val="bottom"/>
          </w:tcPr>
          <w:p>
            <w:pPr>
              <w:spacing w:after="0"/>
              <w:rPr>
                <w:sz w:val="13"/>
                <w:szCs w:val="13"/>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1.05 %</w:t>
            </w:r>
          </w:p>
        </w:tc>
        <w:tc>
          <w:tcPr>
            <w:tcW w:w="0" w:type="dxa"/>
            <w:vAlign w:val="bottom"/>
          </w:tcPr>
          <w:p>
            <w:pPr>
              <w:spacing w:after="0"/>
              <w:rPr>
                <w:sz w:val="1"/>
                <w:szCs w:val="1"/>
                <w:color w:val="auto"/>
              </w:rPr>
            </w:pPr>
          </w:p>
        </w:tc>
      </w:tr>
      <w:tr>
        <w:trPr>
          <w:trHeight w:val="113"/>
        </w:trPr>
        <w:tc>
          <w:tcPr>
            <w:tcW w:w="2320" w:type="dxa"/>
            <w:vAlign w:val="bottom"/>
          </w:tcPr>
          <w:p>
            <w:pPr>
              <w:spacing w:after="0" w:line="113"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Tranche II: LIBOR+12.00% PIK,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00" w:type="dxa"/>
            <w:vAlign w:val="bottom"/>
            <w:gridSpan w:val="2"/>
          </w:tcPr>
          <w:p>
            <w:pPr>
              <w:spacing w:after="0" w:line="157" w:lineRule="exact"/>
              <w:rPr>
                <w:sz w:val="20"/>
                <w:szCs w:val="20"/>
                <w:color w:val="auto"/>
              </w:rPr>
            </w:pPr>
            <w:r>
              <w:rPr>
                <w:rFonts w:ascii="Arial" w:cs="Arial" w:eastAsia="Arial" w:hAnsi="Arial"/>
                <w:sz w:val="14"/>
                <w:szCs w:val="14"/>
                <w:color w:val="auto"/>
              </w:rPr>
              <w:t>12.00% floor, 5% ETP, due 5/15/2021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8/3/2017</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2,173,080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2,170,069</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1,637,717</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320" w:type="dxa"/>
            <w:vAlign w:val="bottom"/>
          </w:tcPr>
          <w:p>
            <w:pPr>
              <w:spacing w:after="0" w:line="113"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Tranche III: LIBOR+12.00% PIK,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00" w:type="dxa"/>
            <w:vAlign w:val="bottom"/>
            <w:gridSpan w:val="2"/>
          </w:tcPr>
          <w:p>
            <w:pPr>
              <w:spacing w:after="0" w:line="157" w:lineRule="exact"/>
              <w:rPr>
                <w:sz w:val="20"/>
                <w:szCs w:val="20"/>
                <w:color w:val="auto"/>
              </w:rPr>
            </w:pPr>
            <w:r>
              <w:rPr>
                <w:rFonts w:ascii="Arial" w:cs="Arial" w:eastAsia="Arial" w:hAnsi="Arial"/>
                <w:sz w:val="14"/>
                <w:szCs w:val="14"/>
                <w:color w:val="auto"/>
              </w:rPr>
              <w:t>12.00% floor, 5% ETP, due 5/15/2021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7/6/2018</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542,721</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543,783</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409,016</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320" w:type="dxa"/>
            <w:vAlign w:val="bottom"/>
          </w:tcPr>
          <w:p>
            <w:pPr>
              <w:spacing w:after="0" w:line="113"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Tranche IV: LIBOR+12.00% PIK,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00" w:type="dxa"/>
            <w:vAlign w:val="bottom"/>
            <w:gridSpan w:val="2"/>
          </w:tcPr>
          <w:p>
            <w:pPr>
              <w:spacing w:after="0" w:line="157" w:lineRule="exact"/>
              <w:rPr>
                <w:sz w:val="20"/>
                <w:szCs w:val="20"/>
                <w:color w:val="auto"/>
              </w:rPr>
            </w:pPr>
            <w:r>
              <w:rPr>
                <w:rFonts w:ascii="Arial" w:cs="Arial" w:eastAsia="Arial" w:hAnsi="Arial"/>
                <w:sz w:val="14"/>
                <w:szCs w:val="14"/>
                <w:color w:val="auto"/>
              </w:rPr>
              <w:t>12.00% floor, 5% ETP, due 5/15/2021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9/5/2018</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541,964</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542,215</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408,445</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320" w:type="dxa"/>
            <w:vAlign w:val="bottom"/>
          </w:tcPr>
          <w:p>
            <w:pPr>
              <w:spacing w:after="0" w:line="113"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Tranche V: LIBOR+12.00% PIK,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00" w:type="dxa"/>
            <w:vAlign w:val="bottom"/>
            <w:gridSpan w:val="2"/>
          </w:tcPr>
          <w:p>
            <w:pPr>
              <w:spacing w:after="0" w:line="157" w:lineRule="exact"/>
              <w:rPr>
                <w:sz w:val="20"/>
                <w:szCs w:val="20"/>
                <w:color w:val="auto"/>
              </w:rPr>
            </w:pPr>
            <w:r>
              <w:rPr>
                <w:rFonts w:ascii="Arial" w:cs="Arial" w:eastAsia="Arial" w:hAnsi="Arial"/>
                <w:sz w:val="14"/>
                <w:szCs w:val="14"/>
                <w:color w:val="auto"/>
              </w:rPr>
              <w:t>12.00% floor, 5% ETP, due 5/15/2021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1/28/2019</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1,079,293</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1,073,081</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813,382</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320" w:type="dxa"/>
            <w:vAlign w:val="bottom"/>
          </w:tcPr>
          <w:p>
            <w:pPr>
              <w:spacing w:after="0" w:line="113"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Tranche VI: LIBOR+12.00% PIK,</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00" w:type="dxa"/>
            <w:vAlign w:val="bottom"/>
            <w:gridSpan w:val="2"/>
          </w:tcPr>
          <w:p>
            <w:pPr>
              <w:spacing w:after="0" w:line="157" w:lineRule="exact"/>
              <w:rPr>
                <w:sz w:val="20"/>
                <w:szCs w:val="20"/>
                <w:color w:val="auto"/>
              </w:rPr>
            </w:pPr>
            <w:r>
              <w:rPr>
                <w:rFonts w:ascii="Arial" w:cs="Arial" w:eastAsia="Arial" w:hAnsi="Arial"/>
                <w:sz w:val="14"/>
                <w:szCs w:val="14"/>
                <w:color w:val="auto"/>
              </w:rPr>
              <w:t>12.00% floor, 5% ETP, due 4/30/2021</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4"/>
              </w:rPr>
              <w:t>12/18/2019</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1,034,143</w:t>
            </w:r>
          </w:p>
        </w:tc>
        <w:tc>
          <w:tcPr>
            <w:tcW w:w="80" w:type="dxa"/>
            <w:vAlign w:val="bottom"/>
            <w:vMerge w:val="restart"/>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1,034,143</w:t>
            </w:r>
          </w:p>
        </w:tc>
        <w:tc>
          <w:tcPr>
            <w:tcW w:w="80" w:type="dxa"/>
            <w:vAlign w:val="bottom"/>
            <w:vMerge w:val="restart"/>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779,370</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11,865,327</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8,961,080</w:t>
            </w:r>
          </w:p>
        </w:tc>
        <w:tc>
          <w:tcPr>
            <w:tcW w:w="8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 xml:space="preserve">Series A-1 Preferred Stock </w:t>
            </w:r>
            <w:r>
              <w:rPr>
                <w:rFonts w:ascii="Arial" w:cs="Arial" w:eastAsia="Arial" w:hAnsi="Arial"/>
                <w:sz w:val="10"/>
                <w:szCs w:val="10"/>
                <w:color w:val="auto"/>
              </w:rPr>
              <w:t>(7)</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4"/>
              </w:rPr>
              <w:t>12/14/2020</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67,114,092</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800,000</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884,774</w:t>
            </w:r>
          </w:p>
        </w:tc>
        <w:tc>
          <w:tcPr>
            <w:tcW w:w="8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w w:val="98"/>
              </w:rPr>
              <w:t>price $1.286/share, expires 12/13/2030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12/14/2020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119,320</w:t>
            </w: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w w:val="94"/>
              </w:rPr>
              <w:t>price $2.1286/share, expires 12/13/2030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12/14/2020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5,873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298,325</w:t>
            </w: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price $5.57338/share,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20" w:type="dxa"/>
            <w:vAlign w:val="bottom"/>
          </w:tcPr>
          <w:p>
            <w:pPr>
              <w:spacing w:after="0"/>
              <w:rPr>
                <w:sz w:val="20"/>
                <w:szCs w:val="20"/>
                <w:color w:val="auto"/>
              </w:rPr>
            </w:pPr>
            <w:r>
              <w:rPr>
                <w:rFonts w:ascii="Arial" w:cs="Arial" w:eastAsia="Arial" w:hAnsi="Arial"/>
                <w:sz w:val="14"/>
                <w:szCs w:val="14"/>
                <w:color w:val="auto"/>
              </w:rPr>
              <w:t>12/13/2030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394,733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828,522</w:t>
            </w:r>
          </w:p>
        </w:tc>
        <w:tc>
          <w:tcPr>
            <w:tcW w:w="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1,246,167</w:t>
            </w:r>
          </w:p>
        </w:tc>
        <w:tc>
          <w:tcPr>
            <w:tcW w:w="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13,911,494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9,845,854</w:t>
            </w: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400" w:type="dxa"/>
            <w:vAlign w:val="bottom"/>
            <w:gridSpan w:val="2"/>
          </w:tcPr>
          <w:p>
            <w:pPr>
              <w:spacing w:after="0"/>
              <w:rPr>
                <w:sz w:val="20"/>
                <w:szCs w:val="20"/>
                <w:color w:val="auto"/>
              </w:rPr>
            </w:pPr>
            <w:r>
              <w:rPr>
                <w:rFonts w:ascii="Arial" w:cs="Arial" w:eastAsia="Arial" w:hAnsi="Arial"/>
                <w:sz w:val="14"/>
                <w:szCs w:val="14"/>
                <w:color w:val="auto"/>
              </w:rPr>
              <w:t>Bonds, 5.75% Interest rate, due</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320" w:type="dxa"/>
            <w:vAlign w:val="bottom"/>
          </w:tcPr>
          <w:p>
            <w:pPr>
              <w:spacing w:after="0"/>
              <w:rPr>
                <w:sz w:val="20"/>
                <w:szCs w:val="20"/>
                <w:color w:val="auto"/>
              </w:rPr>
            </w:pPr>
            <w:r>
              <w:rPr>
                <w:rFonts w:ascii="Arial" w:cs="Arial" w:eastAsia="Arial" w:hAnsi="Arial"/>
                <w:sz w:val="14"/>
                <w:szCs w:val="14"/>
                <w:color w:val="auto"/>
              </w:rPr>
              <w:t xml:space="preserve">7/15/2022 </w:t>
            </w:r>
            <w:r>
              <w:rPr>
                <w:rFonts w:ascii="Arial" w:cs="Arial" w:eastAsia="Arial" w:hAnsi="Arial"/>
                <w:sz w:val="10"/>
                <w:szCs w:val="10"/>
                <w:color w:val="auto"/>
              </w:rPr>
              <w:t>(3)</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3/23/2020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13,227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253,095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333,453</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2400" w:type="dxa"/>
            <w:vAlign w:val="bottom"/>
            <w:gridSpan w:val="2"/>
          </w:tcPr>
          <w:p>
            <w:pPr>
              <w:spacing w:after="0"/>
              <w:rPr>
                <w:sz w:val="20"/>
                <w:szCs w:val="20"/>
                <w:color w:val="auto"/>
              </w:rPr>
            </w:pPr>
            <w:r>
              <w:rPr>
                <w:rFonts w:ascii="Arial" w:cs="Arial" w:eastAsia="Arial" w:hAnsi="Arial"/>
                <w:sz w:val="14"/>
                <w:szCs w:val="14"/>
                <w:color w:val="auto"/>
              </w:rPr>
              <w:t>Tranche I: LIBOR+9.00%, 11.35%</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floor, 4.50% ETP, due 12/15/2021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6/29/2018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25,573,394</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26,487,949</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Tranche II: LIBOR+9.00%, 11.35%</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gridSpan w:val="2"/>
          </w:tcPr>
          <w:p>
            <w:pPr>
              <w:spacing w:after="0"/>
              <w:rPr>
                <w:sz w:val="20"/>
                <w:szCs w:val="20"/>
                <w:color w:val="auto"/>
              </w:rPr>
            </w:pPr>
            <w:r>
              <w:rPr>
                <w:rFonts w:ascii="Arial" w:cs="Arial" w:eastAsia="Arial" w:hAnsi="Arial"/>
                <w:sz w:val="14"/>
                <w:szCs w:val="14"/>
                <w:color w:val="auto"/>
              </w:rPr>
              <w:t>floor, 4.50% ETP, due 12/15/2021</w:t>
            </w:r>
          </w:p>
        </w:tc>
        <w:tc>
          <w:tcPr>
            <w:tcW w:w="720" w:type="dxa"/>
            <w:vAlign w:val="bottom"/>
          </w:tcPr>
          <w:p>
            <w:pPr>
              <w:jc w:val="right"/>
              <w:spacing w:after="0"/>
              <w:rPr>
                <w:sz w:val="20"/>
                <w:szCs w:val="20"/>
                <w:color w:val="auto"/>
              </w:rPr>
            </w:pPr>
            <w:r>
              <w:rPr>
                <w:rFonts w:ascii="Arial" w:cs="Arial" w:eastAsia="Arial" w:hAnsi="Arial"/>
                <w:sz w:val="14"/>
                <w:szCs w:val="14"/>
                <w:color w:val="auto"/>
              </w:rPr>
              <w:t>3/31/2020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2,500,000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2,546,484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2,648,795</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-4354830</wp:posOffset>
            </wp:positionV>
            <wp:extent cx="6292215"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5430"/>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-3823335</wp:posOffset>
            </wp:positionV>
            <wp:extent cx="6292215"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5430"/>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-3291840</wp:posOffset>
            </wp:positionV>
            <wp:extent cx="6292215"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5430"/>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-2760345</wp:posOffset>
            </wp:positionV>
            <wp:extent cx="629221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-2468880</wp:posOffset>
            </wp:positionV>
            <wp:extent cx="6292215" cy="93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-2186305</wp:posOffset>
            </wp:positionV>
            <wp:extent cx="6292215" cy="94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9461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-1997710</wp:posOffset>
            </wp:positionV>
            <wp:extent cx="629221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-1620520</wp:posOffset>
            </wp:positionV>
            <wp:extent cx="6292215"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83210"/>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-1234440</wp:posOffset>
            </wp:positionV>
            <wp:extent cx="629221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-857250</wp:posOffset>
            </wp:positionV>
            <wp:extent cx="6292215"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-574675</wp:posOffset>
            </wp:positionV>
            <wp:extent cx="6292215" cy="93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-386080</wp:posOffset>
            </wp:positionV>
            <wp:extent cx="629221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-4552315</wp:posOffset>
            </wp:positionV>
            <wp:extent cx="6292215"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02870"/>
                    </a:xfrm>
                    <a:prstGeom prst="rect">
                      <a:avLst/>
                    </a:prstGeom>
                    <a:noFill/>
                  </pic:spPr>
                </pic:pic>
              </a:graphicData>
            </a:graphic>
          </wp:anchor>
        </w:drawing>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3160" w:space="200"/>
            <w:col w:w="6560"/>
          </w:cols>
          <w:pgMar w:left="980" w:top="517" w:right="99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4"/>
                <w:szCs w:val="14"/>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4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(13)</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(continued)</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Brilliant Earth, LLC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Internet Retail</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Tranche I: LIBOR+8.25%, 9.25% floor,</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4.50% ETP, due 10/15/2023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$ 34,722,601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34,722,601</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1"/>
              </w:rPr>
              <w:t>7.45 %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LIBOR+8.25%, 9.25%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0.75% ETP, due 10/15/2023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12/17/2020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29,733,181</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29,758,229</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Circadence Corporation</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LIBOR+9.50%, 12.00% floor, 7.50%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12/15/2022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12/20/2018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16,348,200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15,598,546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CloudPassage,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Data Processing &amp;</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LIBOR+7.50%, 1.00% PIK, 10.00%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Outsourced</w:t>
            </w:r>
          </w:p>
        </w:tc>
        <w:tc>
          <w:tcPr>
            <w:tcW w:w="24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 xml:space="preserve">floor, 2.75% ETP, due 6/13/2023 </w:t>
            </w:r>
            <w:r>
              <w:rPr>
                <w:rFonts w:ascii="Arial" w:cs="Arial" w:eastAsia="Arial" w:hAnsi="Arial"/>
                <w:sz w:val="10"/>
                <w:szCs w:val="10"/>
                <w:color w:val="auto"/>
              </w:rPr>
              <w:t>(4)</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7,615,625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7,540,959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7,447,536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CloudPay Solutions Ltd.</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3"/>
              </w:rPr>
              <w:t>Human Resource &amp;</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LIBOR+9.50%, 1.25% PIK, 11.25%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Employment</w:t>
            </w:r>
          </w:p>
        </w:tc>
        <w:tc>
          <w:tcPr>
            <w:tcW w:w="248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7"/>
              </w:rPr>
              <w:t xml:space="preserve">floor, 3.00% ETP, due 12/15/2023 </w:t>
            </w:r>
            <w:r>
              <w:rPr>
                <w:rFonts w:ascii="Arial" w:cs="Arial" w:eastAsia="Arial" w:hAnsi="Arial"/>
                <w:sz w:val="10"/>
                <w:szCs w:val="10"/>
                <w:color w:val="auto"/>
                <w:w w:val="97"/>
              </w:rPr>
              <w:t>(3),(4),</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2400" w:type="dxa"/>
            <w:vAlign w:val="bottom"/>
            <w:gridSpan w:val="2"/>
          </w:tcPr>
          <w:p>
            <w:pPr>
              <w:ind w:left="80"/>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25,146,185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24,772,553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24,772,553</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Credit Sesame,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Specialized</w:t>
            </w: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LIBOR+8.35%, 10.25%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3"/>
              </w:rPr>
              <w:t>Consumer Services</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2.50% ETP, due 12/15/2023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34,693,762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34,531,361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w w:val="99"/>
              </w:rPr>
              <w:t>Tranche II: LIBOR+8.35% , 2.00% PIK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on overadvance, 10.25% floor, due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rPr>
              <w:t xml:space="preserve">5/15/2023 </w:t>
            </w:r>
            <w:r>
              <w:rPr>
                <w:rFonts w:ascii="Arial" w:cs="Arial" w:eastAsia="Arial" w:hAnsi="Arial"/>
                <w:sz w:val="10"/>
                <w:szCs w:val="10"/>
                <w:color w:val="auto"/>
              </w:rPr>
              <w:t>(4)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9,489,736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9,489,736</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9,362,671</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LIBOR+9.15%, 11.50% floor, 5.13%</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11/15/2021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5,872,257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6,177,307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6,180,487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Echo 360 Holdings,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5"/>
              </w:rPr>
              <w:t>Education Services</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LIBOR+9.25%, 12.05%</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4.00% ETP, due 5/3/2023</w:t>
            </w:r>
          </w:p>
        </w:tc>
        <w:tc>
          <w:tcPr>
            <w:tcW w:w="720" w:type="dxa"/>
            <w:vAlign w:val="bottom"/>
          </w:tcPr>
          <w:p>
            <w:pPr>
              <w:jc w:val="right"/>
              <w:spacing w:after="0"/>
              <w:rPr>
                <w:sz w:val="20"/>
                <w:szCs w:val="20"/>
                <w:color w:val="auto"/>
              </w:rPr>
            </w:pPr>
            <w:r>
              <w:rPr>
                <w:rFonts w:ascii="Arial" w:cs="Arial" w:eastAsia="Arial" w:hAnsi="Arial"/>
                <w:sz w:val="14"/>
                <w:szCs w:val="14"/>
                <w:color w:val="auto"/>
              </w:rPr>
              <w:t>5/3/2019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14,000,000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14,078,320</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14,324,161</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LIBOR+9.25%, 12.05%</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4.00% ETP, due 5/3/2023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3,029,295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3,069,463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FiscalNote,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LIBOR+9.25%, 9.75% floor, 5.00%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8/21/2023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10/19/2020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45,000,000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44,330,193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44,330,193</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9.51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LIBOR+8.75%, 9.25% floor, 3.50%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29,156,536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29,156,536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248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LIBOR+8.00%, 10.50%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and Services</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floor, 2.50% ETP, due 7/15/2023</w:t>
            </w:r>
          </w:p>
        </w:tc>
        <w:tc>
          <w:tcPr>
            <w:tcW w:w="720" w:type="dxa"/>
            <w:vAlign w:val="bottom"/>
          </w:tcPr>
          <w:p>
            <w:pPr>
              <w:jc w:val="right"/>
              <w:spacing w:after="0"/>
              <w:rPr>
                <w:sz w:val="20"/>
                <w:szCs w:val="20"/>
                <w:color w:val="auto"/>
              </w:rPr>
            </w:pPr>
            <w:r>
              <w:rPr>
                <w:rFonts w:ascii="Arial" w:cs="Arial" w:eastAsia="Arial" w:hAnsi="Arial"/>
                <w:sz w:val="14"/>
                <w:szCs w:val="14"/>
                <w:color w:val="auto"/>
              </w:rPr>
              <w:t>7/26/2019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19,899,836</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19,817,189</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LIBOR+8.00%, 10.50%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2.50% ETP, due 7/15/2023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9,825,946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9,908,594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Internet Software</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LIBOR+8.75%, 10.75% floor, 3.00%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gridSpan w:val="5"/>
          </w:tcPr>
          <w:p>
            <w:pPr>
              <w:spacing w:after="0"/>
              <w:rPr>
                <w:sz w:val="20"/>
                <w:szCs w:val="20"/>
                <w:color w:val="auto"/>
              </w:rPr>
            </w:pPr>
            <w:r>
              <w:rPr>
                <w:rFonts w:ascii="Arial" w:cs="Arial" w:eastAsia="Arial" w:hAnsi="Arial"/>
                <w:sz w:val="14"/>
                <w:szCs w:val="14"/>
                <w:color w:val="auto"/>
              </w:rPr>
              <w:t>JW Player)</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and Services</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6/15/2023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30,054,163</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30,270,499</w:t>
            </w:r>
          </w:p>
        </w:tc>
        <w:tc>
          <w:tcPr>
            <w:tcW w:w="8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24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Computer &amp;</w:t>
            </w:r>
          </w:p>
        </w:tc>
        <w:tc>
          <w:tcPr>
            <w:tcW w:w="8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LIBOR+8.25%, 10.65% floor, 4.00%</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Electronics Retail</w:t>
            </w:r>
          </w:p>
        </w:tc>
        <w:tc>
          <w:tcPr>
            <w:tcW w:w="24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ETP, due 1/15/2023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18,474,451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18,597,407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18,405,948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3.95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w w:val="96"/>
              </w:rPr>
              <w:t>Mingle Healthcare Solutions, Inc.</w:t>
            </w:r>
          </w:p>
        </w:tc>
        <w:tc>
          <w:tcPr>
            <w:tcW w:w="12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LIBOR+9.50%, 11.75% floor, 10.00%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Technology</w:t>
            </w:r>
          </w:p>
        </w:tc>
        <w:tc>
          <w:tcPr>
            <w:tcW w:w="2480" w:type="dxa"/>
            <w:vAlign w:val="bottom"/>
            <w:gridSpan w:val="3"/>
          </w:tcPr>
          <w:p>
            <w:pPr>
              <w:ind w:left="80"/>
              <w:spacing w:after="0"/>
              <w:rPr>
                <w:sz w:val="20"/>
                <w:szCs w:val="20"/>
                <w:color w:val="auto"/>
              </w:rPr>
            </w:pPr>
            <w:r>
              <w:rPr>
                <w:rFonts w:ascii="Arial" w:cs="Arial" w:eastAsia="Arial" w:hAnsi="Arial"/>
                <w:sz w:val="14"/>
                <w:szCs w:val="14"/>
                <w:color w:val="auto"/>
              </w:rPr>
              <w:t>ETP, due 8/15/2022</w:t>
            </w: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4,416,667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4,683,180</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4,646,930</w:t>
            </w:r>
          </w:p>
        </w:tc>
        <w:tc>
          <w:tcPr>
            <w:tcW w:w="80" w:type="dxa"/>
            <w:vAlign w:val="bottom"/>
          </w:tcPr>
          <w:p>
            <w:pPr>
              <w:spacing w:after="0"/>
              <w:rPr>
                <w:sz w:val="15"/>
                <w:szCs w:val="15"/>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Acquisition</w:t>
            </w:r>
          </w:p>
        </w:tc>
        <w:tc>
          <w:tcPr>
            <w:tcW w:w="8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80" w:type="dxa"/>
            <w:vAlign w:val="bottom"/>
          </w:tcPr>
          <w:p>
            <w:pPr>
              <w:spacing w:after="0"/>
              <w:rPr>
                <w:sz w:val="12"/>
                <w:szCs w:val="12"/>
                <w:color w:val="auto"/>
              </w:rPr>
            </w:pPr>
          </w:p>
        </w:tc>
        <w:tc>
          <w:tcPr>
            <w:tcW w:w="11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Sub-Industry</w:t>
            </w:r>
          </w:p>
        </w:tc>
        <w:tc>
          <w:tcPr>
            <w:tcW w:w="80" w:type="dxa"/>
            <w:vAlign w:val="bottom"/>
          </w:tcPr>
          <w:p>
            <w:pPr>
              <w:spacing w:after="0"/>
              <w:rPr>
                <w:sz w:val="12"/>
                <w:szCs w:val="12"/>
                <w:color w:val="auto"/>
              </w:rPr>
            </w:pPr>
          </w:p>
        </w:tc>
        <w:tc>
          <w:tcPr>
            <w:tcW w:w="2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3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(13)</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(continued)</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8"/>
              </w:rPr>
              <w:t>3DNA Corp. (dba NationBuilder)</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 LIBOR+9.00%, 11.50%</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5.50% ETP, due 4/15/2023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12/28/2018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7,000,000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7,160,591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7,079,561</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 LIBOR+9.00%, 11.50%</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floor, 5.50% ETP, due 4/15/2023</w:t>
            </w:r>
          </w:p>
        </w:tc>
        <w:tc>
          <w:tcPr>
            <w:tcW w:w="700" w:type="dxa"/>
            <w:vAlign w:val="bottom"/>
          </w:tcPr>
          <w:p>
            <w:pPr>
              <w:jc w:val="right"/>
              <w:spacing w:after="0"/>
              <w:rPr>
                <w:sz w:val="20"/>
                <w:szCs w:val="20"/>
                <w:color w:val="auto"/>
              </w:rPr>
            </w:pPr>
            <w:r>
              <w:rPr>
                <w:rFonts w:ascii="Arial" w:cs="Arial" w:eastAsia="Arial" w:hAnsi="Arial"/>
                <w:sz w:val="14"/>
                <w:szCs w:val="14"/>
                <w:color w:val="auto"/>
              </w:rPr>
              <w:t>6/12/2019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512,117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505,683</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Ouster,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LIBOR+8.50%, 10.75% floor, 5%</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1"/>
              </w:rPr>
              <w:t>Hardware, Storage</w:t>
            </w:r>
          </w:p>
        </w:tc>
        <w:tc>
          <w:tcPr>
            <w:tcW w:w="24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ETP, due 11/15/2021</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&amp; Peripherals</w:t>
            </w:r>
          </w:p>
        </w:tc>
        <w:tc>
          <w:tcPr>
            <w:tcW w:w="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11/27/2018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7,134,750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7,234,515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Pivot3, Inc.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3"/>
              </w:rPr>
              <w:t>Data Processing &amp;</w:t>
            </w: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LIBOR+8.50% PIK,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Outsourced</w:t>
            </w:r>
          </w:p>
        </w:tc>
        <w:tc>
          <w:tcPr>
            <w:tcW w:w="24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11.00% floor, 4.00% ETP, due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 xml:space="preserve">11/15/2022 </w:t>
            </w:r>
            <w:r>
              <w:rPr>
                <w:rFonts w:ascii="Arial" w:cs="Arial" w:eastAsia="Arial" w:hAnsi="Arial"/>
                <w:sz w:val="10"/>
                <w:szCs w:val="10"/>
                <w:color w:val="auto"/>
              </w:rPr>
              <w:t>(4)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5/13/2019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21,345,001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21,609,825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19,864,282</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LIBOR+8.50% PIK,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xml:space="preserve">11.00% floor, due 11/15/2022 </w:t>
            </w:r>
            <w:r>
              <w:rPr>
                <w:rFonts w:ascii="Arial" w:cs="Arial" w:eastAsia="Arial" w:hAnsi="Arial"/>
                <w:sz w:val="10"/>
                <w:szCs w:val="10"/>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1,022,772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1,022,772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951,822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III: LIBOR+8.50% PIK,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 xml:space="preserve">11.00% floor, due 11/15/2022 </w:t>
            </w:r>
            <w:r>
              <w:rPr>
                <w:rFonts w:ascii="Arial" w:cs="Arial" w:eastAsia="Arial" w:hAnsi="Arial"/>
                <w:sz w:val="10"/>
                <w:szCs w:val="10"/>
                <w:color w:val="auto"/>
              </w:rPr>
              <w:t>(4)</w:t>
            </w:r>
          </w:p>
        </w:tc>
        <w:tc>
          <w:tcPr>
            <w:tcW w:w="700" w:type="dxa"/>
            <w:vAlign w:val="bottom"/>
          </w:tcPr>
          <w:p>
            <w:pPr>
              <w:jc w:val="right"/>
              <w:spacing w:after="0"/>
              <w:rPr>
                <w:sz w:val="20"/>
                <w:szCs w:val="20"/>
                <w:color w:val="auto"/>
              </w:rPr>
            </w:pPr>
            <w:r>
              <w:rPr>
                <w:rFonts w:ascii="Arial" w:cs="Arial" w:eastAsia="Arial" w:hAnsi="Arial"/>
                <w:sz w:val="14"/>
                <w:szCs w:val="14"/>
                <w:color w:val="auto"/>
              </w:rPr>
              <w:t>10/2/2020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930,629</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LIBOR+8.50%, 2.00% PIK, 9.05%</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Software</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xml:space="preserve">floor, 3.50% ETP, due 7/22/2024 </w:t>
            </w:r>
            <w:r>
              <w:rPr>
                <w:rFonts w:ascii="Arial" w:cs="Arial" w:eastAsia="Arial" w:hAnsi="Arial"/>
                <w:sz w:val="10"/>
                <w:szCs w:val="10"/>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40,327,734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40,206,479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40,206,479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ShareThis, Inc.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3"/>
              </w:rPr>
              <w:t>Data Processing &amp;</w:t>
            </w: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LIBOR+9.25%, 11.60%</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Outsourced</w:t>
            </w:r>
          </w:p>
        </w:tc>
        <w:tc>
          <w:tcPr>
            <w:tcW w:w="24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floor, 3.00% ETP, due 12/31/2022</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Services</w:t>
            </w: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12/3/2018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19,250,000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18,850,776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18,850,776</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LIBOR+9.25%, 11.60%</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3.00% ETP, due 12/31/2022</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730,458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730,457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III: LIBOR+9.25%, 11.60%</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floor, 3.00% ETP, due 12/31/2022</w:t>
            </w:r>
          </w:p>
        </w:tc>
        <w:tc>
          <w:tcPr>
            <w:tcW w:w="700" w:type="dxa"/>
            <w:vAlign w:val="bottom"/>
          </w:tcPr>
          <w:p>
            <w:pPr>
              <w:jc w:val="right"/>
              <w:spacing w:after="0"/>
              <w:rPr>
                <w:sz w:val="20"/>
                <w:szCs w:val="20"/>
                <w:color w:val="auto"/>
              </w:rPr>
            </w:pPr>
            <w:r>
              <w:rPr>
                <w:rFonts w:ascii="Arial" w:cs="Arial" w:eastAsia="Arial" w:hAnsi="Arial"/>
                <w:sz w:val="14"/>
                <w:szCs w:val="14"/>
                <w:color w:val="auto"/>
              </w:rPr>
              <w:t>7/24/2019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965,131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965,131</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IV: LIBOR+8.25%, 10.60%</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floor, 3.00% ETP, due 12/31/2022</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997,975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997,975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The Kairn Corporation</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246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Tranche I: LIBOR+9.50% PIK,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 xml:space="preserve">10.81% floor, due 12/15/2022 </w:t>
            </w:r>
            <w:r>
              <w:rPr>
                <w:rFonts w:ascii="Arial" w:cs="Arial" w:eastAsia="Arial" w:hAnsi="Arial"/>
                <w:sz w:val="10"/>
                <w:szCs w:val="10"/>
                <w:color w:val="auto"/>
              </w:rPr>
              <w:t>(4)</w:t>
            </w:r>
          </w:p>
        </w:tc>
        <w:tc>
          <w:tcPr>
            <w:tcW w:w="700" w:type="dxa"/>
            <w:vAlign w:val="bottom"/>
          </w:tcPr>
          <w:p>
            <w:pPr>
              <w:jc w:val="right"/>
              <w:spacing w:after="0"/>
              <w:rPr>
                <w:sz w:val="20"/>
                <w:szCs w:val="20"/>
                <w:color w:val="auto"/>
              </w:rPr>
            </w:pPr>
            <w:r>
              <w:rPr>
                <w:rFonts w:ascii="Arial" w:cs="Arial" w:eastAsia="Arial" w:hAnsi="Arial"/>
                <w:sz w:val="14"/>
                <w:szCs w:val="14"/>
                <w:color w:val="auto"/>
              </w:rPr>
              <w:t>3/24/2020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788,143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788,143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788,143</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II: Fixed 6.50% PIK, due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xml:space="preserve">3/9/2027 </w:t>
            </w:r>
            <w:r>
              <w:rPr>
                <w:rFonts w:ascii="Arial" w:cs="Arial" w:eastAsia="Arial" w:hAnsi="Arial"/>
                <w:sz w:val="10"/>
                <w:szCs w:val="10"/>
                <w:color w:val="auto"/>
              </w:rPr>
              <w:t>(4)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4,187,932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4,187,932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4,187,933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VERO Biotech LLC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tcPr>
          <w:p>
            <w:pPr>
              <w:spacing w:after="0"/>
              <w:rPr>
                <w:sz w:val="11"/>
                <w:szCs w:val="11"/>
                <w:color w:val="auto"/>
              </w:rPr>
            </w:pPr>
          </w:p>
        </w:tc>
        <w:tc>
          <w:tcPr>
            <w:tcW w:w="23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LIBOR+9.05%, 9.55% floor, 3.00%</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Technology</w:t>
            </w:r>
          </w:p>
        </w:tc>
        <w:tc>
          <w:tcPr>
            <w:tcW w:w="246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ETP, due 12/1/2024</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1"/>
              </w:rPr>
              <w:t>12/29/2020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25,000,000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24,269,950</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24,269,950</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gridSpan w:val="3"/>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Loans</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494,689,952</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493,003,577</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105.74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9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Stocks</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tcPr>
          <w:p>
            <w:pPr>
              <w:spacing w:after="0" w:line="130" w:lineRule="exact"/>
              <w:rPr>
                <w:sz w:val="20"/>
                <w:szCs w:val="20"/>
                <w:color w:val="auto"/>
              </w:rPr>
            </w:pPr>
            <w:r>
              <w:rPr>
                <w:rFonts w:ascii="Arial" w:cs="Arial" w:eastAsia="Arial" w:hAnsi="Arial"/>
                <w:sz w:val="14"/>
                <w:szCs w:val="14"/>
                <w:color w:val="auto"/>
              </w:rPr>
              <w:t>Aria Systems, Inc.</w:t>
            </w:r>
          </w:p>
        </w:tc>
        <w:tc>
          <w:tcPr>
            <w:tcW w:w="11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Application</w:t>
            </w:r>
          </w:p>
        </w:tc>
        <w:tc>
          <w:tcPr>
            <w:tcW w:w="80" w:type="dxa"/>
            <w:vAlign w:val="bottom"/>
          </w:tcPr>
          <w:p>
            <w:pPr>
              <w:spacing w:after="0"/>
              <w:rPr>
                <w:sz w:val="11"/>
                <w:szCs w:val="11"/>
                <w:color w:val="auto"/>
              </w:rPr>
            </w:pPr>
          </w:p>
        </w:tc>
        <w:tc>
          <w:tcPr>
            <w:tcW w:w="23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Series G Preferred Stock </w:t>
            </w:r>
            <w:r>
              <w:rPr>
                <w:rFonts w:ascii="Arial" w:cs="Arial" w:eastAsia="Arial" w:hAnsi="Arial"/>
                <w:sz w:val="10"/>
                <w:szCs w:val="10"/>
                <w:color w:val="auto"/>
              </w:rPr>
              <w:t>(7)</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Software</w:t>
            </w: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7/10/2018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289,419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451,494</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MTBC, Inc.</w:t>
            </w:r>
          </w:p>
        </w:tc>
        <w:tc>
          <w:tcPr>
            <w:tcW w:w="11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Health Care</w:t>
            </w:r>
          </w:p>
        </w:tc>
        <w:tc>
          <w:tcPr>
            <w:tcW w:w="8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5"/>
              </w:rPr>
              <w:t>11% Series A Cumulative Redeemable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Technology</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xml:space="preserve">Perpetual Preferred Stock </w:t>
            </w:r>
            <w:r>
              <w:rPr>
                <w:rFonts w:ascii="Arial" w:cs="Arial" w:eastAsia="Arial" w:hAnsi="Arial"/>
                <w:sz w:val="10"/>
                <w:szCs w:val="10"/>
                <w:color w:val="auto"/>
              </w:rPr>
              <w:t>(15),(16)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760,000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18,687,450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14,659,600</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18,937,450</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15,111,094</w:t>
            </w:r>
          </w:p>
        </w:tc>
        <w:tc>
          <w:tcPr>
            <w:tcW w:w="8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40" w:type="dxa"/>
            <w:vAlign w:val="bottom"/>
          </w:tcPr>
          <w:p>
            <w:pPr>
              <w:spacing w:after="0"/>
              <w:rPr>
                <w:sz w:val="12"/>
                <w:szCs w:val="12"/>
                <w:color w:val="auto"/>
              </w:rPr>
            </w:pPr>
          </w:p>
        </w:tc>
        <w:tc>
          <w:tcPr>
            <w:tcW w:w="1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Sub-Industry</w:t>
            </w:r>
          </w:p>
        </w:tc>
        <w:tc>
          <w:tcPr>
            <w:tcW w:w="60" w:type="dxa"/>
            <w:vAlign w:val="bottom"/>
          </w:tcPr>
          <w:p>
            <w:pPr>
              <w:spacing w:after="0"/>
              <w:rPr>
                <w:sz w:val="12"/>
                <w:szCs w:val="12"/>
                <w:color w:val="auto"/>
              </w:rPr>
            </w:pPr>
          </w:p>
        </w:tc>
        <w:tc>
          <w:tcPr>
            <w:tcW w:w="2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8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4"/>
                <w:szCs w:val="14"/>
                <w:b w:val="1"/>
                <w:bCs w:val="1"/>
                <w:color w:val="auto"/>
              </w:rPr>
              <w:t>Date</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4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3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10"/>
                <w:szCs w:val="10"/>
                <w:color w:val="auto"/>
              </w:rPr>
              <w:t>(15)</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Software</w:t>
            </w:r>
          </w:p>
        </w:tc>
        <w:tc>
          <w:tcPr>
            <w:tcW w:w="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12/23/2020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38,079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118,100</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521,940</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0.11 %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zSpace, Inc.</w:t>
            </w:r>
          </w:p>
        </w:tc>
        <w:tc>
          <w:tcPr>
            <w:tcW w:w="12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Technology</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Common Stock</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8"/>
              </w:rPr>
              <w:t>Hardware, Storage</w:t>
            </w: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color w:val="auto"/>
              </w:rPr>
              <w:t>&amp; Peripherals</w:t>
            </w:r>
          </w:p>
        </w:tc>
        <w:tc>
          <w:tcPr>
            <w:tcW w:w="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1"/>
              </w:rPr>
              <w:t>12/31/2020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6,811,430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1,119,096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Common Stocks</w:t>
            </w:r>
          </w:p>
        </w:tc>
        <w:tc>
          <w:tcPr>
            <w:tcW w:w="4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3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1,237,196</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521,940</w:t>
            </w: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0.11</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AllClear ID, Inc.</w:t>
            </w:r>
          </w:p>
        </w:tc>
        <w:tc>
          <w:tcPr>
            <w:tcW w:w="12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Specialized</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color w:val="auto"/>
                <w:w w:val="94"/>
              </w:rPr>
              <w:t>Consumer Services</w:t>
            </w:r>
          </w:p>
        </w:tc>
        <w:tc>
          <w:tcPr>
            <w:tcW w:w="2480" w:type="dxa"/>
            <w:vAlign w:val="bottom"/>
            <w:gridSpan w:val="3"/>
          </w:tcPr>
          <w:p>
            <w:pPr>
              <w:ind w:left="60"/>
              <w:spacing w:after="0"/>
              <w:rPr>
                <w:sz w:val="20"/>
                <w:szCs w:val="20"/>
                <w:color w:val="auto"/>
              </w:rPr>
            </w:pPr>
            <w:r>
              <w:rPr>
                <w:rFonts w:ascii="Arial" w:cs="Arial" w:eastAsia="Arial" w:hAnsi="Arial"/>
                <w:sz w:val="14"/>
                <w:szCs w:val="14"/>
                <w:color w:val="auto"/>
              </w:rPr>
              <w:t>price $0.01/share, expires 9/1/2027</w:t>
            </w:r>
          </w:p>
        </w:tc>
        <w:tc>
          <w:tcPr>
            <w:tcW w:w="700" w:type="dxa"/>
            <w:vAlign w:val="bottom"/>
          </w:tcPr>
          <w:p>
            <w:pPr>
              <w:jc w:val="right"/>
              <w:spacing w:after="0"/>
              <w:rPr>
                <w:sz w:val="20"/>
                <w:szCs w:val="20"/>
                <w:color w:val="auto"/>
              </w:rPr>
            </w:pPr>
            <w:r>
              <w:rPr>
                <w:rFonts w:ascii="Arial" w:cs="Arial" w:eastAsia="Arial" w:hAnsi="Arial"/>
                <w:sz w:val="14"/>
                <w:szCs w:val="14"/>
                <w:color w:val="auto"/>
              </w:rPr>
              <w:t>9/1/2017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870,514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1,749,733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980,199</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G Preferred Stock,</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$0.8638/share, expires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6/29/2028</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6/29/2018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2,170,641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770,578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2,772,147</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Aspen Group Inc.</w:t>
            </w:r>
          </w:p>
        </w:tc>
        <w:tc>
          <w:tcPr>
            <w:tcW w:w="122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6"/>
              </w:rPr>
              <w:t>Education Services</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gridSpan w:val="3"/>
          </w:tcPr>
          <w:p>
            <w:pPr>
              <w:ind w:left="60"/>
              <w:spacing w:after="0"/>
              <w:rPr>
                <w:sz w:val="20"/>
                <w:szCs w:val="20"/>
                <w:color w:val="auto"/>
              </w:rPr>
            </w:pPr>
            <w:r>
              <w:rPr>
                <w:rFonts w:ascii="Arial" w:cs="Arial" w:eastAsia="Arial" w:hAnsi="Arial"/>
                <w:sz w:val="14"/>
                <w:szCs w:val="14"/>
                <w:color w:val="auto"/>
              </w:rPr>
              <w:t>price $6.87/share, expires 7/25/2022</w:t>
            </w:r>
          </w:p>
        </w:tc>
        <w:tc>
          <w:tcPr>
            <w:tcW w:w="700" w:type="dxa"/>
            <w:vAlign w:val="bottom"/>
          </w:tcPr>
          <w:p>
            <w:pPr>
              <w:jc w:val="right"/>
              <w:spacing w:after="0"/>
              <w:rPr>
                <w:sz w:val="20"/>
                <w:szCs w:val="20"/>
                <w:color w:val="auto"/>
              </w:rPr>
            </w:pPr>
            <w:r>
              <w:rPr>
                <w:rFonts w:ascii="Arial" w:cs="Arial" w:eastAsia="Arial" w:hAnsi="Arial"/>
                <w:sz w:val="14"/>
                <w:szCs w:val="14"/>
                <w:color w:val="auto"/>
              </w:rPr>
              <w:t>7/25/2017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224,174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583,301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1,217,000</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Brilliant Earth, LLC</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Internet Retail</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Class P Units, exercise</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price $5.25/share, expires 9/30/2029</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9/30/2019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333,333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973,000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1,380,000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Class P Units, exercise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gridSpan w:val="3"/>
          </w:tcPr>
          <w:p>
            <w:pPr>
              <w:ind w:left="60"/>
              <w:spacing w:after="0"/>
              <w:rPr>
                <w:sz w:val="20"/>
                <w:szCs w:val="20"/>
                <w:color w:val="auto"/>
              </w:rPr>
            </w:pPr>
            <w:r>
              <w:rPr>
                <w:rFonts w:ascii="Arial" w:cs="Arial" w:eastAsia="Arial" w:hAnsi="Arial"/>
                <w:sz w:val="14"/>
                <w:szCs w:val="14"/>
                <w:color w:val="auto"/>
                <w:w w:val="98"/>
              </w:rPr>
              <w:t>price $10.00/share, expires 12/17/2030</w:t>
            </w:r>
          </w:p>
        </w:tc>
        <w:tc>
          <w:tcPr>
            <w:tcW w:w="700" w:type="dxa"/>
            <w:vAlign w:val="bottom"/>
          </w:tcPr>
          <w:p>
            <w:pPr>
              <w:jc w:val="right"/>
              <w:spacing w:after="0"/>
              <w:rPr>
                <w:sz w:val="20"/>
                <w:szCs w:val="20"/>
                <w:color w:val="auto"/>
              </w:rPr>
            </w:pPr>
            <w:r>
              <w:rPr>
                <w:rFonts w:ascii="Arial" w:cs="Arial" w:eastAsia="Arial" w:hAnsi="Arial"/>
                <w:sz w:val="14"/>
                <w:szCs w:val="14"/>
                <w:color w:val="auto"/>
                <w:w w:val="91"/>
              </w:rPr>
              <w:t>12/17/2020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25,500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25,500</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Circadence Corporation</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Warrant for Series A-6 Preferred Stock,</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$1.17/share, expires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12/20/2028</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12/20/2018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1,538,462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3,630,000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3,083,703</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6"/>
              </w:rPr>
              <w:t>Warrant for Series A-6 Preferred Stock,</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exercise price $1.17/share,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20" w:type="dxa"/>
            <w:vAlign w:val="bottom"/>
            <w:gridSpan w:val="2"/>
          </w:tcPr>
          <w:p>
            <w:pPr>
              <w:ind w:left="60"/>
              <w:spacing w:after="0"/>
              <w:rPr>
                <w:sz w:val="20"/>
                <w:szCs w:val="20"/>
                <w:color w:val="auto"/>
              </w:rPr>
            </w:pPr>
            <w:r>
              <w:rPr>
                <w:rFonts w:ascii="Arial" w:cs="Arial" w:eastAsia="Arial" w:hAnsi="Arial"/>
                <w:sz w:val="14"/>
                <w:szCs w:val="14"/>
                <w:color w:val="auto"/>
              </w:rPr>
              <w:t>10/31/2029</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1"/>
              </w:rPr>
              <w:t>10/31/2019</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384,615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845,540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770,926</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CloudPassage, Inc.</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Data Processing &amp;</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Warrant for Series D-1 Preferred Stock,</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Outsourced</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$1.60/share, expires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6/13/2029</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6/13/2019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210,938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273,798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116,135</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CloudPay Solutions Ltd.</w:t>
            </w:r>
          </w:p>
        </w:tc>
        <w:tc>
          <w:tcPr>
            <w:tcW w:w="122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4"/>
              </w:rPr>
              <w:t>Human Resource &amp;</w:t>
            </w:r>
          </w:p>
        </w:tc>
        <w:tc>
          <w:tcPr>
            <w:tcW w:w="248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Warrant for Series B Preferred Stock,</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Employment</w:t>
            </w:r>
          </w:p>
        </w:tc>
        <w:tc>
          <w:tcPr>
            <w:tcW w:w="24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exercise price $66.53/share, expires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color w:val="auto"/>
              </w:rPr>
              <w:t>Services</w:t>
            </w:r>
          </w:p>
        </w:tc>
        <w:tc>
          <w:tcPr>
            <w:tcW w:w="2420" w:type="dxa"/>
            <w:vAlign w:val="bottom"/>
            <w:gridSpan w:val="2"/>
          </w:tcPr>
          <w:p>
            <w:pPr>
              <w:ind w:left="60"/>
              <w:spacing w:after="0"/>
              <w:rPr>
                <w:sz w:val="20"/>
                <w:szCs w:val="20"/>
                <w:color w:val="auto"/>
              </w:rPr>
            </w:pPr>
            <w:r>
              <w:rPr>
                <w:rFonts w:ascii="Arial" w:cs="Arial" w:eastAsia="Arial" w:hAnsi="Arial"/>
                <w:sz w:val="14"/>
                <w:szCs w:val="14"/>
                <w:color w:val="auto"/>
              </w:rPr>
              <w:t xml:space="preserve">6/30/2030 </w:t>
            </w:r>
            <w:r>
              <w:rPr>
                <w:rFonts w:ascii="Arial" w:cs="Arial" w:eastAsia="Arial" w:hAnsi="Arial"/>
                <w:sz w:val="10"/>
                <w:szCs w:val="10"/>
                <w:color w:val="auto"/>
              </w:rPr>
              <w:t>(3),(11)</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6/30/2020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11,273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217,500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298,697</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Credit Sesame, Inc.</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Specialized</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4"/>
              </w:rPr>
              <w:t>Consumer Services</w:t>
            </w:r>
          </w:p>
        </w:tc>
        <w:tc>
          <w:tcPr>
            <w:tcW w:w="24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price $0.01/share, expires 1/7/2030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424,800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596,167</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Dejero Labs Inc.</w:t>
            </w:r>
          </w:p>
        </w:tc>
        <w:tc>
          <w:tcPr>
            <w:tcW w:w="12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System Software</w:t>
            </w:r>
          </w:p>
        </w:tc>
        <w:tc>
          <w:tcPr>
            <w:tcW w:w="248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80" w:type="dxa"/>
            <w:vAlign w:val="bottom"/>
            <w:gridSpan w:val="3"/>
          </w:tcPr>
          <w:p>
            <w:pPr>
              <w:ind w:left="60"/>
              <w:spacing w:after="0" w:line="157" w:lineRule="exact"/>
              <w:rPr>
                <w:sz w:val="20"/>
                <w:szCs w:val="20"/>
                <w:color w:val="auto"/>
              </w:rPr>
            </w:pPr>
            <w:r>
              <w:rPr>
                <w:rFonts w:ascii="Arial" w:cs="Arial" w:eastAsia="Arial" w:hAnsi="Arial"/>
                <w:sz w:val="14"/>
                <w:szCs w:val="14"/>
                <w:color w:val="auto"/>
                <w:w w:val="97"/>
              </w:rPr>
              <w:t xml:space="preserve">price $0.01/share, expires 5/31/2029 </w:t>
            </w:r>
            <w:r>
              <w:rPr>
                <w:rFonts w:ascii="Arial" w:cs="Arial" w:eastAsia="Arial" w:hAnsi="Arial"/>
                <w:sz w:val="10"/>
                <w:szCs w:val="10"/>
                <w:color w:val="auto"/>
                <w:w w:val="97"/>
              </w:rPr>
              <w:t>(3),</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5/31/2019</w:t>
            </w: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333,621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192,499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264,160</w:t>
            </w:r>
          </w:p>
        </w:tc>
        <w:tc>
          <w:tcPr>
            <w:tcW w:w="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0.06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20" w:type="dxa"/>
            <w:vAlign w:val="bottom"/>
            <w:gridSpan w:val="2"/>
          </w:tcPr>
          <w:p>
            <w:pPr>
              <w:ind w:left="60"/>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C-Prime Preferred</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Stock, exercise price $0.6000/share,</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expires 6/1/2025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297,136</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C-Prime Preferred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Stock, exercise price $0.6000/share,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gridSpan w:val="3"/>
          </w:tcPr>
          <w:p>
            <w:pPr>
              <w:ind w:left="60"/>
              <w:spacing w:after="0"/>
              <w:rPr>
                <w:sz w:val="20"/>
                <w:szCs w:val="20"/>
                <w:color w:val="auto"/>
              </w:rPr>
            </w:pPr>
            <w:r>
              <w:rPr>
                <w:rFonts w:ascii="Arial" w:cs="Arial" w:eastAsia="Arial" w:hAnsi="Arial"/>
                <w:sz w:val="14"/>
                <w:szCs w:val="14"/>
                <w:color w:val="auto"/>
              </w:rPr>
              <w:t>expires 7/11/2026</w:t>
            </w:r>
          </w:p>
        </w:tc>
        <w:tc>
          <w:tcPr>
            <w:tcW w:w="700" w:type="dxa"/>
            <w:vAlign w:val="bottom"/>
          </w:tcPr>
          <w:p>
            <w:pPr>
              <w:jc w:val="right"/>
              <w:spacing w:after="0"/>
              <w:rPr>
                <w:sz w:val="20"/>
                <w:szCs w:val="20"/>
                <w:color w:val="auto"/>
              </w:rPr>
            </w:pPr>
            <w:r>
              <w:rPr>
                <w:rFonts w:ascii="Arial" w:cs="Arial" w:eastAsia="Arial" w:hAnsi="Arial"/>
                <w:sz w:val="14"/>
                <w:szCs w:val="14"/>
                <w:color w:val="auto"/>
              </w:rPr>
              <w:t>7/11/2019</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833,333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114,719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495,226</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Echo 360 Holdings, Inc.</w:t>
            </w:r>
          </w:p>
        </w:tc>
        <w:tc>
          <w:tcPr>
            <w:tcW w:w="12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Education Services</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E Preferred Stock,</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$1.5963/share, expires</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5/3/2029</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1,066,767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299,762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629,630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Acquisition</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60" w:type="dxa"/>
            <w:vAlign w:val="bottom"/>
          </w:tcPr>
          <w:p>
            <w:pPr>
              <w:spacing w:after="0"/>
              <w:rPr>
                <w:sz w:val="12"/>
                <w:szCs w:val="12"/>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Sub-Industry</w:t>
            </w:r>
          </w:p>
        </w:tc>
        <w:tc>
          <w:tcPr>
            <w:tcW w:w="60" w:type="dxa"/>
            <w:vAlign w:val="bottom"/>
          </w:tcPr>
          <w:p>
            <w:pPr>
              <w:spacing w:after="0"/>
              <w:rPr>
                <w:sz w:val="12"/>
                <w:szCs w:val="12"/>
                <w:color w:val="auto"/>
              </w:rPr>
            </w:pPr>
          </w:p>
        </w:tc>
        <w:tc>
          <w:tcPr>
            <w:tcW w:w="2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6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3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FiscalNote, Inc.</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price $0.01/share, expires 10/19/2030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10/19/2020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194,673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438,014</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409,996</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0.09 %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Gynesonics, Inc.</w:t>
            </w:r>
          </w:p>
        </w:tc>
        <w:tc>
          <w:tcPr>
            <w:tcW w:w="12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Health Care</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Success fee, expires 12/1/2027 </w:t>
            </w:r>
            <w:r>
              <w:rPr>
                <w:rFonts w:ascii="Arial" w:cs="Arial" w:eastAsia="Arial" w:hAnsi="Arial"/>
                <w:sz w:val="10"/>
                <w:szCs w:val="10"/>
                <w:color w:val="auto"/>
              </w:rPr>
              <w:t>(12)</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Technology</w:t>
            </w:r>
          </w:p>
        </w:tc>
        <w:tc>
          <w:tcPr>
            <w:tcW w:w="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12/1/2020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498,900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506,293</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INRIX, Inc.</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Internet Software</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and Services</w:t>
            </w:r>
          </w:p>
        </w:tc>
        <w:tc>
          <w:tcPr>
            <w:tcW w:w="24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price $9.29/share, expires 7/26/2029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522,083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504,439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2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Internet Software</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gridSpan w:val="4"/>
          </w:tcPr>
          <w:p>
            <w:pPr>
              <w:spacing w:after="0"/>
              <w:rPr>
                <w:sz w:val="20"/>
                <w:szCs w:val="20"/>
                <w:color w:val="auto"/>
              </w:rPr>
            </w:pPr>
            <w:r>
              <w:rPr>
                <w:rFonts w:ascii="Arial" w:cs="Arial" w:eastAsia="Arial" w:hAnsi="Arial"/>
                <w:sz w:val="14"/>
                <w:szCs w:val="14"/>
                <w:color w:val="auto"/>
              </w:rPr>
              <w:t>JW Player)</w:t>
            </w: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and Services</w:t>
            </w:r>
          </w:p>
        </w:tc>
        <w:tc>
          <w:tcPr>
            <w:tcW w:w="2480" w:type="dxa"/>
            <w:vAlign w:val="bottom"/>
            <w:gridSpan w:val="3"/>
          </w:tcPr>
          <w:p>
            <w:pPr>
              <w:ind w:left="60"/>
              <w:spacing w:after="0"/>
              <w:rPr>
                <w:sz w:val="20"/>
                <w:szCs w:val="20"/>
                <w:color w:val="auto"/>
              </w:rPr>
            </w:pPr>
            <w:r>
              <w:rPr>
                <w:rFonts w:ascii="Arial" w:cs="Arial" w:eastAsia="Arial" w:hAnsi="Arial"/>
                <w:sz w:val="14"/>
                <w:szCs w:val="14"/>
                <w:color w:val="auto"/>
              </w:rPr>
              <w:t>price $1.49/share, expires 12/12/2029</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322,997</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38,800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304,264</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Computer &amp;</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B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Electronics Retail</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$1.1938/share,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7/22/2019</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848,093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183,188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276,478</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w w:val="99"/>
              </w:rPr>
              <w:t>Mingle Healthcare Solutions, Inc.</w:t>
            </w: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7"/>
              </w:rPr>
              <w:t>Warrant for Series AA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Health Care</w:t>
            </w:r>
          </w:p>
        </w:tc>
        <w:tc>
          <w:tcPr>
            <w:tcW w:w="24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exercise price $0.24/share,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Technology</w:t>
            </w:r>
          </w:p>
        </w:tc>
        <w:tc>
          <w:tcPr>
            <w:tcW w:w="2420" w:type="dxa"/>
            <w:vAlign w:val="bottom"/>
            <w:gridSpan w:val="2"/>
          </w:tcPr>
          <w:p>
            <w:pPr>
              <w:ind w:left="60"/>
              <w:spacing w:after="0"/>
              <w:rPr>
                <w:sz w:val="20"/>
                <w:szCs w:val="20"/>
                <w:color w:val="auto"/>
              </w:rPr>
            </w:pPr>
            <w:r>
              <w:rPr>
                <w:rFonts w:ascii="Arial" w:cs="Arial" w:eastAsia="Arial" w:hAnsi="Arial"/>
                <w:sz w:val="14"/>
                <w:szCs w:val="14"/>
                <w:color w:val="auto"/>
              </w:rPr>
              <w:t>8/15/2028</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1,625,000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492,375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MTBC, Inc.</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Health Care</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Technology</w:t>
            </w:r>
          </w:p>
        </w:tc>
        <w:tc>
          <w:tcPr>
            <w:tcW w:w="24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price $7.50/share, expires 1/8/2022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435,000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3,195,000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80" w:type="dxa"/>
            <w:vAlign w:val="bottom"/>
            <w:gridSpan w:val="3"/>
          </w:tcPr>
          <w:p>
            <w:pPr>
              <w:ind w:left="60"/>
              <w:spacing w:after="0"/>
              <w:rPr>
                <w:sz w:val="20"/>
                <w:szCs w:val="20"/>
                <w:color w:val="auto"/>
              </w:rPr>
            </w:pPr>
            <w:r>
              <w:rPr>
                <w:rFonts w:ascii="Arial" w:cs="Arial" w:eastAsia="Arial" w:hAnsi="Arial"/>
                <w:sz w:val="14"/>
                <w:szCs w:val="14"/>
                <w:color w:val="auto"/>
              </w:rPr>
              <w:t>price $10.00/share, expires 1/8/2023</w:t>
            </w:r>
          </w:p>
        </w:tc>
        <w:tc>
          <w:tcPr>
            <w:tcW w:w="720" w:type="dxa"/>
            <w:vAlign w:val="bottom"/>
          </w:tcPr>
          <w:p>
            <w:pPr>
              <w:jc w:val="right"/>
              <w:spacing w:after="0"/>
              <w:rPr>
                <w:sz w:val="20"/>
                <w:szCs w:val="20"/>
                <w:color w:val="auto"/>
              </w:rPr>
            </w:pPr>
            <w:r>
              <w:rPr>
                <w:rFonts w:ascii="Arial" w:cs="Arial" w:eastAsia="Arial" w:hAnsi="Arial"/>
                <w:sz w:val="14"/>
                <w:szCs w:val="14"/>
                <w:color w:val="auto"/>
              </w:rPr>
              <w:t>1/8/2020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1,000,000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837,000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2,492,000</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0.53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3DNA Corp. (dba NationBuilder)</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Warrant for Series C-1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Software</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$1.4643/share,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12/28/2028</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12/28/2018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273,164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104,138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66,341</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Ouster, Inc.</w:t>
            </w:r>
          </w:p>
        </w:tc>
        <w:tc>
          <w:tcPr>
            <w:tcW w:w="12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Technology</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B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Hardware, Storage</w:t>
            </w:r>
          </w:p>
        </w:tc>
        <w:tc>
          <w:tcPr>
            <w:tcW w:w="24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exercise price $0.3323/share,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&amp; Peripherals</w:t>
            </w:r>
          </w:p>
        </w:tc>
        <w:tc>
          <w:tcPr>
            <w:tcW w:w="2420" w:type="dxa"/>
            <w:vAlign w:val="bottom"/>
            <w:gridSpan w:val="2"/>
          </w:tcPr>
          <w:p>
            <w:pPr>
              <w:ind w:left="60"/>
              <w:spacing w:after="0"/>
              <w:rPr>
                <w:sz w:val="20"/>
                <w:szCs w:val="20"/>
                <w:color w:val="auto"/>
              </w:rPr>
            </w:pPr>
            <w:r>
              <w:rPr>
                <w:rFonts w:ascii="Arial" w:cs="Arial" w:eastAsia="Arial" w:hAnsi="Arial"/>
                <w:sz w:val="14"/>
                <w:szCs w:val="14"/>
                <w:color w:val="auto"/>
              </w:rPr>
              <w:t>11/27/2028</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11/27/2018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1,805,597</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103,010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9,901,935</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Pivot3, Inc.</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Data Processing &amp;</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Outsourced Services</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$0.59/share,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5/13/2029</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5/13/2019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2,033,898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216,610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Porch Group, Inc.</w:t>
            </w:r>
          </w:p>
        </w:tc>
        <w:tc>
          <w:tcPr>
            <w:tcW w:w="12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Earnout, expires 12/23/2023 </w:t>
            </w:r>
            <w:r>
              <w:rPr>
                <w:rFonts w:ascii="Arial" w:cs="Arial" w:eastAsia="Arial" w:hAnsi="Arial"/>
                <w:sz w:val="10"/>
                <w:szCs w:val="10"/>
                <w:color w:val="auto"/>
              </w:rPr>
              <w:t>(12)</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Software</w:t>
            </w:r>
          </w:p>
        </w:tc>
        <w:tc>
          <w:tcPr>
            <w:tcW w:w="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12/23/2020</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RealWear, Inc.</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Technology</w:t>
            </w: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Hardware, Storage</w:t>
            </w: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$4.4464/share,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&amp; Peripherals</w:t>
            </w: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10/5/2028</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10/5/2018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112,451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135,841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 Preferred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exercise price $4.4464/share, expires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20" w:type="dxa"/>
            <w:vAlign w:val="bottom"/>
            <w:gridSpan w:val="2"/>
          </w:tcPr>
          <w:p>
            <w:pPr>
              <w:ind w:left="60"/>
              <w:spacing w:after="0"/>
              <w:rPr>
                <w:sz w:val="20"/>
                <w:szCs w:val="20"/>
                <w:color w:val="auto"/>
              </w:rPr>
            </w:pPr>
            <w:r>
              <w:rPr>
                <w:rFonts w:ascii="Arial" w:cs="Arial" w:eastAsia="Arial" w:hAnsi="Arial"/>
                <w:sz w:val="14"/>
                <w:szCs w:val="14"/>
                <w:color w:val="auto"/>
              </w:rPr>
              <w:t>12/28/2028</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12/28/2018</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22,491</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25,248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 Preferred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$6.78/share,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6/27/2029</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6/27/2019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123,894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380,850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Scale Computing, Inc.</w:t>
            </w:r>
          </w:p>
        </w:tc>
        <w:tc>
          <w:tcPr>
            <w:tcW w:w="12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System Software</w:t>
            </w:r>
          </w:p>
        </w:tc>
        <w:tc>
          <w:tcPr>
            <w:tcW w:w="60" w:type="dxa"/>
            <w:vAlign w:val="bottom"/>
          </w:tcPr>
          <w:p>
            <w:pPr>
              <w:spacing w:after="0"/>
              <w:rPr>
                <w:sz w:val="11"/>
                <w:szCs w:val="11"/>
                <w:color w:val="auto"/>
              </w:rPr>
            </w:pPr>
          </w:p>
        </w:tc>
        <w:tc>
          <w:tcPr>
            <w:tcW w:w="24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80" w:type="dxa"/>
            <w:vAlign w:val="bottom"/>
            <w:gridSpan w:val="3"/>
          </w:tcPr>
          <w:p>
            <w:pPr>
              <w:ind w:left="60"/>
              <w:spacing w:after="0"/>
              <w:rPr>
                <w:sz w:val="20"/>
                <w:szCs w:val="20"/>
                <w:color w:val="auto"/>
              </w:rPr>
            </w:pPr>
            <w:r>
              <w:rPr>
                <w:rFonts w:ascii="Arial" w:cs="Arial" w:eastAsia="Arial" w:hAnsi="Arial"/>
                <w:sz w:val="14"/>
                <w:szCs w:val="14"/>
                <w:color w:val="auto"/>
                <w:w w:val="98"/>
              </w:rPr>
              <w:t>price $0.8031/share, expires 3/29/2029</w:t>
            </w:r>
          </w:p>
        </w:tc>
        <w:tc>
          <w:tcPr>
            <w:tcW w:w="720" w:type="dxa"/>
            <w:vAlign w:val="bottom"/>
          </w:tcPr>
          <w:p>
            <w:pPr>
              <w:jc w:val="right"/>
              <w:spacing w:after="0"/>
              <w:rPr>
                <w:sz w:val="20"/>
                <w:szCs w:val="20"/>
                <w:color w:val="auto"/>
              </w:rPr>
            </w:pPr>
            <w:r>
              <w:rPr>
                <w:rFonts w:ascii="Arial" w:cs="Arial" w:eastAsia="Arial" w:hAnsi="Arial"/>
                <w:sz w:val="14"/>
                <w:szCs w:val="14"/>
                <w:color w:val="auto"/>
              </w:rPr>
              <w:t>3/29/2019</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9,665,667</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345,816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SendtoNews Video, Inc.</w:t>
            </w:r>
          </w:p>
        </w:tc>
        <w:tc>
          <w:tcPr>
            <w:tcW w:w="12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Advertising</w:t>
            </w:r>
          </w:p>
        </w:tc>
        <w:tc>
          <w:tcPr>
            <w:tcW w:w="248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 for Class B Non-Voting Stock,</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$0.67/share, expires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 xml:space="preserve">6/30/2027 </w:t>
            </w:r>
            <w:r>
              <w:rPr>
                <w:rFonts w:ascii="Arial" w:cs="Arial" w:eastAsia="Arial" w:hAnsi="Arial"/>
                <w:sz w:val="10"/>
                <w:szCs w:val="10"/>
                <w:color w:val="auto"/>
              </w:rPr>
              <w:t>(3),(6)</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6/30/2017</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246,461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60" w:type="dxa"/>
            <w:vAlign w:val="bottom"/>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Sub-Industry</w:t>
            </w:r>
          </w:p>
        </w:tc>
        <w:tc>
          <w:tcPr>
            <w:tcW w:w="60" w:type="dxa"/>
            <w:vAlign w:val="bottom"/>
          </w:tcPr>
          <w:p>
            <w:pPr>
              <w:spacing w:after="0"/>
              <w:rPr>
                <w:sz w:val="12"/>
                <w:szCs w:val="12"/>
                <w:color w:val="auto"/>
              </w:rPr>
            </w:pPr>
          </w:p>
        </w:tc>
        <w:tc>
          <w:tcPr>
            <w:tcW w:w="24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8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Date</w:t>
            </w: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3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3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ShareThis, Inc.</w:t>
            </w:r>
          </w:p>
        </w:tc>
        <w:tc>
          <w:tcPr>
            <w:tcW w:w="120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w w:val="96"/>
              </w:rPr>
              <w:t>Data Processing &amp;</w:t>
            </w:r>
          </w:p>
        </w:tc>
        <w:tc>
          <w:tcPr>
            <w:tcW w:w="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5"/>
              </w:rPr>
              <w:t>Warrant for Series D-3 Preferred Stock,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Outsourced</w:t>
            </w:r>
          </w:p>
        </w:tc>
        <w:tc>
          <w:tcPr>
            <w:tcW w:w="246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exercise price $2.4320/share, expires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Services</w:t>
            </w:r>
          </w:p>
        </w:tc>
        <w:tc>
          <w:tcPr>
            <w:tcW w:w="2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12/3/2028</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12/3/2018</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647,615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0.46 %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tcPr>
          <w:p>
            <w:pPr>
              <w:spacing w:after="0" w:line="130" w:lineRule="exact"/>
              <w:rPr>
                <w:sz w:val="20"/>
                <w:szCs w:val="20"/>
                <w:color w:val="auto"/>
              </w:rPr>
            </w:pPr>
            <w:r>
              <w:rPr>
                <w:rFonts w:ascii="Arial" w:cs="Arial" w:eastAsia="Arial" w:hAnsi="Arial"/>
                <w:sz w:val="14"/>
                <w:szCs w:val="14"/>
                <w:color w:val="auto"/>
              </w:rPr>
              <w:t>The Kairn Corporation</w:t>
            </w:r>
          </w:p>
        </w:tc>
        <w:tc>
          <w:tcPr>
            <w:tcW w:w="120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Application</w:t>
            </w:r>
          </w:p>
        </w:tc>
        <w:tc>
          <w:tcPr>
            <w:tcW w:w="60" w:type="dxa"/>
            <w:vAlign w:val="bottom"/>
          </w:tcPr>
          <w:p>
            <w:pPr>
              <w:spacing w:after="0"/>
              <w:rPr>
                <w:sz w:val="11"/>
                <w:szCs w:val="11"/>
                <w:color w:val="auto"/>
              </w:rPr>
            </w:pPr>
          </w:p>
        </w:tc>
        <w:tc>
          <w:tcPr>
            <w:tcW w:w="24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 exercise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color w:val="auto"/>
              </w:rPr>
              <w:t>Software</w:t>
            </w:r>
          </w:p>
        </w:tc>
        <w:tc>
          <w:tcPr>
            <w:tcW w:w="2460" w:type="dxa"/>
            <w:vAlign w:val="bottom"/>
            <w:gridSpan w:val="3"/>
          </w:tcPr>
          <w:p>
            <w:pPr>
              <w:ind w:left="60"/>
              <w:spacing w:after="0"/>
              <w:rPr>
                <w:sz w:val="20"/>
                <w:szCs w:val="20"/>
                <w:color w:val="auto"/>
              </w:rPr>
            </w:pPr>
            <w:r>
              <w:rPr>
                <w:rFonts w:ascii="Arial" w:cs="Arial" w:eastAsia="Arial" w:hAnsi="Arial"/>
                <w:sz w:val="14"/>
                <w:szCs w:val="14"/>
                <w:color w:val="auto"/>
              </w:rPr>
              <w:t>price $0.01/share, expires 3/9/2030</w:t>
            </w:r>
          </w:p>
        </w:tc>
        <w:tc>
          <w:tcPr>
            <w:tcW w:w="700" w:type="dxa"/>
            <w:vAlign w:val="bottom"/>
          </w:tcPr>
          <w:p>
            <w:pPr>
              <w:jc w:val="right"/>
              <w:spacing w:after="0"/>
              <w:rPr>
                <w:sz w:val="20"/>
                <w:szCs w:val="20"/>
                <w:color w:val="auto"/>
              </w:rPr>
            </w:pPr>
            <w:r>
              <w:rPr>
                <w:rFonts w:ascii="Arial" w:cs="Arial" w:eastAsia="Arial" w:hAnsi="Arial"/>
                <w:sz w:val="14"/>
                <w:szCs w:val="14"/>
                <w:color w:val="auto"/>
              </w:rPr>
              <w:t>3/9/2020</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81,177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VERO Biotech LLC</w:t>
            </w:r>
          </w:p>
        </w:tc>
        <w:tc>
          <w:tcPr>
            <w:tcW w:w="120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Health Care</w:t>
            </w:r>
          </w:p>
        </w:tc>
        <w:tc>
          <w:tcPr>
            <w:tcW w:w="6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Success fee, expires 12/29/2025 </w:t>
            </w:r>
            <w:r>
              <w:rPr>
                <w:rFonts w:ascii="Arial" w:cs="Arial" w:eastAsia="Arial" w:hAnsi="Arial"/>
                <w:sz w:val="10"/>
                <w:szCs w:val="10"/>
                <w:color w:val="auto"/>
              </w:rPr>
              <w:t>(12)</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Technology</w:t>
            </w:r>
          </w:p>
        </w:tc>
        <w:tc>
          <w:tcPr>
            <w:tcW w:w="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12/29/2020</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233,300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233,300</w:t>
            </w:r>
          </w:p>
        </w:tc>
        <w:tc>
          <w:tcPr>
            <w:tcW w:w="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5"/>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17,558,364</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33,008,672</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gridSpan w:val="5"/>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532,676,057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541,978,736</w:t>
            </w:r>
          </w:p>
        </w:tc>
        <w:tc>
          <w:tcPr>
            <w:tcW w:w="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116.24</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1120" w:type="dxa"/>
            <w:vAlign w:val="bottom"/>
            <w:tcBorders>
              <w:top w:val="single" w:sz="8" w:color="auto"/>
              <w:bottom w:val="single" w:sz="8" w:color="CCEEFF"/>
            </w:tcBorders>
            <w:gridSpan w:val="3"/>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3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20" w:type="dxa"/>
            <w:vAlign w:val="bottom"/>
            <w:gridSpan w:val="5"/>
          </w:tcPr>
          <w:p>
            <w:pPr>
              <w:spacing w:after="0" w:line="103" w:lineRule="exact"/>
              <w:rPr>
                <w:sz w:val="20"/>
                <w:szCs w:val="20"/>
                <w:color w:val="auto"/>
              </w:rPr>
            </w:pPr>
            <w:r>
              <w:rPr>
                <w:rFonts w:ascii="Arial" w:cs="Arial" w:eastAsia="Arial" w:hAnsi="Arial"/>
                <w:sz w:val="11"/>
                <w:szCs w:val="11"/>
                <w:b w:val="1"/>
                <w:bCs w:val="1"/>
                <w:color w:val="auto"/>
              </w:rPr>
              <w:t>U.S. Treasury</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60" w:type="dxa"/>
            <w:vAlign w:val="bottom"/>
            <w:gridSpan w:val="3"/>
          </w:tcPr>
          <w:p>
            <w:pPr>
              <w:ind w:left="60"/>
              <w:spacing w:after="0" w:line="103" w:lineRule="exact"/>
              <w:rPr>
                <w:sz w:val="20"/>
                <w:szCs w:val="20"/>
                <w:color w:val="auto"/>
              </w:rPr>
            </w:pPr>
            <w:r>
              <w:rPr>
                <w:rFonts w:ascii="Arial" w:cs="Arial" w:eastAsia="Arial" w:hAnsi="Arial"/>
                <w:sz w:val="11"/>
                <w:szCs w:val="11"/>
                <w:color w:val="auto"/>
              </w:rPr>
              <w:t>U.S. Treasury Bill, 0.40%, due</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 xml:space="preserve">01/12/2021 </w:t>
            </w:r>
            <w:r>
              <w:rPr>
                <w:rFonts w:ascii="Arial" w:cs="Arial" w:eastAsia="Arial" w:hAnsi="Arial"/>
                <w:sz w:val="10"/>
                <w:szCs w:val="10"/>
                <w:color w:val="auto"/>
              </w:rPr>
              <w:t>(9)</w:t>
            </w:r>
          </w:p>
        </w:tc>
        <w:tc>
          <w:tcPr>
            <w:tcW w:w="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1"/>
              </w:rPr>
              <w:t>12/30/2020</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70,000,000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70,001,472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70,002,060</w:t>
            </w: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U.S.Treasury</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70,001,472</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70,002,060</w:t>
            </w:r>
          </w:p>
        </w:tc>
        <w:tc>
          <w:tcPr>
            <w:tcW w:w="6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Total Investments</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616,589,023</w:t>
            </w:r>
          </w:p>
        </w:tc>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w w:val="97"/>
              </w:rPr>
              <w:t>621,826,650</w:t>
            </w:r>
          </w:p>
        </w:tc>
        <w:tc>
          <w:tcPr>
            <w:tcW w:w="60" w:type="dxa"/>
            <w:vAlign w:val="bottom"/>
          </w:tcPr>
          <w:p>
            <w:pPr>
              <w:spacing w:after="0"/>
              <w:rPr>
                <w:sz w:val="14"/>
                <w:szCs w:val="14"/>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w w:val="94"/>
              </w:rPr>
              <w:t>133.37 %</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2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60" w:hanging="328"/>
        <w:spacing w:after="0" w:line="238"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2020, the 3-Month LIBOR was 0.24% and the U.S. Prime Rate was 3.25%.</w:t>
      </w:r>
    </w:p>
    <w:p>
      <w:pPr>
        <w:spacing w:after="0" w:line="74"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All investments in portfolio companies, which as of December 31, 2020 represented 118.36%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jc w:val="both"/>
        <w:ind w:left="660" w:hanging="328"/>
        <w:spacing w:after="0" w:line="255" w:lineRule="auto"/>
        <w:tabs>
          <w:tab w:leader="none" w:pos="660" w:val="left"/>
        </w:tabs>
        <w:numPr>
          <w:ilvl w:val="0"/>
          <w:numId w:val="4"/>
        </w:numPr>
        <w:rPr>
          <w:rFonts w:ascii="Arial" w:cs="Arial" w:eastAsia="Arial" w:hAnsi="Arial"/>
          <w:sz w:val="10"/>
          <w:szCs w:val="10"/>
          <w:color w:val="auto"/>
        </w:rPr>
      </w:pPr>
      <w:r>
        <w:rPr>
          <w:rFonts w:ascii="Arial" w:cs="Arial" w:eastAsia="Arial" w:hAnsi="Arial"/>
          <w:sz w:val="13"/>
          <w:szCs w:val="13"/>
          <w:color w:val="auto"/>
        </w:rPr>
        <w:t>Investment is not a qualifying asset as defined under Section 55(a) of the Investment Company Act of 1940, as amended (the “1940 Act”). Non-qualifying assets represent 10.68% of total investments at fair value as of December 31, 2020.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66" w:lineRule="exact"/>
        <w:rPr>
          <w:rFonts w:ascii="Arial" w:cs="Arial" w:eastAsia="Arial" w:hAnsi="Arial"/>
          <w:sz w:val="10"/>
          <w:szCs w:val="10"/>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Represents a PIK security. PIK interest is accrued and will be paid at maturity.</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All investments are domiciled in the United States, unless otherwise noted.</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Investment is domiciled in Canada.</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Investments are non-income producing.</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Investments are held at Fair Value net of the Fair Value of Unfunded Commitments. See Note 3 for additional detail.</w:t>
      </w:r>
    </w:p>
    <w:p>
      <w:pPr>
        <w:spacing w:after="0" w:line="95"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Treasury bills with $70,000,000 in aggregate of par value were purchased pursuant to a 0.40% reverse repurchase agreement with Goldman Sachs dated December 30, 2020 and due to the Company on January 12 2021, with a repurchase price to the Company of $69,650,000, collateralized by a 0.40% U.S. Treasury Bill due January 12 2021 with an aggregate par value of $70,000,000 and fair value of $70,002,060.</w:t>
      </w:r>
    </w:p>
    <w:p>
      <w:pPr>
        <w:spacing w:after="0" w:line="74"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Disclosures of end-of-term-payments (“ETP”) are one-time payments stated as a percentage of original principal amount.</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Investment is domiciled in the United Kingdom.</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Investment is either a cash success fee payable or earnout of shares based on the consummation of certain trigger events.</w:t>
      </w:r>
    </w:p>
    <w:p>
      <w:pPr>
        <w:spacing w:after="0" w:line="95"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The Credit Agreement (as defined in Note 10) is secured by a perfected first priority security interest in each of the Company’s senior secured term loan investments, except for the Mojix, Inc., Pivot3, Inc., and The Kairn Corporation senior secured term loans.</w:t>
      </w:r>
    </w:p>
    <w:p>
      <w:pPr>
        <w:spacing w:after="0" w:line="92"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Control investment, as defined under the 1940 Act, in which the Company owns at least 25% of the investment’s voting securities or has greater than 50% representation on its board.</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Investment is publicly traded and listed on NASDAQ.</w:t>
      </w:r>
    </w:p>
    <w:p>
      <w:pPr>
        <w:spacing w:after="0" w:line="136"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4"/>
        </w:numPr>
        <w:rPr>
          <w:rFonts w:ascii="Arial" w:cs="Arial" w:eastAsia="Arial" w:hAnsi="Arial"/>
          <w:sz w:val="11"/>
          <w:szCs w:val="11"/>
          <w:color w:val="auto"/>
        </w:rPr>
      </w:pPr>
      <w:r>
        <w:rPr>
          <w:rFonts w:ascii="Arial" w:cs="Arial" w:eastAsia="Arial" w:hAnsi="Arial"/>
          <w:sz w:val="14"/>
          <w:szCs w:val="14"/>
          <w:color w:val="auto"/>
        </w:rPr>
        <w:t>260,000 shares of MTBC, Inc. preferred stock with a fair value of $1,429,600 have restrictions on the sale of the shares due to escrow claims, and such fair value is considered a Level 2 fair value measurement under the fair value hierarchy.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294,585,551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Northeastern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113,684,806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Northwestern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70,958,641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25,071,250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Southeastern United States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24,503,250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South Central United States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22,726,932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294,160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551,824,590</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166,728,532</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Healthcare Technology</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79,159,609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Retail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65,886,330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Internet Software &amp;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60,804,985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&amp; Outsourced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53,016,743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Specialized Consumer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45,470,398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Human Resource &amp; Employment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25,071,250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Education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19,240,254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&amp; Electronics Retail</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18,682,426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Technology Hardware, Storage &amp; Peripherals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17,136,450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Specialty Finance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System Software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264,160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551,824,590</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Runway Growth Credit Fund Inc. (the “Company”) is a Maryland corporation that was formed on August 31, 2015. The Company is an externally managed, non-diversified, closed-end investment company that has elected to be regulated as a business development company (“BDC”) under the Investment Company Act of 1940, as amended (the “1940 Act”). In addition, the Company has elected to be treated, has qualified, and intends to continue to qualify annually as a regulated investment company (“RIC”) under Subchapter M of the Internal Revenue Code of 1986, as amended (the “Code”).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was formed primarily to lend to, and selectively invest in, small, fast-growing companies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In December 2016, the Company completed the initial closing of capital commitments in its first private offering of shares of common stock to investors (the “Initial Private Offering”) in reliance on exemptions from the registration requirements of the Securities Act of 1933, as amended (the “Securities Act”), and other applicable securities laws. The final closing of the Initial Private Offering occurred on December 1, 2017. As of March 31, 2021, in connection with the Initial Private Offering, the Company had total capital commitments of $275,000,000 and had issued 18,241,157 shares of its common stock for a total purchase price of $275,000,000. The Company has issued an additional 5,435,688 shares as part of the dividend reinvestment program. Refer to Note 6 for further detail.</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March 31, 2021, the Company had completed multiple closings under its second private offering (the “Second Private Offering”) and had accepted aggregate capital commitments of $174,673,500. The Company has issued 8,352,251 shares of its common stock for a total purchase price of $125,283,766 in connection with the Second Private Offering. As of March 31, 2021, $49,389,734 of capital commitments remain undrawn. As of March 31, 2021, the Company has issued 22,564 shares as an additional direct investment by Runway Growth Holdings LLC, an affiliate of RGC, at a per-share price of $15.00 for total proceeds of $338,453.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accompanying interim unaudited financial statements of the Company are prepared on the accrual basis of accounting in conformity with U.S. Generally Accepted Accounting Principles (“U.S.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2021, including the impact of the novel strain of coronavirus (“COVID-19”) pandemic thereon. The interim unaudited financial statements and notes hereto should be read in conjunction with the audited financial statements and notes thereto contained in the Company’s annual report on Form 10-K for the year ended December 31, 2020, filed with the SEC on March 11, 2021.</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items in the March 31, 2020 financial statements have been reclassified to conform to the March 31, 2021 presentation with no net effect on the net increase in net assets resulting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represents deposits held at financial institutions, while cash equivalents are highly liquid investments held at financial institutions with an original maturity of three months or less at the date of acquisition. From time to time,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Credit Facility Fees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fees and expenses associated with opening the KeyBank loan facilities or Credit Agreement (each as defined below) and CIBC USA Credit Facilities (as defined below) are being deferred and amortized as part of interest expense using the effective interest method over the term of the Credit Agreement and the Credit Facilities in accordance with ASC 470, Debt. Debt issuance costs associated with the Credit Agreement and the Credit Facilities are classified as a direct reduction of the carrying amount of borrowings with the Credit Agreement and the Credit Facilities, unless there are no outstanding borrowings, in which case the debt issuance costs are presented as an asset.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has, and may in the future, enter into reverse repurchase agreements, under the terms of a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reverse repurchase agreements. The Company requires the custodian to take possession, to have legally segregated in the Federal Reserve Book Entry System, or to have segregated within the custodian’s vault, all securities held as collateral for reverse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reverse repurchase agreement of one-day duration and 102 percent of the repurchase price in the case of all other reverse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a reverse repurchase agreement with Goldman Sachs, which expired on April 6, 2021, the Company purchased a U.S. Treasury Bill, due April 8, 2021. The fair value of the related collateral that the Company received for this agreement was $24,999,969 at March 31, 2021. Pursuant to a reverse repurchase agreement with Goldman Sachs which expired on January 6, 2021, the Company purchased a U.S. Treasury Bill, due January 12, 2021. The value of the related collateral that the Company received for this agreement was $70,002,060 at December 31, 2020. At March 31, 2021 and December 31, 2020, the repurchase liability was $24,874,914 and $69,650,000, respectively, which is reflected as Reverse repurchase agreement on the Statement of Assets and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Security transactions, if any, are recorded on a trade-date basis. Realized gains or losses from the repayment or sale of investments are measured using the specific identification method. The amortized cost basis of investments represents the original cost</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for the accretion/amortization of discounts and premiums and upfront loan origination fees. The Company reports changes from the prior period in fair value of investments that are measured at fair value as a component of net change in unrealized appreciation (depreciation) on investments on the Statements of Operations.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Dividends are recorded on the applicable ex-dividend date. Interest income, if any, adjusted for amortization of market premium and accretion of market discount, is recorded on an accrual basis to the extent that the Company expects to collect such amounts. Original issue discount,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prepayment penalties, unamortized loan origination fees, end-of-term payments, and unamortized market discounts are recorded as interest income.</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even though the Company has not yet collected the cash. Generally, when current cash interest and/or principal payments on a loan become past due, or if the Company otherwise does not expect the borrower to be able to service its debt and other obligations, the Company will place the investment on non-accrual status and will generally cease recognizing PIK interest and dividend income on that loan for financial reporting purposes until all principal and interest have been brought current through payment or through a restructuring such that the interest and dividend income is deemed to be collectible. As of March 31, 2021, and December 31, 2020, the Company has not written off any accrued and uncollected PIK interest and dividends. As of March 31, 2021, the Company had seven loans to Mojix, Inc. representing an aggregate principal funded of $11,500,000 at a fair market value of $10,135,424, on non-accrual status, which represents 2.14% of the Company’s net assets. The non-accrual loans as of March 31, 2021 had total interest of $2,123,527 that would have been accrued into income. Had the loans not been on non-accrual status, $1,627,407 would be payable, and $496,119 would be original issue discount. As of December 31, 2020, the Company had six loans to Mojix, Inc. representing an aggregate principal funded of $11,000,000 at a fair market value of $8,961,080, on non-accrual status, which represented 1.92% of the Company's net assets. The non-accrual status loans as of December 31, 2020 had total interest of $1,627,725 that would have been accrued into income. Had the loan not been on non-accrual status, $1,213,861 would be payable, and $413,864 would be original issue discount. For the three months ended March 31, 2021, approximately 5.8% of the Company’s total investment income was attributable to non-cash PIK interest and dividend income. For the three months ended March 31, 2020, approximately 3.5% of the Company’s total investment income was attributable to non-cash PIK interest and dividend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The Company measures the value of its investments at fair value in accordance with ASC </w:t>
      </w:r>
      <w:r>
        <w:rPr>
          <w:rFonts w:ascii="Arial" w:cs="Arial" w:eastAsia="Arial" w:hAnsi="Arial"/>
          <w:sz w:val="16"/>
          <w:szCs w:val="16"/>
          <w:i w:val="1"/>
          <w:iCs w:val="1"/>
          <w:color w:val="auto"/>
        </w:rPr>
        <w:t>Topic 820, Fair Value Measurements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Disclosure </w:t>
      </w:r>
      <w:r>
        <w:rPr>
          <w:rFonts w:ascii="Arial" w:cs="Arial" w:eastAsia="Arial" w:hAnsi="Arial"/>
          <w:sz w:val="16"/>
          <w:szCs w:val="16"/>
          <w:color w:val="auto"/>
        </w:rPr>
        <w:t>(“ASC Topic 820”), issued by the FASB. Fair value is the price that would be received to sell an asset or paid to transfer a</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in an orderly transaction between market participants at the measurement date. The COVID-19 pandemic and its resultant impact on economic activity and capital market volatility has impacted and may continue to have an impact on the fair market values of the Company’s portfolio investments. As a result, the fair market values of the Company’s portfolio investments may be negatively impacted after March 31, 2021 by circumstances and events that are not yet known, including the complete or continuing impact of the COVID-19 pandemic and the resulting measures taken in response thereto. The Company’s valuation process carefully considers the impact of COVID-19-related uncertainties in the various inputs utilized in the determination of the fair market value of its portfolio investments.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audit committee of the Company’s Board of Directors (the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of such investments in accordance with the valuation policy</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8" w:lineRule="exact"/>
        <w:rPr>
          <w:sz w:val="20"/>
          <w:szCs w:val="20"/>
          <w:color w:val="auto"/>
        </w:rPr>
      </w:pPr>
    </w:p>
    <w:p>
      <w:pPr>
        <w:ind w:left="580" w:hanging="315"/>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1—Valuations are based on quoted prices in active markets for identical assets or liabilities that are accessible at the measurement date.</w:t>
      </w:r>
    </w:p>
    <w:p>
      <w:pPr>
        <w:spacing w:after="0" w:line="143" w:lineRule="exact"/>
        <w:rPr>
          <w:rFonts w:ascii="Arial" w:cs="Arial" w:eastAsia="Arial" w:hAnsi="Arial"/>
          <w:sz w:val="18"/>
          <w:szCs w:val="18"/>
          <w:color w:val="auto"/>
        </w:rPr>
      </w:pPr>
    </w:p>
    <w:p>
      <w:pPr>
        <w:ind w:left="580" w:hanging="315"/>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05" w:lineRule="exact"/>
        <w:rPr>
          <w:rFonts w:ascii="Arial" w:cs="Arial" w:eastAsia="Arial" w:hAnsi="Arial"/>
          <w:sz w:val="17"/>
          <w:szCs w:val="17"/>
          <w:color w:val="auto"/>
        </w:rPr>
      </w:pPr>
    </w:p>
    <w:p>
      <w:pPr>
        <w:jc w:val="both"/>
        <w:ind w:left="580" w:hanging="315"/>
        <w:spacing w:after="0" w:line="279"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Company undertakes a multi-step valuation process each quarter, as described below:</w:t>
      </w:r>
    </w:p>
    <w:p>
      <w:pPr>
        <w:spacing w:after="0" w:line="170" w:lineRule="exact"/>
        <w:rPr>
          <w:sz w:val="20"/>
          <w:szCs w:val="20"/>
          <w:color w:val="auto"/>
        </w:rPr>
      </w:pPr>
    </w:p>
    <w:p>
      <w:pPr>
        <w:ind w:left="580" w:hanging="315"/>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investment being initially valued by RGC’s investment professionals that are responsible for the portfolio investment;</w:t>
      </w:r>
    </w:p>
    <w:p>
      <w:pPr>
        <w:spacing w:after="0" w:line="129" w:lineRule="exact"/>
        <w:rPr>
          <w:rFonts w:ascii="Arial" w:cs="Arial" w:eastAsia="Arial" w:hAnsi="Arial"/>
          <w:sz w:val="18"/>
          <w:szCs w:val="18"/>
          <w:color w:val="auto"/>
        </w:rPr>
      </w:pPr>
    </w:p>
    <w:p>
      <w:pPr>
        <w:ind w:left="580" w:hanging="315"/>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198" w:lineRule="exact"/>
        <w:rPr>
          <w:rFonts w:ascii="Arial" w:cs="Arial" w:eastAsia="Arial" w:hAnsi="Arial"/>
          <w:sz w:val="18"/>
          <w:szCs w:val="18"/>
          <w:color w:val="auto"/>
        </w:rPr>
      </w:pPr>
    </w:p>
    <w:p>
      <w:pPr>
        <w:jc w:val="both"/>
        <w:ind w:left="580" w:hanging="315"/>
        <w:spacing w:after="0" w:line="311"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least once annually, the valuation for each portfolio investment, determined to be a Level 3 asset,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80" w:right="20" w:hanging="315"/>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the Company’s Board of Directors regarding such valuations; and</w:t>
      </w:r>
    </w:p>
    <w:p>
      <w:pPr>
        <w:spacing w:after="0" w:line="143" w:lineRule="exact"/>
        <w:rPr>
          <w:rFonts w:ascii="Arial" w:cs="Arial" w:eastAsia="Arial" w:hAnsi="Arial"/>
          <w:sz w:val="18"/>
          <w:szCs w:val="18"/>
          <w:color w:val="auto"/>
        </w:rPr>
      </w:pPr>
    </w:p>
    <w:p>
      <w:pPr>
        <w:jc w:val="both"/>
        <w:ind w:left="580" w:right="20" w:hanging="315"/>
        <w:spacing w:after="0" w:line="263"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The Company’s Board of Directors reviews the recommended preliminary valuations and determines the fair value of each investment in the Company’s portfolio, in good faith, based on the input of RGC, the independent valuation firm and the Audit Committee.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Debt Investments: </w:t>
      </w:r>
      <w:r>
        <w:rPr>
          <w:rFonts w:ascii="Arial" w:cs="Arial" w:eastAsia="Arial" w:hAnsi="Arial"/>
          <w:sz w:val="17"/>
          <w:szCs w:val="17"/>
          <w:color w:val="auto"/>
        </w:rPr>
        <w:t>To determine the fair value of the Company’s debt investments, the Company compares the cost basis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debt investment, which includes original issue discount, if any,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Fair value of warrants is primarily determined using a Black Scholes option-pricing model. Privately held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equity-related securities are valued based on an analysis of various factors including, but not limited to, the following:</w:t>
      </w:r>
    </w:p>
    <w:p>
      <w:pPr>
        <w:spacing w:after="0" w:line="146" w:lineRule="exact"/>
        <w:rPr>
          <w:sz w:val="20"/>
          <w:szCs w:val="20"/>
          <w:color w:val="auto"/>
        </w:rPr>
      </w:pPr>
    </w:p>
    <w:p>
      <w:pPr>
        <w:jc w:val="both"/>
        <w:ind w:left="580" w:hanging="315"/>
        <w:spacing w:after="0" w:line="253"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55" w:lineRule="exact"/>
        <w:rPr>
          <w:rFonts w:ascii="Arial" w:cs="Arial" w:eastAsia="Arial" w:hAnsi="Arial"/>
          <w:sz w:val="18"/>
          <w:szCs w:val="18"/>
          <w:color w:val="auto"/>
        </w:rPr>
      </w:pPr>
    </w:p>
    <w:p>
      <w:pPr>
        <w:jc w:val="both"/>
        <w:ind w:left="580" w:hanging="315"/>
        <w:spacing w:after="0" w:line="25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80" w:hanging="315"/>
        <w:spacing w:after="0" w:line="25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60" w:lineRule="exact"/>
        <w:rPr>
          <w:rFonts w:ascii="Arial" w:cs="Arial" w:eastAsia="Arial" w:hAnsi="Arial"/>
          <w:sz w:val="18"/>
          <w:szCs w:val="18"/>
          <w:color w:val="auto"/>
        </w:rPr>
      </w:pPr>
    </w:p>
    <w:p>
      <w:pPr>
        <w:jc w:val="both"/>
        <w:ind w:left="580" w:hanging="315"/>
        <w:spacing w:after="0" w:line="279"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30" w:lineRule="exact"/>
        <w:rPr>
          <w:rFonts w:ascii="Arial" w:cs="Arial" w:eastAsia="Arial" w:hAnsi="Arial"/>
          <w:sz w:val="17"/>
          <w:szCs w:val="17"/>
          <w:color w:val="auto"/>
        </w:rPr>
      </w:pPr>
    </w:p>
    <w:p>
      <w:pPr>
        <w:jc w:val="both"/>
        <w:ind w:left="580" w:hanging="315"/>
        <w:spacing w:after="0" w:line="272"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 of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the Company’s financial instruments, including cash and accrued liabilities, approximate fair value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Classification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is a non-diversified company within the meaning of the 1940 Act. The Company classifies its investments by level of control. As defined in the 1940 Act, control investments are those where the investor has the ability or power to exercise a controlling influence over the management or policies of a company. Control is generally deemed to exist when a company or individual</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possesses, or has the right to acquire within 60 days or less, beneficial ownership of more than 25.0% of the voting securities of a company. Affiliated investments and affiliated companies are defined by a lesser degree of influence and are deemed to exist through the possession outright, or via the right to acquire within 60 days or less, beneficial ownership of 5.0% or more of the outstanding voting securities of a company.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2016, and has qualified and intends to continue to qualify for the tax treatment applicable to RICs. Generally, a RIC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pay corporate-level U.S. federal income taxes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U.S. federal income taxes in the future.</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accounts for income taxes in conformity with ASC Topic 740- Income Taxes ("ASC 740"). ASC 740 provides guidelines for how uncertain tax positions should be recognized, measured, presented and disclosed in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Statements of Operations. There were no material uncertain income tax positions at March 31, 2021 or December 31, 2020. Although we file federal and state tax returns, our major tax jurisdiction is federal. The previous three tax year-ends and the interim tax period since then remain subject to examination by the Internal Revenue Service.</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the Company does not timely distribute (or is not deemed to have distributed) each calendar year the sum of (1) at least 98% of its net ordinary income (not taking into account any capital gains or losses) for each calendar year, (2) at least 98.2% of the amount by which the Company’s capital gains exceed its capital losses (adjusted for certain ordinary losses) for a one-year period generally ending on October 31 in that calendar year (unless the Company makes an election to use its taxable year) and (3) any net ordinary income and net capital gain recognized in preceding years on which the Company paid no U.S. federal income tax (the “Minimum Distribution Amount”), the Company will generally be required to pay a nondeductible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the Company does not qualify to be treated as a RIC for any taxable year, the Company will be taxed as a regular corporation (a “C corporation”) under subchapter C of the Code for such taxable year. If the Company has previously qualified to be treated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RIC. If the Company fails to requalify as a RIC for a period greater than two taxable years, it may be subject to regular corporate-level U.S. federal income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and diluted earnings per common share is calculated using the weighted-average number of common shares outstanding for the period presented. For the three months ended March 31, 2021 and 2020, basic and diluted earnings per share of common stock were the same because there were no potentially dilutive securities outstanding. Per share data is based on the weighted-average shares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generally intends to distribute, out of assets legally available for distribution, substantially all of its available earnings, on a quarterly basis, subject to the discretion of the Board of Directors. For the three months ended March 31, 2021, the Company declared and paid dividends in the amount of $11,623,199, of which $2,439,979 was distributed in cash and the remainder distributed in shares to stockholders pursuant to the Company’s dividend reinvestment plan. For the three months ended March 31, 2020, the Company declared dividends in the amount of $10,324,486, of which $1,939,063 was distributable in cash and the remainder distributable in shares to stockholders pursuant to the Company’s dividend reinvestment plan. Of these distributions for the three months ended March 31, 2020, $10,307,027 was paid as of March 31, 2020, of which $1,921,604, was cash distributed and the remainder distributed in shares to stockholders pursuant to the Company’s dividend reinvestment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Organization costs include, among other things, the cost of organizing as a Maryland corporation, including the cost of legal services and other fees pertaining to the Company’s organization, all of which are expensed as incurred. Offering costs include, among other things, legal fees and other costs pertaining to the preparation of the Company’s private placement memorandum and other offering documents, including travel-related expenses related to the Initial Private Offering. Pursuant to the investment advisory agreement between the Company and RGC, as subsequently amended and restated (the “Advisory Agreement”),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 costs incurred in connection with the Initial Private Offering. </w:t>
      </w:r>
      <w:r>
        <w:rPr>
          <w:rFonts w:ascii="Arial" w:cs="Arial" w:eastAsia="Arial" w:hAnsi="Arial"/>
          <w:sz w:val="17"/>
          <w:szCs w:val="17"/>
          <w:color w:val="231F20"/>
        </w:rPr>
        <w:t>As a result, for the three months ended March 31, 2021 and 2020, the Company did not</w:t>
      </w:r>
      <w:r>
        <w:rPr>
          <w:rFonts w:ascii="Arial" w:cs="Arial" w:eastAsia="Arial" w:hAnsi="Arial"/>
          <w:sz w:val="17"/>
          <w:szCs w:val="17"/>
          <w:color w:val="auto"/>
        </w:rPr>
        <w:t xml:space="preserve"> </w:t>
      </w:r>
      <w:r>
        <w:rPr>
          <w:rFonts w:ascii="Arial" w:cs="Arial" w:eastAsia="Arial" w:hAnsi="Arial"/>
          <w:sz w:val="17"/>
          <w:szCs w:val="17"/>
          <w:color w:val="231F20"/>
        </w:rPr>
        <w:t>incur any organization or offering expenses in connection with the Initial Private Offering.</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Offering costs related to new or follow-on offerings, including the Second Private Offering, were accumulated and charged to additional paid in capital at the time of closing beginning in 2019. These offering costs related to the Second Private Offering are subject to a cap of $600,000, excluding placement agent fees which have no cap, of which the Company will bear the cost. As of March 31, 2021 and December 31, 2020, respectively, the Company had accumulated and recorded $613,510 and $608,989 of deferred offering costs. As of each of March 31, 2021 and December 31, 2020, respectively, $154,738 and $123,009 in placement agent fees had been incurred. Under the terms of the Second Private Offering, offering costs in excess of $600,000, excluding placement agent fees, will be reimbursed by RGC.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March 2020, the FASB issued ASU 2020-04 Reference Rate Reform (Topic 848) - Facilitation of the effects of reference rate reform on financial reporting. The amendments in this update provide optional expedients and exceptions for applying U.S. GAAP to certain contracts and hedging relationships that reference LIBOR or another reference rate expected to be discontinued due to reference rate reform and became effective upon issuance for all entities. The Company has agreements that have LIBOR as a reference rate with certain portfolio companies and also with certain lenders. These agreements include language for choosing an alternative successor rate if LIBOR reference is no longer considered to be appropriate. Such contract modifications are required to be evaluated in determining whether the modifications result in the establishment of new contracts or the continuation of existing contracts. The new guidance is effective as of March 12, 2020 through December 21, 2022. The Company is currently evaluating its effective date for</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adoption and the impact the adoption of this new accounting standard will have on its financial statements, however the impact of the adoption is not expected to be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Commitments and Contingencies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March 31, 2021, the Company had $58,085,569 in unfunded loan commitments to provide debt financing to its portfolio companies. The balance of unfunded commitments to extend financing as of March 31, 2021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2720" w:type="dxa"/>
            <w:vAlign w:val="bottom"/>
          </w:tcPr>
          <w:p>
            <w:pPr>
              <w:ind w:left="840"/>
              <w:spacing w:after="0"/>
              <w:rPr>
                <w:sz w:val="20"/>
                <w:szCs w:val="20"/>
                <w:color w:val="auto"/>
              </w:rPr>
            </w:pPr>
            <w:r>
              <w:rPr>
                <w:rFonts w:ascii="Arial" w:cs="Arial" w:eastAsia="Arial" w:hAnsi="Arial"/>
                <w:sz w:val="14"/>
                <w:szCs w:val="14"/>
                <w:b w:val="1"/>
                <w:bCs w:val="1"/>
                <w:color w:val="auto"/>
              </w:rPr>
              <w:t>Investment Type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31, 2021</w:t>
            </w: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Allurion Technologies, Inc.</w:t>
            </w:r>
          </w:p>
        </w:tc>
        <w:tc>
          <w:tcPr>
            <w:tcW w:w="28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CloudPassage, Inc.</w:t>
            </w:r>
          </w:p>
        </w:tc>
        <w:tc>
          <w:tcPr>
            <w:tcW w:w="272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2,500,000</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Sesame, Inc.</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Revolving Line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585,569</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Gynesonics, Inc.</w:t>
            </w:r>
          </w:p>
        </w:tc>
        <w:tc>
          <w:tcPr>
            <w:tcW w:w="272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20,000,000</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Pivot3, Inc.</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Porch Group, Inc.</w:t>
            </w:r>
          </w:p>
        </w:tc>
        <w:tc>
          <w:tcPr>
            <w:tcW w:w="2720" w:type="dxa"/>
            <w:vAlign w:val="bottom"/>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10,000,000</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ShareThis, Inc.</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r>
      <w:tr>
        <w:trPr>
          <w:trHeight w:val="216"/>
        </w:trPr>
        <w:tc>
          <w:tcPr>
            <w:tcW w:w="5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VERO Biotech LLC</w:t>
            </w:r>
          </w:p>
        </w:tc>
        <w:tc>
          <w:tcPr>
            <w:tcW w:w="2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r>
      <w:tr>
        <w:trPr>
          <w:trHeight w:val="209"/>
        </w:trPr>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7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58,085,569</w:t>
            </w:r>
          </w:p>
        </w:tc>
      </w:tr>
      <w:tr>
        <w:trPr>
          <w:trHeight w:val="20"/>
        </w:trPr>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2020, the Company had $49,085,569 in unfunded loan commitments to provide debt financing to its portfolio companies. The balance of unfunded commitments to extend financing as of December 31, 2020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Arial" w:cs="Arial" w:eastAsia="Arial" w:hAnsi="Arial"/>
                <w:sz w:val="14"/>
                <w:szCs w:val="14"/>
                <w:b w:val="1"/>
                <w:bCs w:val="1"/>
                <w:color w:val="auto"/>
              </w:rPr>
              <w:t>Portfolio Company</w:t>
            </w:r>
          </w:p>
        </w:tc>
        <w:tc>
          <w:tcPr>
            <w:tcW w:w="280" w:type="dxa"/>
            <w:vAlign w:val="bottom"/>
          </w:tcPr>
          <w:p>
            <w:pPr>
              <w:spacing w:after="0"/>
              <w:rPr>
                <w:sz w:val="14"/>
                <w:szCs w:val="14"/>
                <w:color w:val="auto"/>
              </w:rPr>
            </w:pPr>
          </w:p>
        </w:tc>
        <w:tc>
          <w:tcPr>
            <w:tcW w:w="3200" w:type="dxa"/>
            <w:vAlign w:val="bottom"/>
            <w:gridSpan w:val="4"/>
          </w:tcPr>
          <w:p>
            <w:pPr>
              <w:ind w:left="840"/>
              <w:spacing w:after="0"/>
              <w:rPr>
                <w:sz w:val="20"/>
                <w:szCs w:val="20"/>
                <w:color w:val="auto"/>
              </w:rPr>
            </w:pPr>
            <w:r>
              <w:rPr>
                <w:rFonts w:ascii="Arial" w:cs="Arial" w:eastAsia="Arial" w:hAnsi="Arial"/>
                <w:sz w:val="14"/>
                <w:szCs w:val="14"/>
                <w:b w:val="1"/>
                <w:bCs w:val="1"/>
                <w:color w:val="auto"/>
              </w:rPr>
              <w:t>Investment Type</w:t>
            </w:r>
          </w:p>
        </w:tc>
        <w:tc>
          <w:tcPr>
            <w:tcW w:w="1620" w:type="dxa"/>
            <w:vAlign w:val="bottom"/>
          </w:tcPr>
          <w:p>
            <w:pPr>
              <w:jc w:val="right"/>
              <w:ind w:right="253"/>
              <w:spacing w:after="0"/>
              <w:rPr>
                <w:sz w:val="20"/>
                <w:szCs w:val="20"/>
                <w:color w:val="auto"/>
              </w:rPr>
            </w:pPr>
            <w:r>
              <w:rPr>
                <w:rFonts w:ascii="Arial" w:cs="Arial" w:eastAsia="Arial" w:hAnsi="Arial"/>
                <w:sz w:val="14"/>
                <w:szCs w:val="14"/>
                <w:b w:val="1"/>
                <w:bCs w:val="1"/>
                <w:color w:val="auto"/>
                <w:w w:val="99"/>
              </w:rPr>
              <w:t>December 31, 2020</w:t>
            </w:r>
          </w:p>
        </w:tc>
      </w:tr>
      <w:tr>
        <w:trPr>
          <w:trHeight w:val="210"/>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CloudPassage, Inc.</w:t>
            </w:r>
          </w:p>
        </w:tc>
        <w:tc>
          <w:tcPr>
            <w:tcW w:w="28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Credit Sesame, Inc.</w:t>
            </w:r>
          </w:p>
        </w:tc>
        <w:tc>
          <w:tcPr>
            <w:tcW w:w="3480" w:type="dxa"/>
            <w:vAlign w:val="bottom"/>
            <w:gridSpan w:val="5"/>
          </w:tcPr>
          <w:p>
            <w:pPr>
              <w:ind w:left="280"/>
              <w:spacing w:after="0"/>
              <w:rPr>
                <w:sz w:val="20"/>
                <w:szCs w:val="20"/>
                <w:color w:val="auto"/>
              </w:rPr>
            </w:pPr>
            <w:r>
              <w:rPr>
                <w:rFonts w:ascii="Arial" w:cs="Arial" w:eastAsia="Arial" w:hAnsi="Arial"/>
                <w:sz w:val="18"/>
                <w:szCs w:val="18"/>
                <w:color w:val="auto"/>
              </w:rPr>
              <w:t>Revolving Line</w:t>
            </w:r>
          </w:p>
        </w:tc>
        <w:tc>
          <w:tcPr>
            <w:tcW w:w="1620" w:type="dxa"/>
            <w:vAlign w:val="bottom"/>
          </w:tcPr>
          <w:p>
            <w:pPr>
              <w:jc w:val="right"/>
              <w:spacing w:after="0"/>
              <w:rPr>
                <w:sz w:val="20"/>
                <w:szCs w:val="20"/>
                <w:color w:val="auto"/>
              </w:rPr>
            </w:pPr>
            <w:r>
              <w:rPr>
                <w:rFonts w:ascii="Arial" w:cs="Arial" w:eastAsia="Arial" w:hAnsi="Arial"/>
                <w:sz w:val="18"/>
                <w:szCs w:val="18"/>
                <w:color w:val="auto"/>
              </w:rPr>
              <w:t>585,569</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Gynesonics, Inc.</w:t>
            </w:r>
          </w:p>
        </w:tc>
        <w:tc>
          <w:tcPr>
            <w:tcW w:w="348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ShareThis, Inc.</w:t>
            </w:r>
          </w:p>
        </w:tc>
        <w:tc>
          <w:tcPr>
            <w:tcW w:w="3480" w:type="dxa"/>
            <w:vAlign w:val="bottom"/>
            <w:gridSpan w:val="5"/>
          </w:tcPr>
          <w:p>
            <w:pPr>
              <w:ind w:left="280"/>
              <w:spacing w:after="0"/>
              <w:rPr>
                <w:sz w:val="20"/>
                <w:szCs w:val="20"/>
                <w:color w:val="auto"/>
              </w:rPr>
            </w:pPr>
            <w:r>
              <w:rPr>
                <w:rFonts w:ascii="Arial" w:cs="Arial" w:eastAsia="Arial" w:hAnsi="Arial"/>
                <w:sz w:val="18"/>
                <w:szCs w:val="18"/>
                <w:color w:val="auto"/>
              </w:rPr>
              <w:t>Senior Secured Term Loan</w:t>
            </w:r>
          </w:p>
        </w:tc>
        <w:tc>
          <w:tcPr>
            <w:tcW w:w="162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VERO Biotech LLC</w:t>
            </w:r>
          </w:p>
        </w:tc>
        <w:tc>
          <w:tcPr>
            <w:tcW w:w="348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r>
      <w:tr>
        <w:trPr>
          <w:trHeight w:val="209"/>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49,085,569</w:t>
            </w:r>
          </w:p>
        </w:tc>
      </w:tr>
      <w:tr>
        <w:trPr>
          <w:trHeight w:val="20"/>
        </w:trPr>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management believes that its available cash balances, availability under the Credit Agreement and/or ability to drawdown capital from investors provides sufficient funds to cover its unfunded commitments as of March 31, 2021. The Company has evaluated the expected net future cash flows related to unfunded commitments and determined the fair value to be zero as of March 31, 2021 and December 31, 2020.</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Concentration of Credit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The Company’s management monitors the financial condition of those financial institutions and does not currently anticipate any losses from these counterparties.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Increase in Net Assets Resulting from Operations per Common Share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information sets forth the computation of basic income per common share for the three months ended March 31, 2021 and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48"/>
        </w:trPr>
        <w:tc>
          <w:tcPr>
            <w:tcW w:w="24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March 31,</w:t>
            </w:r>
          </w:p>
        </w:tc>
      </w:tr>
      <w:tr>
        <w:trPr>
          <w:trHeight w:val="171"/>
        </w:trPr>
        <w:tc>
          <w:tcPr>
            <w:tcW w:w="248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9,371,328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1,747,244</w:t>
            </w:r>
          </w:p>
        </w:tc>
        <w:tc>
          <w:tcPr>
            <w:tcW w:w="20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Weighted-average shares outstanding for the period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31,505,254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25,887,286</w:t>
            </w:r>
          </w:p>
        </w:tc>
        <w:tc>
          <w:tcPr>
            <w:tcW w:w="20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31,505,254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25,887,286</w:t>
            </w:r>
          </w:p>
        </w:tc>
        <w:tc>
          <w:tcPr>
            <w:tcW w:w="2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Per Share Data</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Basic and diluted income per common share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7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spacing w:after="0"/>
              <w:rPr>
                <w:sz w:val="18"/>
                <w:szCs w:val="18"/>
                <w:color w:val="auto"/>
              </w:rPr>
            </w:pPr>
          </w:p>
        </w:tc>
      </w:tr>
      <w:tr>
        <w:trPr>
          <w:trHeight w:val="209"/>
        </w:trPr>
        <w:tc>
          <w:tcPr>
            <w:tcW w:w="530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ind w:left="660" w:hanging="328"/>
        <w:spacing w:after="0" w:line="229" w:lineRule="auto"/>
        <w:tabs>
          <w:tab w:leader="none" w:pos="66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Per share data is based on average weighted shares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Net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the authority to issue 100,000,000 shares of common stock, $0.01 par value per share.</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During the three months ended March 31, 2021, the Company issued 618,815 shares for $9,183,220 in connection with the reinvestment of dividends. The following table summarizes capital activity during the three months ended March 31,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Distributable</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420" w:type="dxa"/>
            <w:vAlign w:val="bottom"/>
          </w:tcPr>
          <w:p>
            <w:pPr>
              <w:spacing w:after="0"/>
              <w:rPr>
                <w:sz w:val="14"/>
                <w:szCs w:val="14"/>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120" w:type="dxa"/>
            <w:vAlign w:val="bottom"/>
          </w:tcPr>
          <w:p>
            <w:pPr>
              <w:jc w:val="right"/>
              <w:ind w:right="255"/>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31,414,051</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$ 314,140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$ 466,872,304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(942,759)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$ 466,243,685</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20,461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306,706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306,911</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9,177,032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9,183,220</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(4,521)</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11,481,732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11,481,732</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(199,223)</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(199,223)</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(1,911,181)</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(1,911,181)</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(11,623,199)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(11,623,199)</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32,053,327</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$ 320,533</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$ 476,351,521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(3,194,630)</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$ 473,477,424</w:t>
            </w:r>
          </w:p>
        </w:tc>
      </w:tr>
      <w:tr>
        <w:trPr>
          <w:trHeight w:val="20"/>
        </w:trPr>
        <w:tc>
          <w:tcPr>
            <w:tcW w:w="4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During the three months ended March 31, 2020, the Company issued 575,132 shares for $8,385,423 in connection with the reinvestment of dividends. The following table summarizes capital activity during the three months ended March 31,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Distributable</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380" w:type="dxa"/>
            <w:vAlign w:val="bottom"/>
          </w:tcPr>
          <w:p>
            <w:pPr>
              <w:spacing w:after="0"/>
              <w:rPr>
                <w:sz w:val="14"/>
                <w:szCs w:val="14"/>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120" w:type="dxa"/>
            <w:vAlign w:val="bottom"/>
          </w:tcPr>
          <w:p>
            <w:pPr>
              <w:jc w:val="right"/>
              <w:ind w:right="255"/>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25,811,214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$ 258,112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$ 384,369,854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(8,314,745)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$ 376,313,221</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21,021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315,098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315,308</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8,379,671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8,385,423</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(45,068)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(45,068)</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9,643,587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9,643,587</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(6,717,262)</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(6,717,262)</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(1,179,081)</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(1,179,081)</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(10,324,486)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(10,324,486)</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26,407,367</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$ 264,074</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$ 393,019,555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(16,891,987)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$ 376,391,642</w:t>
            </w: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shares of common stock issued, the price per share and the proceeds raised, from inception through March 31, 2021, are detailed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Price Per</w:t>
            </w:r>
          </w:p>
        </w:tc>
        <w:tc>
          <w:tcPr>
            <w:tcW w:w="80" w:type="dxa"/>
            <w:vAlign w:val="bottom"/>
          </w:tcPr>
          <w:p>
            <w:pPr>
              <w:spacing w:after="0"/>
              <w:rPr>
                <w:sz w:val="13"/>
                <w:szCs w:val="13"/>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71"/>
        </w:trPr>
        <w:tc>
          <w:tcPr>
            <w:tcW w:w="6620" w:type="dxa"/>
            <w:vAlign w:val="bottom"/>
            <w:gridSpan w:val="3"/>
            <w:vMerge w:val="continue"/>
          </w:tcPr>
          <w:p>
            <w:pPr>
              <w:spacing w:after="0"/>
              <w:rPr>
                <w:sz w:val="14"/>
                <w:szCs w:val="14"/>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Issued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8, 2015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December 22, 2016</w:t>
            </w:r>
          </w:p>
        </w:tc>
        <w:tc>
          <w:tcPr>
            <w:tcW w:w="940" w:type="dxa"/>
            <w:vAlign w:val="bottom"/>
          </w:tcPr>
          <w:p>
            <w:pPr>
              <w:jc w:val="right"/>
              <w:spacing w:after="0"/>
              <w:rPr>
                <w:sz w:val="20"/>
                <w:szCs w:val="20"/>
                <w:color w:val="auto"/>
              </w:rPr>
            </w:pPr>
            <w:r>
              <w:rPr>
                <w:rFonts w:ascii="Arial" w:cs="Arial" w:eastAsia="Arial" w:hAnsi="Arial"/>
                <w:sz w:val="18"/>
                <w:szCs w:val="18"/>
                <w:color w:val="auto"/>
              </w:rPr>
              <w:t>333,333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19,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June 26, 2017</w:t>
            </w:r>
          </w:p>
        </w:tc>
        <w:tc>
          <w:tcPr>
            <w:tcW w:w="940" w:type="dxa"/>
            <w:vAlign w:val="bottom"/>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12,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December 22, 2017</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117,582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27, 2018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202,779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14,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4,344,964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326,431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May 24, 2019</w:t>
            </w:r>
          </w:p>
        </w:tc>
        <w:tc>
          <w:tcPr>
            <w:tcW w:w="940" w:type="dxa"/>
            <w:vAlign w:val="bottom"/>
          </w:tcPr>
          <w:p>
            <w:pPr>
              <w:jc w:val="right"/>
              <w:spacing w:after="0"/>
              <w:rPr>
                <w:sz w:val="20"/>
                <w:szCs w:val="20"/>
                <w:color w:val="auto"/>
              </w:rPr>
            </w:pPr>
            <w:r>
              <w:rPr>
                <w:rFonts w:ascii="Arial" w:cs="Arial" w:eastAsia="Arial" w:hAnsi="Arial"/>
                <w:sz w:val="18"/>
                <w:szCs w:val="18"/>
                <w:color w:val="auto"/>
              </w:rPr>
              <w:t>3,232,189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480,121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15,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43,979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20,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487,166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March 31, 2020</w:t>
            </w:r>
          </w:p>
        </w:tc>
        <w:tc>
          <w:tcPr>
            <w:tcW w:w="940" w:type="dxa"/>
            <w:vAlign w:val="bottom"/>
          </w:tcPr>
          <w:p>
            <w:pPr>
              <w:jc w:val="right"/>
              <w:spacing w:after="0"/>
              <w:rPr>
                <w:sz w:val="20"/>
                <w:szCs w:val="20"/>
                <w:color w:val="auto"/>
              </w:rPr>
            </w:pPr>
            <w:r>
              <w:rPr>
                <w:rFonts w:ascii="Arial" w:cs="Arial" w:eastAsia="Arial" w:hAnsi="Arial"/>
                <w:sz w:val="18"/>
                <w:szCs w:val="18"/>
                <w:color w:val="auto"/>
              </w:rPr>
              <w:t>21,021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August 6,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550,639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7,934,712</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15,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November 12,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593,692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8,584,772</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19, 2021</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9,183,220</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March 24, 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306,911</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32,053,327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480,587,986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480" w:type="dxa"/>
            <w:vAlign w:val="bottom"/>
            <w:tcBorders>
              <w:bottom w:val="single" w:sz="8" w:color="auto"/>
            </w:tcBorders>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Shares were issued as part of the dividend reinvestment plan.</w:t>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connection with the Initial Private Offering, the Company issued 18,241,157 shares of its common stock to stockholders for a total purchase price of $275,000,000. Between June 14, 2019 and March 31, 2021, the Company accepted $174,673,500 in capital commitments under its Second Private Offering. As of March 31, 2021 and December 31, 2020, respectively, the Company issued 8,352,251 and 8,352,251 shares of its common stock for aggregate proceeds of $125,283,766 and $125,283,766 under the Second Private Offering. </w:t>
      </w:r>
      <w:r>
        <w:rPr>
          <w:rFonts w:ascii="Arial" w:cs="Arial" w:eastAsia="Arial" w:hAnsi="Arial"/>
          <w:sz w:val="17"/>
          <w:szCs w:val="17"/>
          <w:color w:val="231F20"/>
        </w:rPr>
        <w:t>As of March 31, 2021, the Company has issued 22,564 shares as an additional direct investment at $15.00 per share for total</w:t>
      </w:r>
      <w:r>
        <w:rPr>
          <w:rFonts w:ascii="Arial" w:cs="Arial" w:eastAsia="Arial" w:hAnsi="Arial"/>
          <w:sz w:val="17"/>
          <w:szCs w:val="17"/>
          <w:color w:val="auto"/>
        </w:rPr>
        <w:t xml:space="preserve"> </w:t>
      </w:r>
      <w:r>
        <w:rPr>
          <w:rFonts w:ascii="Arial" w:cs="Arial" w:eastAsia="Arial" w:hAnsi="Arial"/>
          <w:sz w:val="17"/>
          <w:szCs w:val="17"/>
          <w:color w:val="231F20"/>
        </w:rPr>
        <w:t>proceeds of $338,453 by Runway Growth Holdings LLC, an affiliate of RGC.</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Capital commitments may be drawn down from investors by the Company on a pro rata basis, as needed, upon not less than ten</w:t>
      </w:r>
    </w:p>
    <w:p>
      <w:pPr>
        <w:spacing w:after="0" w:line="46" w:lineRule="exact"/>
        <w:rPr>
          <w:sz w:val="20"/>
          <w:szCs w:val="20"/>
          <w:color w:val="auto"/>
        </w:rPr>
      </w:pPr>
    </w:p>
    <w:p>
      <w:pPr>
        <w:jc w:val="both"/>
        <w:ind w:firstLine="8"/>
        <w:spacing w:after="0" w:line="255" w:lineRule="auto"/>
        <w:tabs>
          <w:tab w:leader="none" w:pos="3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days’ prior written notice for the purposes of funding the Company’s investments (including follow-on investments), paying the Company’s expenses, including fees under the Advisory Agreement, by and between the Company and RGC, and/or maintaining a reserve account for the payment of future expenses or liabilities.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Agreements and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Advisory Agreement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(the “Prior Agreement”). On August 3, 2017, the Board of Directors approved the Advisory Agreement and recommended that the Company’s stockholders approve the Advisory Agreement. The Advisory Agreement became effective on September 12, 2017 upon approval by the stockholders at a special meeting of stockholders of the Company and was most recently renewed by the Company’s Board of Directors at a virtual meeting on August 5, 2020. In reliance upon certain exemptive relief granted by the SEC in connection with the global COVID-19 pandemic, the Board of Directors undertook to ratify the Advisory Agreement at its next in-person meeting. Under the terms of the Advisory Agreement, RGC:</w:t>
      </w:r>
    </w:p>
    <w:p>
      <w:pPr>
        <w:spacing w:after="0" w:line="165" w:lineRule="exact"/>
        <w:rPr>
          <w:sz w:val="20"/>
          <w:szCs w:val="20"/>
          <w:color w:val="auto"/>
        </w:rPr>
      </w:pPr>
    </w:p>
    <w:p>
      <w:pPr>
        <w:ind w:left="580" w:right="20" w:hanging="315"/>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determines the composition of the Company’s portfolio, the nature and timing of the changes to the portfolio and the manner of implementing such changes;</w:t>
      </w:r>
    </w:p>
    <w:p>
      <w:pPr>
        <w:spacing w:after="0" w:line="143" w:lineRule="exact"/>
        <w:rPr>
          <w:rFonts w:ascii="Arial" w:cs="Arial" w:eastAsia="Arial" w:hAnsi="Arial"/>
          <w:sz w:val="18"/>
          <w:szCs w:val="18"/>
          <w:color w:val="auto"/>
        </w:rPr>
      </w:pPr>
    </w:p>
    <w:p>
      <w:pPr>
        <w:ind w:left="580" w:hanging="315"/>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the Company makes;</w:t>
      </w:r>
    </w:p>
    <w:p>
      <w:pPr>
        <w:spacing w:after="0" w:line="184" w:lineRule="exact"/>
        <w:rPr>
          <w:rFonts w:ascii="Arial" w:cs="Arial" w:eastAsia="Arial" w:hAnsi="Arial"/>
          <w:sz w:val="18"/>
          <w:szCs w:val="18"/>
          <w:color w:val="auto"/>
        </w:rPr>
      </w:pPr>
    </w:p>
    <w:p>
      <w:pPr>
        <w:ind w:left="580" w:hanging="315"/>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executes, closes and monitors the investments the Company makes;</w:t>
      </w:r>
    </w:p>
    <w:p>
      <w:pPr>
        <w:spacing w:after="0" w:line="184" w:lineRule="exact"/>
        <w:rPr>
          <w:rFonts w:ascii="Arial" w:cs="Arial" w:eastAsia="Arial" w:hAnsi="Arial"/>
          <w:sz w:val="18"/>
          <w:szCs w:val="18"/>
          <w:color w:val="auto"/>
        </w:rPr>
      </w:pPr>
    </w:p>
    <w:p>
      <w:pPr>
        <w:ind w:left="580" w:hanging="315"/>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determines the securities and other assets that the Company will purchase, retain or sell;</w:t>
      </w:r>
    </w:p>
    <w:p>
      <w:pPr>
        <w:spacing w:after="0" w:line="198" w:lineRule="exact"/>
        <w:rPr>
          <w:rFonts w:ascii="Arial" w:cs="Arial" w:eastAsia="Arial" w:hAnsi="Arial"/>
          <w:sz w:val="18"/>
          <w:szCs w:val="18"/>
          <w:color w:val="auto"/>
        </w:rPr>
      </w:pPr>
    </w:p>
    <w:p>
      <w:pPr>
        <w:ind w:left="580" w:hanging="315"/>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184" w:lineRule="exact"/>
        <w:rPr>
          <w:rFonts w:ascii="Arial" w:cs="Arial" w:eastAsia="Arial" w:hAnsi="Arial"/>
          <w:sz w:val="18"/>
          <w:szCs w:val="18"/>
          <w:color w:val="auto"/>
        </w:rPr>
      </w:pPr>
    </w:p>
    <w:p>
      <w:pPr>
        <w:ind w:left="580" w:hanging="315"/>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provides the Company with other such investment advisory, research and related services as the Company may, from time to time, reasonably require for the investment of its funds.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Management Fee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base management fee is payable on the first day of each calendar quarter, is subject to an annual cap based on RGC’s actual operating expenses and is calculated based on the Capital Commitments (as defined below) and assets purchased with borrowed funds or other forms of leverage (collectively, the “Pre-Spin-Off Gross Assets”) during the preceding calendar quarter. For purposes of the Advisory Agreement, “Capital Commitments” is defined as the aggregate amount of capital committed to the Company by investors as of the end of the most recently completed calendar quarter. On September 12, 2017, without changing the base management fee percentage, the Prior Agreement was amended to provide clarification as to the calculation of the base management fee. Prior to amendment, the base management fee was collected on the first day of each quarter based on an estimate of actual operating expenses,</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not to exceed 1.75% per annum, for the following quarter with an implied, though not defined “true-up” mechanism effected once all actual costs were known. The Advisory Agreement defines the process and timing of the true-up and base management fee. The base management fee is now collected at the maximum annualized rate of 1.75% per annum with a comparison of actual expenses for the immediately preceding calendar year to occur on or before March 31 of the subsequent calendar year, with any excess management fee collected when compared to actual operating expenses credited against the base management fee payable for subsequent quarters.</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Until the earlier of (1) the consummation of an initial public offering (“IPO”) of the Public Fund (defined below) in connection with a Spin-Off transaction (defined below) and (2) the earliest date at which (a) all Capital Commitments have been called for investments and/or expenses and (b) the Company holds no more than 10.0% of its total assets in cash, the base management fee will be an amount equal to 0.4375% (1.75% annualized) of the Pre-Spin-Off Gross Assets at the end of the most recently completed calendar quarter, provided, however, that the base management fee payable in a calendar year will not exceed the actual operating expenses incurred by RGC during such calendar year (the “Management Fee Cap”). No later than March 31 of each calendar year, RGC will provide the Company a reconciliation of the actual operating expenses incurred by RGC for the prior calendar year and the base management fee paid to RGC for such prior calendar year. To the extent the base management fee paid to RGC for such prior calendar year exceeds the Management Fee Cap (the “Excess Fee”) for such prior calendar year, the base management fee payable to RGC for the second calendar quarter and each subsequent quarter immediately following such calendar year will be reduced by the Excess Fee until such time as the Excess Fee for the prior calendar year has been reduced to zero. For the avoidance of doubt, actual operating expenses of RGC for a particular year will not include any reduction in base management fees as a result of Excess Fees paid by the Company.</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purposes of the Advisory Agreement, a “Spin-Off transaction” includes a transaction whereby the Company offers its stockholders the option to elect to either (i) retain their ownership of shares of the Company’s common stock; (ii) exchange their shares of the Company’s common stock for shares of common stock in a newly formed entity (the “Public Fund”) that will elect to be regulated as a BDC under the 1940 Act and treated as a RIC under Subchapter M of the Code, and will use its commercially reasonable best efforts to complete an IPO of shares of its common stock not later than three years after the Company’s final closing of the Initial Private Offering, which occurred on December 1, 2017; or (iii) exchange their shares of the Company’s common stock for interests of one or more newly formed entities (each, a “Liquidating Fund”) that will each be organized as a limited liability company, and which will, among other things, seek to complete an orderly wind down and/or liquidation of any such Liquidating Fund.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Following the earlier of (1) the consummation of an IPO of the Public Fund in connection with a Spin-Off transaction and</w:t>
      </w:r>
    </w:p>
    <w:p>
      <w:pPr>
        <w:spacing w:after="0" w:line="35" w:lineRule="exact"/>
        <w:rPr>
          <w:sz w:val="20"/>
          <w:szCs w:val="20"/>
          <w:color w:val="auto"/>
        </w:rPr>
      </w:pPr>
    </w:p>
    <w:p>
      <w:pPr>
        <w:jc w:val="both"/>
        <w:ind w:firstLine="8"/>
        <w:spacing w:after="0" w:line="267" w:lineRule="auto"/>
        <w:tabs>
          <w:tab w:leader="none" w:pos="26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earliest date at which (a) all Capital Commitments have been called for investments and/or expenses and (b) the Company holds no more than 10.0% of its total assets in cash, the base management fee will be an amount equal to 0.4375% (1.75% annualized) of the Company’s average daily Gross Assets (defined below) during the most recently completed calendar quarter for so long as the aggregate amount of Gross Assets of the Company as of the end of the most recently completed calendar quarter is less than $500,000,000. For purposes of the Advisory Agreement, “Gross Assets” is defined as the Company’s gross assets, including assets purchased with borrowed funds or other forms of leverage, as well as any paid-in-kind interest, as of the end of the most recently completed fiscal quarter. If the aggregate amount of the Company’s Gross Assets as of the end of the most recently completed calendar quarter is equal to or greater than $500,000,000, but less than $1,000,000,000,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RGC earned base management fees of $2,069,209 and $1,536,948 for the three months ended March 31,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Fee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Under the investment-income component (the “Income Incentive Fee”), the Company pays RGC each quarter an incentive fee with respect to the Company’s Pre-Incentive Fee net investment income. The Income Incentive Fee is calculated and payable quarterly</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administration agreement with the Administrator (the “Administration Agreement”), and any dividends paid on any issued and outstanding preferred stock, but excluding the incentive fee); provided however, that Pre-Incentive Fee net investment income will be reduced by multiplying the Pre-Incentive Fee net investment income earned for the quarter by a fraction, the numerator of which is the Company’s average daily Gross Assets during the immediately preceding fiscal quarter minus average daily borrowings during the immediately preceding fiscal quarter, and the denominator of which is the Company’s average daily Gross Assets during the immediately preceding fiscal quarter. Pre-Incentive Fee net investment income includes, in the case of investments with a deferred interest feature (such as original issue discount,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3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 (2) 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Until the consummation of an IPO of the Public Fund in connection with a Spin-Off transaction, in the event that (a) the sum of the Company’s cumulative net realized losses since the date of the Company’s election to be regulated as a BDC exceeds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is less than 10.0%, no Income Incentive Fee will be payable for such quarter until the first subsequent quarter in which either</w:t>
      </w:r>
    </w:p>
    <w:p>
      <w:pPr>
        <w:spacing w:after="0" w:line="2" w:lineRule="exact"/>
        <w:rPr>
          <w:sz w:val="20"/>
          <w:szCs w:val="20"/>
          <w:color w:val="auto"/>
        </w:rPr>
      </w:pPr>
    </w:p>
    <w:p>
      <w:pPr>
        <w:jc w:val="both"/>
        <w:ind w:firstLine="8"/>
        <w:spacing w:after="0" w:line="252" w:lineRule="auto"/>
        <w:tabs>
          <w:tab w:leader="none" w:pos="2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sum of the Company’s cumulative net realized losses since the date of the Company’s election to be regulated as a BDC is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will any Income Incentive Fee be payable for any prior quarter after the three-year anniversary of the end of such quarter.</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After the consummation of an IPO of the Public Fund in connection with a Spin-Off transaction, in the event that (a) the sum of the Company’s cumulative net realized losses for the previous four fiscal quarters or, if fewer than four fiscal quarters have passed since such IPO, that number of fiscal quarters since such IPO (the “Look-Back Period”), exceeds 2.0% of the total non-control/non-affiliate investments (i) made by the Company during the Look-Back Period or (ii) transferred to the Public Fund in connection with a Spin-Off transaction during the Look-Back Period and (b) the Adjusted Pre-Incentive Fee net investment income, expressed as an annualized rate of return on the value of the Company’s average daily net assets (defined as total assets less liabilities), during the Look-</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Back Period is less than 10.0% no Income Incentive Fee will be payable for such quarter until the first subsequent quarter in which</w:t>
      </w:r>
    </w:p>
    <w:p>
      <w:pPr>
        <w:spacing w:after="0" w:line="35" w:lineRule="exact"/>
        <w:rPr>
          <w:sz w:val="20"/>
          <w:szCs w:val="20"/>
          <w:color w:val="auto"/>
        </w:rPr>
      </w:pPr>
    </w:p>
    <w:p>
      <w:pPr>
        <w:jc w:val="both"/>
        <w:ind w:firstLine="8"/>
        <w:spacing w:after="0" w:line="252" w:lineRule="auto"/>
        <w:tabs>
          <w:tab w:leader="none" w:pos="2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sum of the Company’s cumulative net realized losses for the Look-Back Period is equal to or less than 2.0% of the total non-control/non-affiliate investments (i) made by the Company during the Look-Back Period or (ii) transferred to the Public Fund in connection with a Spin-Off transaction during the Look-Back Period or (y) the Adjusted Pre-Incentive Fee net investment income, expressed as an annualized rate of return on the value of the Company’s average daily net assets (defined as total assets less liabilities), during the Look-Back Period equals or exceeds 10.0%; provided, however, that in no event will any Income Incentive Fee be paid for any prior quarter after the three-year anniversary of the end of such quarter.</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Under the capital-gains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provided, however, that the Company will not pay the Capital Gains Fee to RGC for any calendar year in which the sum of the Company’s (1) Pre-Incentive Fee net investment income and (2) realized gains less realized losses and unrealized capital depreciation from the date of the Company’s election to be regulated as a BDC through the end of such calendar year, expressed as a rate of return on the value of the Company’s net assets (defined as total assets less liabilities) at the end of such calendar year is less than 8.0% until the first subsequent calendar quarter in which the sum of the Company’s (1) Pre-Incentive Fee net investment income and (2) realized gains less realized losses and unrealized capital depreciation from the date of the Company’s election to be regulated as a BDC through, and including, the end of such subsequent calendar quarter, expressed as a rate of return on the value of the Company’s net assets (defined as total assets less liabilities) at the end of such calendar quarter is equal to or exceeds 8.0%; provided, further, that in no event will any Capital Gains Fee be paid for any prior year after the three-year anniversary of the end of such year. For the foregoing purpose, the Company’s “aggregate cumulative realized capital gains” will not include any unrealized appreciation. If such amount is negative, then no Capital Gains Fee will be payable for such year.</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RGC earned incentive fees of $975,704 for the three months ended March 31, 2021; $739,231 of the incentive fees for the three months ended March 31, 2021 were earned, payable in cash, and $236,473 of the incentive fees for the three months ended March 31, 2021 were accrued and generated from deferred interest (i.e., PIK interest and certain discount accretion) and are not payable pending receipt of cash by the Company. RGC earned incentive fees for the three months ended March 31, 2020 of $2,315,118; $1,846,533 of the incentive fees for the three months ended March 31, 2020 were earned, payable in cash, and $468,585 of the incentive fees for the three months ended March 31, 2020 were accrued and deferred (i.e., PIK interest and certain discount accretion) and are not payable pending receipt of cash by the Company.</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Advisory Agreement. As of each of March 31, 2021 and December 31, 2020, there was no capital gains incentive fee accrued, earned or payable to RGC under the Advisory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Spin-Off Incentive Fee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Income Incentive Fee will be payable in connection with a Spin-Off transaction. The Income Incentive Fee will be calculated as of the date of the completion of each Spin-Off transaction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a Spin-Off transaction (x) include the portion of the Income Incentive Fee attributable to deferred interest features of a particular investment that is not transferred pursuant to a Spin-Off transaction until such time as the deferred interest is received in cash, or (y) exceed 20.0% of the Company’s Pre-Incentive Fee net investment income accrued by the Company for the fiscal quarter as of the date of the completion of the Spin-Off transaction. The Company will make the payment of the Income Incentive Fee paid in connection with the completion of a Spin-Off transaction in cash on or immediately following the date of the completion of a Spin-Off transaction. After a Spin-Off transaction, all calculations relating to the incentive fee payable will be made beginning on the day immediately following the completion of the Spin-Off transaction</w:t>
      </w:r>
    </w:p>
    <w:p>
      <w:pPr>
        <w:sectPr>
          <w:pgSz w:w="11900" w:h="16838" w:orient="portrait"/>
          <w:cols w:equalWidth="0" w:num="1">
            <w:col w:w="9920"/>
          </w:cols>
          <w:pgMar w:left="980" w:top="517" w:right="99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without taking into account the exchanged shares of the Company’s common stock (or contributions, distributions or proceeds relating thereto).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Capital Gains Fee will be payable in respect of the exchanged shares of the Company’s common stock in connection with a Spin-Off transaction and will be calculated as of the date of the completion of a Spin-Off transaction as if such date were a calendar year-end for purposes of calculating and paying the Capital Gains Fee.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Income Incentive Fee or Capital Gains Fee will be payable in connection with a Spin-Off transaction unless, on the date of the completion of a Spin-Off transaction, the sum of the Company’s (i) Pre-Incentive Fee net investment income and (ii) realized capital gains less realized capital losses and unrealized capital depreciation from the date of the Company’s election to be regulated as a BDC through, and including, the date of the completion of such Spin-Off transaction, is greater than 8.0% of the cumulative net investments made by the Company since the Company’s election to be regulated as a BDC.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 Pursuant to the terms of the Administration Agreement, the amounts payable to the Administrator by the Company in any fiscal year will not exceed the greater of (i) 0.75% of the aggregate capital commitments as of the end of the most recently completed fiscal year and (ii) $1.0 million.</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reimbursed the Administrator $315,540 during the three months ended March 31, 2021. As of March 31, 2021, the Company had accrued a net payable to the Administrator of $32,858. Of the total amount reimbursed and accrued during the three months ended March 31, 2021, $285,915 was related to overhead allocation expense. The Company reimbursed the Administrator $162,123 during the three months ended March 31, 2020. As of March 31, 2020, the Company accrued a net payable to the Administrator of $117,681. Of the total amount reimbursed and accrued during the three months ended March 31, 2020, $132,793 was related to overhead allocation expense. As of December 31, 2020, the Company had accrued a net payable to the Administrator of $143,515. Administration fees, which include fees payable by the Administrator to third-party service providers who provide additional administration services for the Company, were $148,100 for the three months ended March 31, 2021. Administration fees, which include fees payable by the Administrator to third-party service providers who provide additional administration services for the Company, were $124,311 for the three months ended March 31,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entered into a license agreement with RGC (the “License Agreement”) pursuant to which RGC has granted the Company a personal, non-exclusive, royalty-free right and license to use the name “Runway Growth Credit Fund”. Under the License Agreement, the Company has the right to use the “Runway Growth Credit Fund” name for so long as RGC or one of its affiliates remains the Company’s investment adviser. Other than with respect to this limited license, the Company has no legal right to the “Runway Growth Credit Fund” name.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Oaktree Strategic Relationship</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December 2016, RGC entered into a strategic relationship with Oaktree Capital Management, L.P. (“Oaktree”). In connection with the strategic relationship, OCM Growth Holdings, LLC, a Delaware limited liability company (“OCM”) managed by Oaktree, made an initial $125.0 million capital commitment to the Company, which was subsequently increased to $139.0 million (the “Initial OCM Commitment”). On September 14, 2019, in connection with the Second Private Offering, the Company accepted a capital commitment from OCM in the amount of $112.5 million (the “Subsequent OCM Commitment and, together with the Initial OCM Commitment, the “OCM Commitment”). As of March 31, 2021, OCM owns 18,305,267 shares of our common stock or 57% of our total issued and outstanding shares. OCM has granted a proxy to the Company pursuant to which the shares held by OCM will be voted in the same proportion as the Company’s other stockholders vote their shares.</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OCM Commitment, the Company entered into a stockholder agreement, dated December 15, 2016, with OCM, pursuant to which OCM has a right to nominate a member of the Company’s Board of Directors for election. Brian Laibow was appointed to the Company’s Board of Directors as OCM’s representative. OCM also holds an interest in RGC and has the right to appoint a member of RGC’s board of managers and a member of RGC’s investment committee. Brian Laibow is OCM’s appointee to RGC’s board of managers and investment committee. In connection with the Subsequent OCM Commitment, OCM also purchased additional equity in RGC.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assets and liabilities recorded at fair value have been categorized based upon a fair value hierarchy in accordance with ASC Topic 820. See Note 2 for discussion of the Company’s valuation policies.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measured at fair value as of March 31, 2021 and December 31, 2020,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As of March 31, 2021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673,998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9,492,345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10,166,343</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334,650</w:t>
            </w: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539,329,013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539,329,013</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13,900,050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1,778,026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3,056,700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18,734,776</w:t>
            </w:r>
          </w:p>
        </w:tc>
      </w:tr>
      <w:tr>
        <w:trPr>
          <w:trHeight w:val="216"/>
        </w:trPr>
        <w:tc>
          <w:tcPr>
            <w:tcW w:w="3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21,582,839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21,582,839</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14,574,048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11,605,021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563,968,552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590,147,621</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24,999,969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24,999,969</w:t>
            </w:r>
          </w:p>
        </w:tc>
      </w:tr>
      <w:tr>
        <w:trPr>
          <w:trHeight w:val="210"/>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39,574,017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11,605,021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563,968,552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615,147,590</w:t>
            </w:r>
          </w:p>
        </w:tc>
      </w:tr>
      <w:tr>
        <w:trPr>
          <w:trHeight w:val="20"/>
        </w:trPr>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58"/>
        </w:trPr>
        <w:tc>
          <w:tcPr>
            <w:tcW w:w="3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521,940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521,940</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501,964,657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501,964,657</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13,230,000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r>
      <w:tr>
        <w:trPr>
          <w:trHeight w:val="216"/>
        </w:trPr>
        <w:tc>
          <w:tcPr>
            <w:tcW w:w="3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13,230,000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551,824,590</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70,002,060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70,002,060</w:t>
            </w:r>
          </w:p>
        </w:tc>
      </w:tr>
      <w:tr>
        <w:trPr>
          <w:trHeight w:val="210"/>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83,232,060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621,826,650</w:t>
            </w:r>
          </w:p>
        </w:tc>
      </w:tr>
      <w:tr>
        <w:trPr>
          <w:trHeight w:val="20"/>
        </w:trPr>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transfers into and out of the levels indicated above at the end of each reporting period. During the period ended March 31, 2021, the Company had a warrant investment converted to a common stock investment, resulting in an asset transfer out of Level 3 and into Level 2 at the fair value of $9,492,345. There were no transfers into or out of the levels during the year ended December 31,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Level 3 assets measured at fair value as of March 31,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Preferred</w:t>
            </w:r>
          </w:p>
        </w:tc>
        <w:tc>
          <w:tcPr>
            <w:tcW w:w="8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Senior Secured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10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Loans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1,336,268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501,964,657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33,008,672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536,309,597</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w w:val="99"/>
              </w:rPr>
              <w:t>Amortization of fixed income premiums or accretion of discounts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2,172,634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2,172,634</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52,195,287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54,741,021</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line="216" w:lineRule="exact"/>
              <w:rPr>
                <w:sz w:val="20"/>
                <w:szCs w:val="20"/>
                <w:color w:val="auto"/>
              </w:rPr>
            </w:pPr>
            <w:r>
              <w:rPr>
                <w:rFonts w:ascii="Arial" w:cs="Arial" w:eastAsia="Arial" w:hAnsi="Arial"/>
                <w:sz w:val="17"/>
                <w:szCs w:val="17"/>
                <w:color w:val="auto"/>
              </w:rPr>
              <w:t>Sales or repayments of investments</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(16,566,437)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(16,566,437)</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(9,492,345)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(9,492,345)</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Realized gain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(216,610)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(216,610)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unrealized (depreciation)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(279,568)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(437,128)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(2,262,612)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(2,979,308)</w:t>
            </w:r>
          </w:p>
        </w:tc>
        <w:tc>
          <w:tcPr>
            <w:tcW w:w="0" w:type="dxa"/>
            <w:vAlign w:val="bottom"/>
          </w:tcPr>
          <w:p>
            <w:pPr>
              <w:spacing w:after="0"/>
              <w:rPr>
                <w:sz w:val="1"/>
                <w:szCs w:val="1"/>
                <w:color w:val="auto"/>
              </w:rPr>
            </w:pPr>
          </w:p>
        </w:tc>
      </w:tr>
      <w:tr>
        <w:trPr>
          <w:trHeight w:val="249"/>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Fair value at March 31, 2021</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3,056,700</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539,329,013</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21,582,839</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563,968,552</w:t>
            </w:r>
          </w:p>
        </w:tc>
        <w:tc>
          <w:tcPr>
            <w:tcW w:w="0" w:type="dxa"/>
            <w:vAlign w:val="bottom"/>
          </w:tcPr>
          <w:p>
            <w:pPr>
              <w:spacing w:after="0"/>
              <w:rPr>
                <w:sz w:val="1"/>
                <w:szCs w:val="1"/>
                <w:color w:val="auto"/>
              </w:rPr>
            </w:pPr>
          </w:p>
        </w:tc>
      </w:tr>
      <w:tr>
        <w:trPr>
          <w:trHeight w:val="155"/>
        </w:trPr>
        <w:tc>
          <w:tcPr>
            <w:tcW w:w="5120" w:type="dxa"/>
            <w:vAlign w:val="bottom"/>
            <w:gridSpan w:val="2"/>
            <w:shd w:val="clear" w:color="auto" w:fill="CCEEFF"/>
          </w:tcPr>
          <w:p>
            <w:pPr>
              <w:spacing w:after="0" w:line="155" w:lineRule="exact"/>
              <w:rPr>
                <w:sz w:val="20"/>
                <w:szCs w:val="20"/>
                <w:color w:val="auto"/>
              </w:rPr>
            </w:pPr>
            <w:r>
              <w:rPr>
                <w:rFonts w:ascii="Arial" w:cs="Arial" w:eastAsia="Arial" w:hAnsi="Arial"/>
                <w:sz w:val="17"/>
                <w:szCs w:val="17"/>
                <w:color w:val="auto"/>
                <w:w w:val="99"/>
              </w:rPr>
              <w:t>Change in unrealized (depreciation) on Level 3 investments still held</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(229,135)</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(413,590)</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5"/>
              </w:rPr>
              <w:t>(2,019,807)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(2,662,532)</w:t>
            </w:r>
          </w:p>
        </w:tc>
        <w:tc>
          <w:tcPr>
            <w:tcW w:w="0" w:type="dxa"/>
            <w:vAlign w:val="bottom"/>
          </w:tcPr>
          <w:p>
            <w:pPr>
              <w:spacing w:after="0"/>
              <w:rPr>
                <w:sz w:val="1"/>
                <w:szCs w:val="1"/>
                <w:color w:val="auto"/>
              </w:rPr>
            </w:pPr>
          </w:p>
        </w:tc>
      </w:tr>
      <w:tr>
        <w:trPr>
          <w:trHeight w:val="217"/>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March 31, 2021</w:t>
            </w:r>
          </w:p>
        </w:tc>
        <w:tc>
          <w:tcPr>
            <w:tcW w:w="28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29" w:lineRule="auto"/>
        <w:tabs>
          <w:tab w:leader="none" w:pos="660"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Includes PIK interest, net of reorganization and restructuring of investments.</w:t>
      </w:r>
    </w:p>
    <w:p>
      <w:pPr>
        <w:spacing w:after="0" w:line="202" w:lineRule="exact"/>
        <w:rPr>
          <w:rFonts w:ascii="Arial" w:cs="Arial" w:eastAsia="Arial" w:hAnsi="Arial"/>
          <w:sz w:val="27"/>
          <w:szCs w:val="27"/>
          <w:color w:val="auto"/>
          <w:vertAlign w:val="superscript"/>
        </w:rPr>
      </w:pPr>
    </w:p>
    <w:p>
      <w:pPr>
        <w:ind w:left="660"/>
        <w:spacing w:after="0"/>
        <w:rPr>
          <w:rFonts w:ascii="Arial" w:cs="Arial" w:eastAsia="Arial" w:hAnsi="Arial"/>
          <w:sz w:val="27"/>
          <w:szCs w:val="27"/>
          <w:color w:val="auto"/>
          <w:vertAlign w:val="superscript"/>
        </w:rPr>
      </w:pPr>
      <w:r>
        <w:rPr>
          <w:rFonts w:ascii="Arial" w:cs="Arial" w:eastAsia="Arial" w:hAnsi="Arial"/>
          <w:sz w:val="18"/>
          <w:szCs w:val="18"/>
          <w:color w:val="auto"/>
        </w:rPr>
        <w:t>The following table presents a rollforward of Level 3 assets measured at fair value as of March 31,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Senior Secured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10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Loans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349,570,424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18,008,337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368,016,276</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Amortization of fixed income premiums or accretion of discounts</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2,155,005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2,155,005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18,687,450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36,992,971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57,377,221</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line="216" w:lineRule="exact"/>
              <w:rPr>
                <w:sz w:val="20"/>
                <w:szCs w:val="20"/>
                <w:color w:val="auto"/>
              </w:rPr>
            </w:pPr>
            <w:r>
              <w:rPr>
                <w:rFonts w:ascii="Arial" w:cs="Arial" w:eastAsia="Arial" w:hAnsi="Arial"/>
                <w:sz w:val="17"/>
                <w:szCs w:val="17"/>
                <w:color w:val="auto"/>
              </w:rPr>
              <w:t>Sales or repayments of investments</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(57,316,889)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(2,749,949)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(60,066,838)</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gain (loss)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(7,883,582)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1,179,751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(6,703,831)</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Change in unrealized appreciation (depreciation)</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(2,093,471)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2,382,500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(1,630,167)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(1,341,138)</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March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17,031,494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325,900,429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16,504,772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359,436,695</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w w:val="94"/>
              </w:rPr>
              <w:t>Change in unrealized (depreciation) on Level 3 investments still held</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80" w:type="dxa"/>
            <w:vAlign w:val="bottom"/>
            <w:gridSpan w:val="2"/>
            <w:vMerge w:val="continue"/>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5"/>
              </w:rPr>
              <w:t>(2,093,471)</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(3,520,610)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(450,367)</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(6,064,448)</w:t>
            </w:r>
          </w:p>
        </w:tc>
        <w:tc>
          <w:tcPr>
            <w:tcW w:w="0" w:type="dxa"/>
            <w:vAlign w:val="bottom"/>
          </w:tcPr>
          <w:p>
            <w:pPr>
              <w:spacing w:after="0"/>
              <w:rPr>
                <w:sz w:val="1"/>
                <w:szCs w:val="1"/>
                <w:color w:val="auto"/>
              </w:rPr>
            </w:pP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as of March 31, 2020</w:t>
            </w:r>
          </w:p>
        </w:tc>
        <w:tc>
          <w:tcPr>
            <w:tcW w:w="1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29" w:lineRule="auto"/>
        <w:tabs>
          <w:tab w:leader="none" w:pos="660"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Includes PIK interest, net of reorganization and restructuring of investments.</w:t>
      </w:r>
    </w:p>
    <w:p>
      <w:pPr>
        <w:spacing w:after="0" w:line="202" w:lineRule="exact"/>
        <w:rPr>
          <w:rFonts w:ascii="Arial" w:cs="Arial" w:eastAsia="Arial" w:hAnsi="Arial"/>
          <w:sz w:val="27"/>
          <w:szCs w:val="27"/>
          <w:color w:val="auto"/>
          <w:vertAlign w:val="superscript"/>
        </w:rPr>
      </w:pPr>
    </w:p>
    <w:p>
      <w:pPr>
        <w:ind w:left="660"/>
        <w:spacing w:after="0"/>
        <w:rPr>
          <w:rFonts w:ascii="Arial" w:cs="Arial" w:eastAsia="Arial" w:hAnsi="Arial"/>
          <w:sz w:val="27"/>
          <w:szCs w:val="27"/>
          <w:color w:val="auto"/>
          <w:vertAlign w:val="superscript"/>
        </w:rPr>
      </w:pPr>
      <w:r>
        <w:rPr>
          <w:rFonts w:ascii="Arial" w:cs="Arial" w:eastAsia="Arial" w:hAnsi="Arial"/>
          <w:sz w:val="17"/>
          <w:szCs w:val="17"/>
          <w:color w:val="auto"/>
        </w:rPr>
        <w:t>The following table provides quantitative information regarding Level 3 fair value measurements as of March 31,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Unobservable Inputs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merger and acquisition</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3"/>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3,056,700</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transaction prices</w:t>
            </w:r>
          </w:p>
        </w:tc>
        <w:tc>
          <w:tcPr>
            <w:tcW w:w="2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N/A</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98"/>
        </w:trPr>
        <w:tc>
          <w:tcPr>
            <w:tcW w:w="23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Senior Secured Term</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140"/>
              <w:spacing w:after="0" w:line="198" w:lineRule="exact"/>
              <w:rPr>
                <w:sz w:val="20"/>
                <w:szCs w:val="20"/>
                <w:color w:val="auto"/>
              </w:rPr>
            </w:pPr>
            <w:r>
              <w:rPr>
                <w:rFonts w:ascii="Arial" w:cs="Arial" w:eastAsia="Arial" w:hAnsi="Arial"/>
                <w:sz w:val="18"/>
                <w:szCs w:val="18"/>
                <w:color w:val="auto"/>
                <w:w w:val="91"/>
              </w:rPr>
              <w:t>Discounted cash flow</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gridSpan w:val="3"/>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507,646,467</w:t>
            </w:r>
          </w:p>
        </w:tc>
        <w:tc>
          <w:tcPr>
            <w:tcW w:w="140" w:type="dxa"/>
            <w:vAlign w:val="bottom"/>
          </w:tcPr>
          <w:p>
            <w:pPr>
              <w:spacing w:after="0"/>
              <w:rPr>
                <w:sz w:val="20"/>
                <w:szCs w:val="20"/>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analysis</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7.7%-100.0% (13.9%)</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Market approach</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6"/>
              </w:rPr>
              <w:t>Origination yield</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8.3%-100.1% (13.9%)</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31,682,546</w:t>
            </w: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21.9%-25.0% (24.0%)</w:t>
            </w: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14,845,117</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Option pricing model</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Risk-free interest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0.1%-1.8% (0.1%)</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Average industry volatility</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35.0%-80.0% (55.6%)</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Estimated time to exit</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0.8-8.9 (1.4) years</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Revenue multiples</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1.09x-6.51x (2.30x)</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6,737,722</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PWERM</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30.0%-46.0% (36.6%)</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0"/>
              </w:rPr>
              <w:t>Revenue multiples</w:t>
            </w: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2.72x-42.76x (7.72x)</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Level 3 Investments</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563,968,552</w:t>
            </w: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as of 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Unobservable Inputs</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71"/>
        </w:trPr>
        <w:tc>
          <w:tcPr>
            <w:tcW w:w="232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2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4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merger and acquisition</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1,336,268</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transaction prices</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N/A</w:t>
            </w: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98"/>
        </w:trPr>
        <w:tc>
          <w:tcPr>
            <w:tcW w:w="23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Senior Secured Term</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140"/>
              <w:spacing w:after="0" w:line="198" w:lineRule="exact"/>
              <w:rPr>
                <w:sz w:val="20"/>
                <w:szCs w:val="20"/>
                <w:color w:val="auto"/>
              </w:rPr>
            </w:pPr>
            <w:r>
              <w:rPr>
                <w:rFonts w:ascii="Arial" w:cs="Arial" w:eastAsia="Arial" w:hAnsi="Arial"/>
                <w:sz w:val="18"/>
                <w:szCs w:val="18"/>
                <w:color w:val="auto"/>
                <w:w w:val="91"/>
              </w:rPr>
              <w:t>Discounted Cash Flow</w:t>
            </w: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gridSpan w:val="3"/>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471,256,844</w:t>
            </w:r>
          </w:p>
        </w:tc>
        <w:tc>
          <w:tcPr>
            <w:tcW w:w="140" w:type="dxa"/>
            <w:vAlign w:val="bottom"/>
          </w:tcPr>
          <w:p>
            <w:pPr>
              <w:spacing w:after="0"/>
              <w:rPr>
                <w:sz w:val="20"/>
                <w:szCs w:val="20"/>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analysis</w:t>
            </w: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8.0%-100.0% (14.8%)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Market approach</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Origination yield</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11.4%-100.1% (14.3%)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30,707,813</w:t>
            </w: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19.5%-23.8% (20.2%)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16,803,367</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Option pricing model</w:t>
            </w: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Risk-free interest rate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0.1%-0.8% (0.1%)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Average industry volatility</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35.0%-72.2% (56.0%)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Estimated time to exit</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0.3-9.2 (1.5) years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Revenue Multiples</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0.00x-5.85x (1.92x)</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16,205,305</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PWERM</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21.0%-40.0% (27.9%)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3"/>
              </w:rPr>
              <w:t>Revenue Multiples</w:t>
            </w:r>
          </w:p>
        </w:tc>
        <w:tc>
          <w:tcPr>
            <w:tcW w:w="21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2"/>
              </w:rPr>
              <w:t>0.00x-51.69x (5.62x)</w:t>
            </w:r>
          </w:p>
        </w:tc>
        <w:tc>
          <w:tcPr>
            <w:tcW w:w="0" w:type="dxa"/>
            <w:vAlign w:val="bottom"/>
          </w:tcPr>
          <w:p>
            <w:pPr>
              <w:spacing w:after="0"/>
              <w:rPr>
                <w:sz w:val="1"/>
                <w:szCs w:val="1"/>
                <w:color w:val="auto"/>
              </w:rPr>
            </w:pPr>
          </w:p>
        </w:tc>
      </w:tr>
      <w:tr>
        <w:trPr>
          <w:trHeight w:val="210"/>
        </w:trPr>
        <w:tc>
          <w:tcPr>
            <w:tcW w:w="2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Level 3 Investments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536,309,597</w:t>
            </w: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660" w:hanging="328"/>
        <w:spacing w:after="0" w:line="237" w:lineRule="auto"/>
        <w:tabs>
          <w:tab w:leader="none" w:pos="660"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166" w:lineRule="exact"/>
        <w:rPr>
          <w:rFonts w:ascii="Arial" w:cs="Arial" w:eastAsia="Arial" w:hAnsi="Arial"/>
          <w:sz w:val="27"/>
          <w:szCs w:val="27"/>
          <w:color w:val="auto"/>
          <w:vertAlign w:val="superscript"/>
        </w:rPr>
      </w:pPr>
    </w:p>
    <w:p>
      <w:pPr>
        <w:jc w:val="both"/>
        <w:ind w:left="660" w:hanging="328"/>
        <w:spacing w:after="0" w:line="272" w:lineRule="auto"/>
        <w:tabs>
          <w:tab w:leader="none" w:pos="660" w:val="left"/>
        </w:tabs>
        <w:numPr>
          <w:ilvl w:val="0"/>
          <w:numId w:val="19"/>
        </w:numPr>
        <w:rPr>
          <w:rFonts w:ascii="Arial" w:cs="Arial" w:eastAsia="Arial" w:hAnsi="Arial"/>
          <w:sz w:val="24"/>
          <w:szCs w:val="24"/>
          <w:color w:val="auto"/>
          <w:vertAlign w:val="superscript"/>
        </w:rPr>
      </w:pPr>
      <w:r>
        <w:rPr>
          <w:rFonts w:ascii="Arial" w:cs="Arial" w:eastAsia="Arial" w:hAnsi="Arial"/>
          <w:sz w:val="16"/>
          <w:szCs w:val="16"/>
          <w:color w:val="auto"/>
        </w:rPr>
        <w:t>The significant unobservable inputs used in the fair value measurement of the Company’s warrant and equity-related securities are inputs used in the option pricing model (“OPM”), which include industry volatility, risk free interest rate and estimated time to exit. The Equity Allocation model and the Black Scholes model were the main OPMs used during the period ended March 31, 2021 and the year ended December 31, 2020.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three months ended March 31, 2021, the Company had a net realized loss of $216,610 and a net change in unrealized depreciation of $2,262,612 from</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its investments in warrants. For the three months ended March 31, 2020, the Company had net realized gains of $1,179,751 and a net change in unrealized depreciation of $1,630,167 from its investment in warrants. Realized gains from warrants is included in Realized gain (loss) on non-control/non-affiliate investments, including U.S. Treasury Bills on the Statement of Operations. Net change in unrealized depreciation from investments in warrants in the amount of $2,262,612 is included in Net Change in unrealized appreciation (depreciation) on non-control/non-affiliate investments, including U.S. Treasury Bills.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Credit Facilities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31, 2019, the Company entered into a Credit Agreement (the “Credit Agreement”) by and among the Company, as borrower, KeyBank National Association, as administrative agent, syndication agent, and a lender, CIBC Bank USA (“CIBC”), as documentation agent and a lender, U.S. Bank National Association, as paying agent, the guarantors from time to time party thereto, and the other lenders from time to time party thereto.</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There can be no assurances that existing lenders will agree to such an increase, or that additional lenders will join the credit facility to increase available borrowings.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availability period under the Credit Agreement expires on May 31, 2022 and is followed by a two-year amortization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stated maturity date under the Credit Agreement is May 31, 2024.</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10, 2020, Company entered into an amendment (the "November Credit Facility Amendment") to the Credit Agreement. The November Credit Facility Amendment amended the Credit Agreement to, among other things: (i) increase the size of the aggregate commitments under the Credit Facility to $175 million from $100 million; (ii) add MUFG Union Bank, N.A. as a new lender and co-documentation agent under the Credit Agreement; (iii) revise the interest rate margin to be 3.00% for the remaining term of the Credit Facility regardless of the Credit Facility average utilization or the number of unaffiliated obligors on loans in the collateral; (iv) permit the Company to obtain a future subscription line of credit of up to $50 million; (v) revise the LIBOR replacement provisions; (vi) implement a 0.50% LIBOR floor and benchmark replacement rate floor on borrowings under the Credit Agreement; and (vii) revise certain of the borrowing base concentration limits.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December 2, 2020, the Company entered into an amendment (the “December Credit Facility Amendment”) to the Credit Agreement. The December Credit Facility Amendment amended the Credit Agreement to: (i) increase the size of the aggregate commitments under the Credit Facility to $215 million from $175 million; (ii) increase the accordion amount under the Credit Facility from a $200 million maximum aggregate commitment amount to a $300 million maximum aggregate commitment amount; and (iii) add</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Bank of Hope and First Foundation Bank as new Lenders and Managing Agents under the Credit Agreement. Borrowing under the Credit Facility remains subject to the leverage restrictions contained in the 1940 Act.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Credit Agreement is secured by a perfected first priority security interest in substantially all of the Company’s assets and portfolio investments.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Credit Agreement contains certain customary covenants and events of default for secured revolving credit facilities of this nature, including, without limitation, maintenance of a tangible net worth as of the last day of each fiscal quarter in excess of the greater of (i) $125 million plus 75% of the net proceeds of sales of equity interests in the Company and (ii) the loan balance of the Company’s four largest obligors; maintenance of an asset coverage ratio as of the last day of each fiscal quarter that equals or exceeds the greater of 150% and the ratio otherwise applicable to the Company under the 1940 Act; maintenance of an interest coverage ratio as of the last day of each fiscal quarter of 2.00 to 1.00; maintenance of a minimum liquidity amount as of the last day of each fiscal quarter; net income not being negative for two consecutive fiscal quarters or any trailing 12-month period; a limitation on incurring additional indebtedness without the prior written consent of the administrative agent (subject to limited exceptions); certain change-of-control events occur at the Company or the Company’s investment adviser; the departure of certain key persons from the Company or the Company’s investment adviser; RGC ceases to be the Company’s investment adviser; maintenance of business-development-company status and regulated-investment-company status; nonpayment; misrepresentation of representations and warranties; breach of covenant; and certain bankruptcy and liquidation events.</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June 22, 2018, the Company entered into a demand loan agreement (the "Uncommitted Facility") and a revolving loan agreement (the "Committed Facility," and together with the Uncommitted Facility, the "Credit Facilities") with CIBC Bank USA ("CIBC"). An amendment to the Credit Facilities was entered into on September 24, 2018 between the Company and CIBC. On May 31, 2019, in conjunction with securing and entering into the Credit Agreement, the Company terminated the Credit Facilities.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termination on May 31, 2019, the current maximum principal amount of available borrowings under each of the Uncommitted Facility and the Committed Facility was $30 million (for a combined maximum principal amount under the Credit Facilities of $60 million), subject in each case to availability under the borrowing base, which was based on unused capital commitments. Borrowings under the Credit Facilities bore interest, at the Company's election at the time of drawdown, at a rate per annum equal to (i) in the case of LIBOR rate loans, the LIBOR rate for the applicable interest period plus 2.50% or (ii) in the case of prime rate loans, CIBC's prime commercial rate at the time of the borrowing minus 0.50%.</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2021 and 2020, the weighted average outstanding debt balance was $82,688,889 and $7,538,462, respectively, and the weighted average effective interest rate under the Credit Agreement and Credit Facilities was 3.5% and 4.91%,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2021, the Company had $117,000,000 outstanding under the Credit Agreement with maturity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Facility</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 of</w:t>
            </w: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Due Date</w:t>
            </w:r>
          </w:p>
        </w:tc>
        <w:tc>
          <w:tcPr>
            <w:tcW w:w="20" w:type="dxa"/>
            <w:vAlign w:val="bottom"/>
          </w:tcPr>
          <w:p>
            <w:pPr>
              <w:spacing w:after="0"/>
              <w:rPr>
                <w:sz w:val="14"/>
                <w:szCs w:val="14"/>
                <w:color w:val="auto"/>
              </w:rPr>
            </w:pPr>
          </w:p>
        </w:tc>
        <w:tc>
          <w:tcPr>
            <w:tcW w:w="11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70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Advance</w:t>
            </w: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6/30/2020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5/31/2022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$ 117,000,000</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$ 117,000,000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2020, the Company had $99,000,000 outstanding under the Credit Agreement with maturity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Loan Facility</w:t>
            </w: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 of</w:t>
            </w:r>
          </w:p>
        </w:tc>
        <w:tc>
          <w:tcPr>
            <w:tcW w:w="116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Due Date</w:t>
            </w:r>
          </w:p>
        </w:tc>
        <w:tc>
          <w:tcPr>
            <w:tcW w:w="9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70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71"/>
        </w:trPr>
        <w:tc>
          <w:tcPr>
            <w:tcW w:w="406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Advance</w:t>
            </w:r>
          </w:p>
        </w:tc>
        <w:tc>
          <w:tcPr>
            <w:tcW w:w="116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6/30/2020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5/31/2022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99,000,000</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99,000,000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80" w:type="dxa"/>
            <w:vAlign w:val="bottom"/>
            <w:vMerge w:val="restart"/>
          </w:tcPr>
          <w:p>
            <w:pPr>
              <w:jc w:val="right"/>
              <w:ind w:right="69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Financial Highlights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r>
      <w:tr>
        <w:trPr>
          <w:trHeight w:val="149"/>
        </w:trPr>
        <w:tc>
          <w:tcPr>
            <w:tcW w:w="24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48"/>
        </w:trPr>
        <w:tc>
          <w:tcPr>
            <w:tcW w:w="24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2"/>
                <w:szCs w:val="12"/>
                <w:color w:val="auto"/>
              </w:rPr>
            </w:pPr>
          </w:p>
        </w:tc>
      </w:tr>
      <w:tr>
        <w:trPr>
          <w:trHeight w:val="171"/>
        </w:trPr>
        <w:tc>
          <w:tcPr>
            <w:tcW w:w="24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(Unaudited)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(Unaudited)</w:t>
            </w:r>
          </w:p>
        </w:tc>
      </w:tr>
      <w:tr>
        <w:trPr>
          <w:trHeight w:val="196"/>
        </w:trPr>
        <w:tc>
          <w:tcPr>
            <w:tcW w:w="680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5"/>
                <w:szCs w:val="15"/>
                <w:b w:val="1"/>
                <w:bCs w:val="1"/>
                <w:color w:val="auto"/>
              </w:rPr>
              <w:t>Per Share Data</w:t>
            </w:r>
            <w:r>
              <w:rPr>
                <w:rFonts w:ascii="Arial" w:cs="Arial" w:eastAsia="Arial" w:hAnsi="Arial"/>
                <w:sz w:val="22"/>
                <w:szCs w:val="22"/>
                <w:b w:val="1"/>
                <w:bCs w:val="1"/>
                <w:color w:val="auto"/>
                <w:vertAlign w:val="superscript"/>
              </w:rPr>
              <w:t>(1)</w:t>
            </w:r>
            <w:r>
              <w:rPr>
                <w:rFonts w:ascii="Arial" w:cs="Arial" w:eastAsia="Arial" w:hAnsi="Arial"/>
                <w:sz w:val="15"/>
                <w:szCs w:val="15"/>
                <w:b w:val="1"/>
                <w:bCs w:val="1"/>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r>
      <w:tr>
        <w:trPr>
          <w:trHeight w:val="203"/>
        </w:trPr>
        <w:tc>
          <w:tcPr>
            <w:tcW w:w="6800" w:type="dxa"/>
            <w:vAlign w:val="bottom"/>
            <w:gridSpan w:val="2"/>
          </w:tcPr>
          <w:p>
            <w:pPr>
              <w:spacing w:after="0"/>
              <w:rPr>
                <w:sz w:val="20"/>
                <w:szCs w:val="20"/>
                <w:color w:val="auto"/>
              </w:rPr>
            </w:pPr>
            <w:r>
              <w:rPr>
                <w:rFonts w:ascii="Arial" w:cs="Arial" w:eastAsia="Arial" w:hAnsi="Arial"/>
                <w:sz w:val="17"/>
                <w:szCs w:val="17"/>
                <w:color w:val="auto"/>
              </w:rPr>
              <w:t>Net asset value at beginning of period</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14.84</w:t>
            </w:r>
          </w:p>
        </w:tc>
        <w:tc>
          <w:tcPr>
            <w:tcW w:w="180" w:type="dxa"/>
            <w:vAlign w:val="bottom"/>
          </w:tcPr>
          <w:p>
            <w:pPr>
              <w:spacing w:after="0"/>
              <w:rPr>
                <w:sz w:val="17"/>
                <w:szCs w:val="17"/>
                <w:color w:val="auto"/>
              </w:rPr>
            </w:pPr>
          </w:p>
        </w:tc>
        <w:tc>
          <w:tcPr>
            <w:tcW w:w="24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14.58</w:t>
            </w:r>
          </w:p>
        </w:tc>
        <w:tc>
          <w:tcPr>
            <w:tcW w:w="240" w:type="dxa"/>
            <w:vAlign w:val="bottom"/>
          </w:tcPr>
          <w:p>
            <w:pPr>
              <w:spacing w:after="0"/>
              <w:rPr>
                <w:sz w:val="17"/>
                <w:szCs w:val="17"/>
                <w:color w:val="auto"/>
              </w:rPr>
            </w:pPr>
          </w:p>
        </w:tc>
      </w:tr>
      <w:tr>
        <w:trPr>
          <w:trHeight w:val="203"/>
        </w:trPr>
        <w:tc>
          <w:tcPr>
            <w:tcW w:w="68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Net investment income</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240" w:type="dxa"/>
            <w:vAlign w:val="bottom"/>
            <w:shd w:val="clear" w:color="auto" w:fill="CCEEFF"/>
          </w:tcPr>
          <w:p>
            <w:pPr>
              <w:spacing w:after="0"/>
              <w:rPr>
                <w:sz w:val="17"/>
                <w:szCs w:val="17"/>
                <w:color w:val="auto"/>
              </w:rPr>
            </w:pPr>
          </w:p>
        </w:tc>
      </w:tr>
      <w:tr>
        <w:trPr>
          <w:trHeight w:val="203"/>
        </w:trPr>
        <w:tc>
          <w:tcPr>
            <w:tcW w:w="6800" w:type="dxa"/>
            <w:vAlign w:val="bottom"/>
            <w:gridSpan w:val="2"/>
          </w:tcPr>
          <w:p>
            <w:pPr>
              <w:spacing w:after="0"/>
              <w:rPr>
                <w:sz w:val="20"/>
                <w:szCs w:val="20"/>
                <w:color w:val="auto"/>
              </w:rPr>
            </w:pPr>
            <w:r>
              <w:rPr>
                <w:rFonts w:ascii="Arial" w:cs="Arial" w:eastAsia="Arial" w:hAnsi="Arial"/>
                <w:sz w:val="17"/>
                <w:szCs w:val="17"/>
                <w:color w:val="auto"/>
              </w:rPr>
              <w:t>Realized gain (loss)</w:t>
            </w:r>
          </w:p>
        </w:tc>
        <w:tc>
          <w:tcPr>
            <w:tcW w:w="1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(0.01)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(0.26)</w:t>
            </w:r>
          </w:p>
        </w:tc>
      </w:tr>
      <w:tr>
        <w:trPr>
          <w:trHeight w:val="203"/>
        </w:trPr>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unrealized appreciation (depreciation)</w:t>
            </w: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(0.05)</w:t>
            </w:r>
          </w:p>
        </w:tc>
      </w:tr>
      <w:tr>
        <w:trPr>
          <w:trHeight w:val="203"/>
        </w:trPr>
        <w:tc>
          <w:tcPr>
            <w:tcW w:w="6800" w:type="dxa"/>
            <w:vAlign w:val="bottom"/>
            <w:gridSpan w:val="2"/>
          </w:tcPr>
          <w:p>
            <w:pPr>
              <w:spacing w:after="0"/>
              <w:rPr>
                <w:sz w:val="20"/>
                <w:szCs w:val="20"/>
                <w:color w:val="auto"/>
              </w:rPr>
            </w:pPr>
            <w:r>
              <w:rPr>
                <w:rFonts w:ascii="Arial" w:cs="Arial" w:eastAsia="Arial" w:hAnsi="Arial"/>
                <w:sz w:val="17"/>
                <w:szCs w:val="17"/>
                <w:color w:val="auto"/>
              </w:rPr>
              <w:t>Dividends</w:t>
            </w:r>
          </w:p>
        </w:tc>
        <w:tc>
          <w:tcPr>
            <w:tcW w:w="1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(0.37)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(0.40)</w:t>
            </w:r>
          </w:p>
        </w:tc>
      </w:tr>
      <w:tr>
        <w:trPr>
          <w:trHeight w:val="203"/>
        </w:trPr>
        <w:tc>
          <w:tcPr>
            <w:tcW w:w="68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Accretion (Dilution)</w:t>
            </w:r>
            <w:r>
              <w:rPr>
                <w:rFonts w:ascii="Arial" w:cs="Arial" w:eastAsia="Arial" w:hAnsi="Arial"/>
                <w:sz w:val="23"/>
                <w:szCs w:val="23"/>
                <w:color w:val="auto"/>
                <w:vertAlign w:val="superscript"/>
              </w:rPr>
              <w:t>(4)</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240" w:type="dxa"/>
            <w:vAlign w:val="bottom"/>
            <w:shd w:val="clear" w:color="auto" w:fill="CCEEFF"/>
          </w:tcPr>
          <w:p>
            <w:pPr>
              <w:spacing w:after="0"/>
              <w:rPr>
                <w:sz w:val="17"/>
                <w:szCs w:val="17"/>
                <w:color w:val="auto"/>
              </w:rPr>
            </w:pPr>
          </w:p>
        </w:tc>
      </w:tr>
      <w:tr>
        <w:trPr>
          <w:trHeight w:val="236"/>
        </w:trPr>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Net asset value at end of period</w:t>
            </w: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14.77</w:t>
            </w:r>
          </w:p>
        </w:tc>
        <w:tc>
          <w:tcPr>
            <w:tcW w:w="1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14.25</w:t>
            </w:r>
          </w:p>
        </w:tc>
        <w:tc>
          <w:tcPr>
            <w:tcW w:w="240" w:type="dxa"/>
            <w:vAlign w:val="bottom"/>
            <w:tcBorders>
              <w:bottom w:val="single" w:sz="8" w:color="CCEEFF"/>
            </w:tcBorders>
          </w:tcPr>
          <w:p>
            <w:pPr>
              <w:spacing w:after="0"/>
              <w:rPr>
                <w:sz w:val="20"/>
                <w:szCs w:val="20"/>
                <w:color w:val="auto"/>
              </w:rPr>
            </w:pPr>
          </w:p>
        </w:tc>
      </w:tr>
      <w:tr>
        <w:trPr>
          <w:trHeight w:val="183"/>
        </w:trPr>
        <w:tc>
          <w:tcPr>
            <w:tcW w:w="6800" w:type="dxa"/>
            <w:vAlign w:val="bottom"/>
            <w:gridSpan w:val="2"/>
            <w:shd w:val="clear" w:color="auto" w:fill="CCEEFF"/>
          </w:tcPr>
          <w:p>
            <w:pPr>
              <w:spacing w:after="0" w:line="183" w:lineRule="exact"/>
              <w:rPr>
                <w:sz w:val="20"/>
                <w:szCs w:val="20"/>
                <w:color w:val="auto"/>
              </w:rPr>
            </w:pPr>
            <w:r>
              <w:rPr>
                <w:rFonts w:ascii="Arial" w:cs="Arial" w:eastAsia="Arial" w:hAnsi="Arial"/>
                <w:sz w:val="15"/>
                <w:szCs w:val="15"/>
                <w:color w:val="auto"/>
              </w:rPr>
              <w:t>Total return based on net asset value</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(0.47)%</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(2.26)%</w:t>
            </w:r>
          </w:p>
        </w:tc>
      </w:tr>
      <w:tr>
        <w:trPr>
          <w:trHeight w:val="203"/>
        </w:trPr>
        <w:tc>
          <w:tcPr>
            <w:tcW w:w="6800" w:type="dxa"/>
            <w:vAlign w:val="bottom"/>
            <w:gridSpan w:val="2"/>
          </w:tcPr>
          <w:p>
            <w:pPr>
              <w:spacing w:after="0"/>
              <w:rPr>
                <w:sz w:val="20"/>
                <w:szCs w:val="20"/>
                <w:color w:val="auto"/>
              </w:rPr>
            </w:pPr>
            <w:r>
              <w:rPr>
                <w:rFonts w:ascii="Arial" w:cs="Arial" w:eastAsia="Arial" w:hAnsi="Arial"/>
                <w:sz w:val="17"/>
                <w:szCs w:val="17"/>
                <w:color w:val="auto"/>
              </w:rPr>
              <w:t>Weighted-average shares outstanding for period, basic</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31,505,254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25,887,286</w:t>
            </w:r>
          </w:p>
        </w:tc>
        <w:tc>
          <w:tcPr>
            <w:tcW w:w="240" w:type="dxa"/>
            <w:vAlign w:val="bottom"/>
          </w:tcPr>
          <w:p>
            <w:pPr>
              <w:spacing w:after="0"/>
              <w:rPr>
                <w:sz w:val="17"/>
                <w:szCs w:val="17"/>
                <w:color w:val="auto"/>
              </w:rPr>
            </w:pPr>
          </w:p>
        </w:tc>
      </w:tr>
      <w:tr>
        <w:trPr>
          <w:trHeight w:val="203"/>
        </w:trPr>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Ratio/Supplemental Data:</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6800" w:type="dxa"/>
            <w:vAlign w:val="bottom"/>
            <w:gridSpan w:val="2"/>
          </w:tcPr>
          <w:p>
            <w:pPr>
              <w:spacing w:after="0"/>
              <w:rPr>
                <w:sz w:val="20"/>
                <w:szCs w:val="20"/>
                <w:color w:val="auto"/>
              </w:rPr>
            </w:pPr>
            <w:r>
              <w:rPr>
                <w:rFonts w:ascii="Arial" w:cs="Arial" w:eastAsia="Arial" w:hAnsi="Arial"/>
                <w:sz w:val="17"/>
                <w:szCs w:val="17"/>
                <w:color w:val="auto"/>
              </w:rPr>
              <w:t>Net assets at end of period</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473,477,424</w:t>
            </w:r>
          </w:p>
        </w:tc>
        <w:tc>
          <w:tcPr>
            <w:tcW w:w="180" w:type="dxa"/>
            <w:vAlign w:val="bottom"/>
          </w:tcPr>
          <w:p>
            <w:pPr>
              <w:spacing w:after="0"/>
              <w:rPr>
                <w:sz w:val="17"/>
                <w:szCs w:val="17"/>
                <w:color w:val="auto"/>
              </w:rPr>
            </w:pPr>
          </w:p>
        </w:tc>
        <w:tc>
          <w:tcPr>
            <w:tcW w:w="24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376,391,642</w:t>
            </w:r>
          </w:p>
        </w:tc>
        <w:tc>
          <w:tcPr>
            <w:tcW w:w="240" w:type="dxa"/>
            <w:vAlign w:val="bottom"/>
          </w:tcPr>
          <w:p>
            <w:pPr>
              <w:spacing w:after="0"/>
              <w:rPr>
                <w:sz w:val="17"/>
                <w:szCs w:val="17"/>
                <w:color w:val="auto"/>
              </w:rPr>
            </w:pPr>
          </w:p>
        </w:tc>
      </w:tr>
      <w:tr>
        <w:trPr>
          <w:trHeight w:val="203"/>
        </w:trPr>
        <w:tc>
          <w:tcPr>
            <w:tcW w:w="68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Average net assets</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473,703,083</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382,210,805</w:t>
            </w:r>
          </w:p>
        </w:tc>
        <w:tc>
          <w:tcPr>
            <w:tcW w:w="240" w:type="dxa"/>
            <w:vAlign w:val="bottom"/>
            <w:shd w:val="clear" w:color="auto" w:fill="CCEEFF"/>
          </w:tcPr>
          <w:p>
            <w:pPr>
              <w:spacing w:after="0"/>
              <w:rPr>
                <w:sz w:val="17"/>
                <w:szCs w:val="17"/>
                <w:color w:val="auto"/>
              </w:rPr>
            </w:pP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6"/>
                <w:szCs w:val="16"/>
                <w:color w:val="auto"/>
              </w:rPr>
              <w:t>Annualized ratio of net operating expenses to average net assets</w:t>
            </w:r>
            <w:r>
              <w:rPr>
                <w:rFonts w:ascii="Arial" w:cs="Arial" w:eastAsia="Arial" w:hAnsi="Arial"/>
                <w:sz w:val="23"/>
                <w:szCs w:val="23"/>
                <w:color w:val="auto"/>
                <w:vertAlign w:val="superscript"/>
              </w:rPr>
              <w:t>(6),(7)</w:t>
            </w:r>
          </w:p>
        </w:tc>
        <w:tc>
          <w:tcPr>
            <w:tcW w:w="18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3.60 %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3.61 %</w:t>
            </w:r>
          </w:p>
        </w:tc>
      </w:tr>
      <w:tr>
        <w:trPr>
          <w:trHeight w:val="185"/>
        </w:trPr>
        <w:tc>
          <w:tcPr>
            <w:tcW w:w="68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w w:val="92"/>
              </w:rPr>
              <w:t>Annualized ratio of net increase (decrease) in net assets resulting from operations to average net</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20"/>
        </w:trPr>
        <w:tc>
          <w:tcPr>
            <w:tcW w:w="6800" w:type="dxa"/>
            <w:vAlign w:val="bottom"/>
            <w:gridSpan w:val="2"/>
            <w:shd w:val="clear" w:color="auto" w:fill="CCEEFF"/>
          </w:tcPr>
          <w:p>
            <w:pPr>
              <w:spacing w:after="0" w:line="220" w:lineRule="exact"/>
              <w:rPr>
                <w:sz w:val="20"/>
                <w:szCs w:val="20"/>
                <w:color w:val="auto"/>
              </w:rPr>
            </w:pPr>
            <w:r>
              <w:rPr>
                <w:rFonts w:ascii="Arial" w:cs="Arial" w:eastAsia="Arial" w:hAnsi="Arial"/>
                <w:sz w:val="17"/>
                <w:szCs w:val="17"/>
                <w:color w:val="auto"/>
              </w:rPr>
              <w:t>assets</w:t>
            </w:r>
            <w:r>
              <w:rPr>
                <w:rFonts w:ascii="Arial" w:cs="Arial" w:eastAsia="Arial" w:hAnsi="Arial"/>
                <w:sz w:val="25"/>
                <w:szCs w:val="25"/>
                <w:color w:val="auto"/>
                <w:vertAlign w:val="superscript"/>
              </w:rPr>
              <w:t>(7)</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8.65 %</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3.66 %</w:t>
            </w:r>
          </w:p>
        </w:tc>
      </w:tr>
      <w:tr>
        <w:trPr>
          <w:trHeight w:val="108"/>
        </w:trPr>
        <w:tc>
          <w:tcPr>
            <w:tcW w:w="2480" w:type="dxa"/>
            <w:vAlign w:val="bottom"/>
            <w:tcBorders>
              <w:bottom w:val="single" w:sz="8" w:color="auto"/>
            </w:tcBorders>
          </w:tcPr>
          <w:p>
            <w:pPr>
              <w:spacing w:after="0"/>
              <w:rPr>
                <w:sz w:val="9"/>
                <w:szCs w:val="9"/>
                <w:color w:val="auto"/>
              </w:rPr>
            </w:pPr>
          </w:p>
        </w:tc>
        <w:tc>
          <w:tcPr>
            <w:tcW w:w="4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r>
    </w:tbl>
    <w:p>
      <w:pPr>
        <w:ind w:left="660" w:hanging="328"/>
        <w:spacing w:after="0" w:line="235" w:lineRule="auto"/>
        <w:tabs>
          <w:tab w:leader="none" w:pos="660" w:val="left"/>
        </w:tabs>
        <w:numPr>
          <w:ilvl w:val="0"/>
          <w:numId w:val="20"/>
        </w:numPr>
        <w:rPr>
          <w:rFonts w:ascii="Arial" w:cs="Arial" w:eastAsia="Arial" w:hAnsi="Arial"/>
          <w:sz w:val="26"/>
          <w:szCs w:val="26"/>
          <w:color w:val="auto"/>
          <w:vertAlign w:val="superscript"/>
        </w:rPr>
      </w:pPr>
      <w:r>
        <w:rPr>
          <w:rFonts w:ascii="Arial" w:cs="Arial" w:eastAsia="Arial" w:hAnsi="Arial"/>
          <w:sz w:val="17"/>
          <w:szCs w:val="17"/>
          <w:color w:val="auto"/>
        </w:rPr>
        <w:t>Financial highlights are based on weighted-average shares outstanding.</w:t>
      </w:r>
    </w:p>
    <w:p>
      <w:pPr>
        <w:spacing w:after="0" w:line="161" w:lineRule="exact"/>
        <w:rPr>
          <w:rFonts w:ascii="Arial" w:cs="Arial" w:eastAsia="Arial" w:hAnsi="Arial"/>
          <w:sz w:val="26"/>
          <w:szCs w:val="26"/>
          <w:color w:val="auto"/>
          <w:vertAlign w:val="superscript"/>
        </w:rPr>
      </w:pPr>
    </w:p>
    <w:p>
      <w:pPr>
        <w:ind w:left="660" w:right="20" w:hanging="328"/>
        <w:spacing w:after="0" w:line="203" w:lineRule="auto"/>
        <w:tabs>
          <w:tab w:leader="none" w:pos="660" w:val="left"/>
        </w:tabs>
        <w:numPr>
          <w:ilvl w:val="0"/>
          <w:numId w:val="20"/>
        </w:numPr>
        <w:rPr>
          <w:rFonts w:ascii="Arial" w:cs="Arial" w:eastAsia="Arial" w:hAnsi="Arial"/>
          <w:sz w:val="26"/>
          <w:szCs w:val="26"/>
          <w:color w:val="auto"/>
          <w:vertAlign w:val="superscript"/>
        </w:rPr>
      </w:pPr>
      <w:r>
        <w:rPr>
          <w:rFonts w:ascii="Arial" w:cs="Arial" w:eastAsia="Arial" w:hAnsi="Arial"/>
          <w:sz w:val="17"/>
          <w:szCs w:val="17"/>
          <w:color w:val="auto"/>
        </w:rPr>
        <w:t>Total return based on net asset value is based upon the change in net asset value per share between the opening and ending net asset values per share in the period. The total returns are not annualized.</w:t>
      </w:r>
    </w:p>
    <w:p>
      <w:pPr>
        <w:spacing w:after="0" w:line="162" w:lineRule="exact"/>
        <w:rPr>
          <w:rFonts w:ascii="Arial" w:cs="Arial" w:eastAsia="Arial" w:hAnsi="Arial"/>
          <w:sz w:val="26"/>
          <w:szCs w:val="26"/>
          <w:color w:val="auto"/>
          <w:vertAlign w:val="superscript"/>
        </w:rPr>
      </w:pPr>
    </w:p>
    <w:p>
      <w:pPr>
        <w:ind w:left="660" w:hanging="328"/>
        <w:spacing w:after="0" w:line="203" w:lineRule="auto"/>
        <w:tabs>
          <w:tab w:leader="none" w:pos="660" w:val="left"/>
        </w:tabs>
        <w:numPr>
          <w:ilvl w:val="0"/>
          <w:numId w:val="20"/>
        </w:numPr>
        <w:rPr>
          <w:rFonts w:ascii="Arial" w:cs="Arial" w:eastAsia="Arial" w:hAnsi="Arial"/>
          <w:sz w:val="26"/>
          <w:szCs w:val="26"/>
          <w:color w:val="auto"/>
          <w:vertAlign w:val="superscript"/>
        </w:rPr>
      </w:pPr>
      <w:r>
        <w:rPr>
          <w:rFonts w:ascii="Arial" w:cs="Arial" w:eastAsia="Arial" w:hAnsi="Arial"/>
          <w:sz w:val="17"/>
          <w:szCs w:val="17"/>
          <w:color w:val="auto"/>
        </w:rPr>
        <w:t>Return from investment operations was 2.43% and 2.54% for the three months ended March 31, 2021 and 2020, respectively. Return from investment operations represents returns on net investment income (loss) from operations.</w:t>
      </w:r>
    </w:p>
    <w:p>
      <w:pPr>
        <w:spacing w:after="0" w:line="93" w:lineRule="exact"/>
        <w:rPr>
          <w:rFonts w:ascii="Arial" w:cs="Arial" w:eastAsia="Arial" w:hAnsi="Arial"/>
          <w:sz w:val="26"/>
          <w:szCs w:val="26"/>
          <w:color w:val="auto"/>
          <w:vertAlign w:val="superscript"/>
        </w:rPr>
      </w:pPr>
    </w:p>
    <w:p>
      <w:pPr>
        <w:ind w:left="660" w:hanging="328"/>
        <w:spacing w:after="0"/>
        <w:tabs>
          <w:tab w:leader="none" w:pos="660" w:val="left"/>
        </w:tabs>
        <w:numPr>
          <w:ilvl w:val="0"/>
          <w:numId w:val="20"/>
        </w:numPr>
        <w:rPr>
          <w:rFonts w:ascii="Arial" w:cs="Arial" w:eastAsia="Arial" w:hAnsi="Arial"/>
          <w:sz w:val="26"/>
          <w:szCs w:val="26"/>
          <w:color w:val="auto"/>
          <w:vertAlign w:val="superscript"/>
        </w:rPr>
      </w:pPr>
      <w:r>
        <w:rPr>
          <w:rFonts w:ascii="Arial" w:cs="Arial" w:eastAsia="Arial" w:hAnsi="Arial"/>
          <w:sz w:val="17"/>
          <w:szCs w:val="17"/>
          <w:color w:val="auto"/>
        </w:rPr>
        <w:t>Return from accretion was 0.07% and 0.07% for the three months ended March 31, 2021 and 2020, respectively.</w:t>
      </w:r>
    </w:p>
    <w:p>
      <w:pPr>
        <w:spacing w:after="0" w:line="161" w:lineRule="exact"/>
        <w:rPr>
          <w:rFonts w:ascii="Arial" w:cs="Arial" w:eastAsia="Arial" w:hAnsi="Arial"/>
          <w:sz w:val="26"/>
          <w:szCs w:val="26"/>
          <w:color w:val="auto"/>
          <w:vertAlign w:val="superscript"/>
        </w:rPr>
      </w:pPr>
    </w:p>
    <w:p>
      <w:pPr>
        <w:ind w:left="660" w:hanging="328"/>
        <w:spacing w:after="0" w:line="203" w:lineRule="auto"/>
        <w:tabs>
          <w:tab w:leader="none" w:pos="660" w:val="left"/>
        </w:tabs>
        <w:numPr>
          <w:ilvl w:val="0"/>
          <w:numId w:val="20"/>
        </w:numPr>
        <w:rPr>
          <w:rFonts w:ascii="Arial" w:cs="Arial" w:eastAsia="Arial" w:hAnsi="Arial"/>
          <w:sz w:val="26"/>
          <w:szCs w:val="26"/>
          <w:color w:val="auto"/>
          <w:vertAlign w:val="superscript"/>
        </w:rPr>
      </w:pPr>
      <w:r>
        <w:rPr>
          <w:rFonts w:ascii="Arial" w:cs="Arial" w:eastAsia="Arial" w:hAnsi="Arial"/>
          <w:sz w:val="17"/>
          <w:szCs w:val="17"/>
          <w:color w:val="auto"/>
        </w:rPr>
        <w:t>The annualized ratio of net investment income to average net assets was 10.46% and 11.94% for the three months ended March 31, 2021 and 2020, respectively. Incentive fees are not annualized.</w:t>
      </w:r>
    </w:p>
    <w:p>
      <w:pPr>
        <w:spacing w:after="0" w:line="162" w:lineRule="exact"/>
        <w:rPr>
          <w:rFonts w:ascii="Arial" w:cs="Arial" w:eastAsia="Arial" w:hAnsi="Arial"/>
          <w:sz w:val="26"/>
          <w:szCs w:val="26"/>
          <w:color w:val="auto"/>
          <w:vertAlign w:val="superscript"/>
        </w:rPr>
      </w:pPr>
    </w:p>
    <w:p>
      <w:pPr>
        <w:ind w:left="660" w:right="20" w:hanging="328"/>
        <w:spacing w:after="0" w:line="203" w:lineRule="auto"/>
        <w:tabs>
          <w:tab w:leader="none" w:pos="660" w:val="left"/>
        </w:tabs>
        <w:numPr>
          <w:ilvl w:val="0"/>
          <w:numId w:val="20"/>
        </w:numPr>
        <w:rPr>
          <w:rFonts w:ascii="Arial" w:cs="Arial" w:eastAsia="Arial" w:hAnsi="Arial"/>
          <w:sz w:val="26"/>
          <w:szCs w:val="26"/>
          <w:color w:val="auto"/>
          <w:vertAlign w:val="superscript"/>
        </w:rPr>
      </w:pPr>
      <w:r>
        <w:rPr>
          <w:rFonts w:ascii="Arial" w:cs="Arial" w:eastAsia="Arial" w:hAnsi="Arial"/>
          <w:sz w:val="17"/>
          <w:szCs w:val="17"/>
          <w:color w:val="auto"/>
        </w:rPr>
        <w:t>The annualized ratio of net operating expenses excluding incentive fees, to average net assets was 3.39% and 3.00% for the three months ended March 31, 2021 and 2020, respectively.</w:t>
      </w:r>
    </w:p>
    <w:p>
      <w:pPr>
        <w:spacing w:after="0" w:line="85" w:lineRule="exact"/>
        <w:rPr>
          <w:rFonts w:ascii="Arial" w:cs="Arial" w:eastAsia="Arial" w:hAnsi="Arial"/>
          <w:sz w:val="26"/>
          <w:szCs w:val="26"/>
          <w:color w:val="auto"/>
          <w:vertAlign w:val="superscript"/>
        </w:rPr>
      </w:pPr>
    </w:p>
    <w:p>
      <w:pPr>
        <w:ind w:left="660" w:hanging="328"/>
        <w:spacing w:after="0"/>
        <w:tabs>
          <w:tab w:leader="none" w:pos="660" w:val="left"/>
        </w:tabs>
        <w:numPr>
          <w:ilvl w:val="0"/>
          <w:numId w:val="20"/>
        </w:numPr>
        <w:rPr>
          <w:rFonts w:ascii="Arial" w:cs="Arial" w:eastAsia="Arial" w:hAnsi="Arial"/>
          <w:sz w:val="27"/>
          <w:szCs w:val="27"/>
          <w:color w:val="auto"/>
          <w:vertAlign w:val="superscript"/>
        </w:rPr>
      </w:pPr>
      <w:r>
        <w:rPr>
          <w:rFonts w:ascii="Arial" w:cs="Arial" w:eastAsia="Arial" w:hAnsi="Arial"/>
          <w:sz w:val="17"/>
          <w:szCs w:val="17"/>
          <w:color w:val="auto"/>
        </w:rPr>
        <w:t>Incentive fees are not annualized.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evaluated events subsequent to March 31, 2021 through May 6, 2021.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5, 2021, TriplePoint Venture Growth BDC Corp. redeemed its outstanding corporate bonds from the Company for cash proceeds of $334,900.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7, 2021, the Board approved the second amended and restated investment advisory agreement between RGC and the Company (the “Second A&amp;R Advisory Agreement”). If the Second A&amp;R Advisory Agreement is approved by the Company’s shareholders at the annual meeting to be held on May 27, 2021, it would become effective on that date. Further, if approved by the Company’s shareholders, the Second A&amp;R Advisory Agreement would make certain changes to the management and incentive fee calculation mechanisms and clarify language relating to liquidity events.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19, 2021, the Company funded an investment of $800,000 to Pivot3 Holdings,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23, 2021, the Company funded an investment of $1,000,000 to Aria Systems, Inc.</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23, 2021, Longtail Ad Solutions, Inc. (dba JW Player) prepaid its outstanding principal balance of $30,000,000. In addition, the Company received cash proceeds of $1,862,708 in conjunction with ETP, prepayment fees, and interest for total proceeds of $31,862,708.</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April 26, 2021, Massdrop, Inc. prepaid its outstanding principal balance of $20,474,451. In addition, the Company received cash proceeds of $1,242,684 in conjunction with ETP, prepayment fees, and interest for total proceeds of $21,717,135.</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29, 2021, the Company declared a dividend of $0.37 per share payable on May 13, 2021 to shareholders of record as of April 30, 2021. The Company set March 31, 2021 as the valuation date for shares issued in connection with the dividend pursuant to the Company’s dividend reinvestment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20" w:firstLine="634"/>
        <w:spacing w:after="0" w:line="270"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conditions affecting the financial and capital markets, including changes from the impact of the current COVID-19 pandemic;</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continue to effectively manage our business due to the disruptions caused by the current COVID-19 pandemic;</w:t>
      </w:r>
    </w:p>
    <w:p>
      <w:pPr>
        <w:spacing w:after="0" w:line="207"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9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that could impair our lending and investment activities, including as a result of the COVID-19 pandemic;</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rate volatility that could adversely affect our results, particularly to the extent that we use leverage as part of our investment strategy;</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U.S. dollars;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future operating results, including our ability to achieve objectives as a result of the COVID-19 pandemic;</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business prospects and the prospects of our portfolio companies, including the impact of the COVID-19 pandemic thereon;</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 including as a result of the COVID-19 pandemic;</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with other entities and our affiliates for investment opportunities;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speculative and illiquid nature of our investments;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use of borrowed money to finance a portion of our investments;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adequacy of our financing sources and working capital;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19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 the impact of the COVID-19 pandemic thereon;</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external investment adviser, Runway Growth Capital LLC (“RGC”), to locate suitable investments for us and to monitor and administer our investments and the impacts of the COVID-19 pandemic thereon;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RGC to attract and retain highly talented professionals;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our qualification as a regulated investment company (“RIC”) under Subchapter M of the Internal Revenue Code of 1986, as amended (the “Code”), and as a business development company (“BDC”);</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96"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other risks, uncertainties and other factors we identify under “Risk Factors” in Part I, Item 1A of our annual report on Form 10-K for the fiscal year ended December 31, 2020 and in our other filings with the Securities and Exchange Commission (the “SEC”).</w:t>
      </w:r>
    </w:p>
    <w:p>
      <w:pPr>
        <w:spacing w:after="0" w:line="1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in Part I, Item 1A of our annual report on Form 10-K for the fiscal year ended December 31, 2020, filed with the SEC on March 11, 2021.</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based the forward-looking statements included in this Form 10-Q on information available to us on the date of this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10-K, quarterly reports on Form 10-Q and current reports on Form 8-K.</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an externally managed, non-diversified closed-end investment management company that was formed on August 31, 2015 as a corporation under the laws of the State of Maryland. We have elected to be regulated as a BDC under the 1940 Act. In addition, we have elected to be treated, have qualified, and intend to continue to qualify as a RIC under Subchapter M of the Code. If we fail to qualify as a RIC for any taxable year, we will be subject to corporate-level U.S. federal income tax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We will remain an emerging growth company until the last day of our fiscal year following the fifth anniversary of an initial public offering (“IPO”), if any, or until the earliest of (i) the last day of the first fiscal year in which we have total annual gross revenue of $1,070,000,000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w:t>
      </w:r>
    </w:p>
    <w:p>
      <w:pPr>
        <w:spacing w:after="0" w:line="2" w:lineRule="exact"/>
        <w:rPr>
          <w:sz w:val="20"/>
          <w:szCs w:val="20"/>
          <w:color w:val="auto"/>
        </w:rPr>
      </w:pPr>
    </w:p>
    <w:p>
      <w:pPr>
        <w:ind w:firstLine="8"/>
        <w:spacing w:after="0" w:line="323" w:lineRule="auto"/>
        <w:tabs>
          <w:tab w:leader="none" w:pos="31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externally managed by RGC, an investment adviser that has registered with the SEC under the Investment Advisers Act of 1940, as amended. The Administrator, a wholly-owned subsidiary of RGC, provides all the administrative services necessary for us to operate.</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commenced investment activities in portfolio securities during the quarter ended June 30, 2017, and we commenced investment activities in U.S. Treasury Bills during the quarter ended December 31, 2016. In October 2015, in connection with our formation, we issued and sold 1,667 shares of our common stock to R. David Spreng, our President, Chief Executive Officer and Chairman of our Board of Directors, for an aggregate purchase price of $25,000. In December 2016, we completed the initial closing of capital commitments in the Initial Private Offering, in connection with which we called capital and issued 333,333 shares of our common stock to investors for an aggregate purchase price of $5,000,000. The final closing of the Initial Private Offering occurred on December 1, 2017. As of March 31, 2021, in connection with the Initial Private Offering, we had total capital commitments of $275,000,000 and had issued 18,241,157 shares of our common stock to stockholders for a total purchase price of $275,000,000.</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2021, we had completed multiple closings under the Company’s second private offering (the “Second Private Offering”) and had accepted capital commitments of $174,673,500. As of March 31, 2021, in connection with the Second Private Offering, we have issued an aggregate of 8,352,251 shares for a total purchase price of $125,283,766. As of March 31, 2021, $49,389,734 of capital commitments remain undrawn. As of March 31, 2021, we issued 22,564 shares as an additional direct investment of $338,453 by Runway Growth Holdings LLC, an affiliate of RGC.</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August 10, 2020, we, RGC, and certain other funds and accounts sponsored or managed by RGC and/or its affiliates were granted an order (the “Order”) that permits us greater flexibility than the 1940 Act permits to negotiate the terms of co-investments if the Board determines that it would be advantageous for us to co-invest with other accounts sponsored or managed by RGC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strategies and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Composition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At March 31, 2021, we had investments in 33 portfolio companies, representing 19 companies in which we held loan and warrant investments, three companies in which we held loan investments and common or preferred stocks, seven companies in which we held warrant investments only, one company in which we held bonds, three companies in which we held shares of common or preferred stocks, and we held one U.S. Treasury Bill. At December 31, 2020, we had investments in 31 portfolio companies, representing 22 companies in which we held loan and warrant investments, eight companies in which we held warrant interests only, one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which we held bonds, and we held one U.S. Treasury Bill. The following table shows the fair value of our investments, by asset class, as of March 31, 2021 and December 31,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7"/>
              </w:rPr>
              <w:t>March 31, 2021 (Unaudited)</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December 31, 2020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3"/>
          </w:tcPr>
          <w:p>
            <w:pPr>
              <w:jc w:val="center"/>
              <w:ind w:right="310"/>
              <w:spacing w:after="0" w:line="149" w:lineRule="exact"/>
              <w:rPr>
                <w:sz w:val="20"/>
                <w:szCs w:val="20"/>
                <w:color w:val="auto"/>
              </w:rPr>
            </w:pPr>
            <w:r>
              <w:rPr>
                <w:rFonts w:ascii="Arial" w:cs="Arial" w:eastAsia="Arial" w:hAnsi="Arial"/>
                <w:sz w:val="14"/>
                <w:szCs w:val="14"/>
                <w:b w:val="1"/>
                <w:bCs w:val="1"/>
                <w:color w:val="auto"/>
                <w:w w:val="90"/>
              </w:rPr>
              <w:t>of Total</w:t>
            </w:r>
          </w:p>
        </w:tc>
        <w:tc>
          <w:tcPr>
            <w:tcW w:w="9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2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0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93"/>
              </w:rPr>
              <w:t>Portfolio</w:t>
            </w: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Common Stocks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1,340,206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10,166,343</w:t>
            </w:r>
          </w:p>
        </w:tc>
        <w:tc>
          <w:tcPr>
            <w:tcW w:w="1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1.7 % $</w:t>
            </w:r>
          </w:p>
        </w:tc>
        <w:tc>
          <w:tcPr>
            <w:tcW w:w="980" w:type="dxa"/>
            <w:vAlign w:val="bottom"/>
          </w:tcPr>
          <w:p>
            <w:pPr>
              <w:jc w:val="right"/>
              <w:spacing w:after="0"/>
              <w:rPr>
                <w:sz w:val="20"/>
                <w:szCs w:val="20"/>
                <w:color w:val="auto"/>
              </w:rPr>
            </w:pPr>
            <w:r>
              <w:rPr>
                <w:rFonts w:ascii="Arial" w:cs="Arial" w:eastAsia="Arial" w:hAnsi="Arial"/>
                <w:sz w:val="18"/>
                <w:szCs w:val="18"/>
                <w:color w:val="auto"/>
              </w:rPr>
              <w:t>1,237,196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521,940</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334,650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Senior Secured Term Loans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544,356,759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539,329,013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506,555,279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501,964,657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21,737,450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18,734,776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19,737,450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Warrants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19,133,655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21,582,839</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18,804,531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586,821,165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590,147,621</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546,587,551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551,824,590</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Treasury Bill</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24,999,979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24,999,969</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70,001,472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70,002,060</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611,821,144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615,147,590</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616,589,023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621,826,650</w:t>
            </w: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Activity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three months ended March 31, 2021, the Company funded $34.7 million in two new portfolio companies and $19.3 million in five existing portfolio companies. The Company also received $16.6 million in loan repayments from four portfolio companies. During the three months ended March 31, 2020, the Company funded $69.7 million in five new portfolio companies and $13.5 million in four existing portfolio companies. The Company also received $56.6 million in loan repayments from four portfolio companies and $2.7 million in proceeds from the termination of warrants.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Reconciliation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reconciliation of our investment portfolio, including U.S. Treasury Bills, for the three months ended March 31, 2021 and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24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March 31, 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r>
      <w:tr>
        <w:trPr>
          <w:trHeight w:val="142"/>
        </w:trPr>
        <w:tc>
          <w:tcPr>
            <w:tcW w:w="24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Investment Portfolio</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621,826,650</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467,981,699</w:t>
            </w:r>
          </w:p>
        </w:tc>
        <w:tc>
          <w:tcPr>
            <w:tcW w:w="8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54,844,031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59,227,106</w:t>
            </w:r>
          </w:p>
        </w:tc>
        <w:tc>
          <w:tcPr>
            <w:tcW w:w="8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U.S. Treasury Bills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24,999,969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50,001,334</w:t>
            </w:r>
          </w:p>
        </w:tc>
        <w:tc>
          <w:tcPr>
            <w:tcW w:w="8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Amortization of Fixed Income Premiums or Accretion of Discounts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2,171,173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2,171,574</w:t>
            </w:r>
          </w:p>
        </w:tc>
        <w:tc>
          <w:tcPr>
            <w:tcW w:w="8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or Repayments of Investments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(59,319,460)</w:t>
            </w: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Scheduled Principal Payments of Investments</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(2,066,442)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(747,378)</w:t>
            </w: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Maturities of U.S. Treasury Bills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(69,999,183)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(99,986,570)</w:t>
            </w: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Realized (Loss) on Investments</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(217,427)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(6,717,262)</w:t>
            </w: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(Depreciation) on Investments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(1,911,181)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(1,179,081)</w:t>
            </w:r>
          </w:p>
        </w:tc>
      </w:tr>
      <w:tr>
        <w:trPr>
          <w:trHeight w:val="210"/>
        </w:trPr>
        <w:tc>
          <w:tcPr>
            <w:tcW w:w="7040" w:type="dxa"/>
            <w:vAlign w:val="bottom"/>
            <w:gridSpan w:val="2"/>
          </w:tcPr>
          <w:p>
            <w:pPr>
              <w:spacing w:after="0"/>
              <w:rPr>
                <w:sz w:val="20"/>
                <w:szCs w:val="20"/>
                <w:color w:val="auto"/>
              </w:rPr>
            </w:pPr>
            <w:r>
              <w:rPr>
                <w:rFonts w:ascii="Arial" w:cs="Arial" w:eastAsia="Arial" w:hAnsi="Arial"/>
                <w:sz w:val="18"/>
                <w:szCs w:val="18"/>
                <w:color w:val="auto"/>
              </w:rPr>
              <w:t>Ending Investment Portfolio</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615,147,590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411,431,962</w:t>
            </w:r>
          </w:p>
        </w:tc>
        <w:tc>
          <w:tcPr>
            <w:tcW w:w="8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r>
    </w:tbl>
    <w:p>
      <w:pPr>
        <w:ind w:left="340"/>
        <w:spacing w:after="0" w:line="229" w:lineRule="auto"/>
        <w:tabs>
          <w:tab w:leader="none" w:pos="640" w:val="left"/>
        </w:tabs>
        <w:rPr>
          <w:sz w:val="20"/>
          <w:szCs w:val="20"/>
          <w:color w:val="auto"/>
        </w:rPr>
      </w:pPr>
      <w:r>
        <w:rPr>
          <w:rFonts w:ascii="Arial" w:cs="Arial" w:eastAsia="Arial" w:hAnsi="Arial"/>
          <w:sz w:val="27"/>
          <w:szCs w:val="27"/>
          <w:color w:val="auto"/>
          <w:vertAlign w:val="superscript"/>
        </w:rPr>
        <w:t>(1)</w:t>
      </w:r>
      <w:r>
        <w:rPr>
          <w:sz w:val="20"/>
          <w:szCs w:val="20"/>
          <w:color w:val="auto"/>
        </w:rPr>
        <w:tab/>
      </w:r>
      <w:r>
        <w:rPr>
          <w:rFonts w:ascii="Arial" w:cs="Arial" w:eastAsia="Arial" w:hAnsi="Arial"/>
          <w:sz w:val="18"/>
          <w:szCs w:val="18"/>
          <w:color w:val="auto"/>
        </w:rPr>
        <w:t>Includes PIK interest.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760" w:type="dxa"/>
            <w:vAlign w:val="bottom"/>
          </w:tcPr>
          <w:p>
            <w:pPr>
              <w:jc w:val="center"/>
              <w:ind w:right="1988"/>
              <w:spacing w:after="0"/>
              <w:rPr>
                <w:sz w:val="20"/>
                <w:szCs w:val="20"/>
                <w:color w:val="auto"/>
              </w:rPr>
            </w:pPr>
            <w:r>
              <w:rPr>
                <w:rFonts w:ascii="Arial" w:cs="Arial" w:eastAsia="Arial" w:hAnsi="Arial"/>
                <w:sz w:val="14"/>
                <w:szCs w:val="14"/>
                <w:b w:val="1"/>
                <w:bCs w:val="1"/>
                <w:color w:val="auto"/>
                <w:w w:val="94"/>
              </w:rPr>
              <w:t>Investment</w:t>
            </w:r>
          </w:p>
        </w:tc>
        <w:tc>
          <w:tcPr>
            <w:tcW w:w="3120" w:type="dxa"/>
            <w:vAlign w:val="bottom"/>
            <w:vMerge w:val="restart"/>
          </w:tcPr>
          <w:p>
            <w:pPr>
              <w:ind w:left="2060"/>
              <w:spacing w:after="0"/>
              <w:rPr>
                <w:sz w:val="20"/>
                <w:szCs w:val="20"/>
                <w:color w:val="auto"/>
              </w:rPr>
            </w:pPr>
            <w:r>
              <w:rPr>
                <w:rFonts w:ascii="Arial" w:cs="Arial" w:eastAsia="Arial" w:hAnsi="Arial"/>
                <w:sz w:val="14"/>
                <w:szCs w:val="14"/>
                <w:b w:val="1"/>
                <w:bCs w:val="1"/>
                <w:color w:val="auto"/>
                <w:w w:val="92"/>
              </w:rPr>
              <w:t>Rating Definition</w:t>
            </w:r>
          </w:p>
        </w:tc>
        <w:tc>
          <w:tcPr>
            <w:tcW w:w="0" w:type="dxa"/>
            <w:vAlign w:val="bottom"/>
          </w:tcPr>
          <w:p>
            <w:pPr>
              <w:spacing w:after="0"/>
              <w:rPr>
                <w:sz w:val="1"/>
                <w:szCs w:val="1"/>
                <w:color w:val="auto"/>
              </w:rPr>
            </w:pPr>
          </w:p>
        </w:tc>
      </w:tr>
      <w:tr>
        <w:trPr>
          <w:trHeight w:val="186"/>
        </w:trPr>
        <w:tc>
          <w:tcPr>
            <w:tcW w:w="2760" w:type="dxa"/>
            <w:vAlign w:val="bottom"/>
          </w:tcPr>
          <w:p>
            <w:pPr>
              <w:jc w:val="center"/>
              <w:ind w:right="1988"/>
              <w:spacing w:after="0"/>
              <w:rPr>
                <w:sz w:val="20"/>
                <w:szCs w:val="20"/>
                <w:color w:val="auto"/>
              </w:rPr>
            </w:pPr>
            <w:r>
              <w:rPr>
                <w:rFonts w:ascii="Arial" w:cs="Arial" w:eastAsia="Arial" w:hAnsi="Arial"/>
                <w:sz w:val="14"/>
                <w:szCs w:val="14"/>
                <w:b w:val="1"/>
                <w:bCs w:val="1"/>
                <w:color w:val="auto"/>
                <w:w w:val="96"/>
              </w:rPr>
              <w:t>Rating</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94" w:lineRule="exact"/>
        <w:rPr>
          <w:sz w:val="20"/>
          <w:szCs w:val="20"/>
          <w:color w:val="auto"/>
        </w:rPr>
      </w:pPr>
    </w:p>
    <w:p>
      <w:pPr>
        <w:ind w:left="1100" w:right="20" w:hanging="636"/>
        <w:spacing w:after="0" w:line="258"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Performing above plan and/or strong enterprise profile, value, financial performance/coverage. Maintaining full covenant and payment compliance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-273050</wp:posOffset>
            </wp:positionV>
            <wp:extent cx="6292215"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100" w:right="20" w:hanging="636"/>
        <w:spacing w:after="0" w:line="265" w:lineRule="auto"/>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Performing at or reasonably close to plan. Acceptable business prospects, enterprise value, financial coverage. Maintaining key covenant and payment compliance as agreed. All new loans are initially graded Category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100" w:hanging="636"/>
        <w:spacing w:after="0"/>
        <w:tabs>
          <w:tab w:leader="none" w:pos="11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Performing below plan of record. Potential elements of concern over performance, trends and business outlook. Loan-to-</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value remains adequate. Potential key covenant non-compliance. Full payment compliance.</w:t>
      </w:r>
    </w:p>
    <w:p>
      <w:pPr>
        <w:spacing w:after="0" w:line="9" w:lineRule="exact"/>
        <w:rPr>
          <w:sz w:val="20"/>
          <w:szCs w:val="20"/>
          <w:color w:val="auto"/>
        </w:rPr>
      </w:pPr>
    </w:p>
    <w:p>
      <w:pPr>
        <w:jc w:val="both"/>
        <w:ind w:left="1100" w:hanging="636"/>
        <w:spacing w:after="0" w:line="250"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100" w:hanging="636"/>
        <w:spacing w:after="0" w:line="323" w:lineRule="auto"/>
        <w:tabs>
          <w:tab w:leader="none" w:pos="11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investment ratings of our debt investments at fair value as of March 31, 2021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 2021</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As of December 31, 2020</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48"/>
        </w:trPr>
        <w:tc>
          <w:tcPr>
            <w:tcW w:w="1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Portfolio</w:t>
            </w:r>
          </w:p>
        </w:tc>
        <w:tc>
          <w:tcPr>
            <w:tcW w:w="260" w:type="dxa"/>
            <w:vAlign w:val="bottom"/>
          </w:tcPr>
          <w:p>
            <w:pPr>
              <w:spacing w:after="0"/>
              <w:rPr>
                <w:sz w:val="12"/>
                <w:szCs w:val="12"/>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71"/>
        </w:trPr>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6"/>
              </w:rPr>
              <w:t>Rating</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Companies</w:t>
            </w:r>
          </w:p>
        </w:tc>
        <w:tc>
          <w:tcPr>
            <w:tcW w:w="2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Companies</w:t>
            </w: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414,547,269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380,796,998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93,099,198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90,459,846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31,682,546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30,707,813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539,329,013</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501,964,657</w:t>
            </w:r>
          </w:p>
        </w:tc>
        <w:tc>
          <w:tcPr>
            <w:tcW w:w="2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global COVID-19 pandemic, to date, has had limited impact on the investment ratings of our debt investments, taken as a whole. However, the ongoing impact of the global COVID-19 pandemic is uncertain and we can make no assurances that the pandemic will not have a negative impact on our investment portfolio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Debt Securities on Non-Accrual Status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March 31, 2021, we had seven loans to Mojix, Inc. representing an aggregate principal funded of $11,500,000 at a fair market value of $10,135,424, on non-accrual status, which represents 2.14% of our net assets. </w:t>
      </w:r>
      <w:r>
        <w:rPr>
          <w:rFonts w:ascii="Arial" w:cs="Arial" w:eastAsia="Arial" w:hAnsi="Arial"/>
          <w:sz w:val="16"/>
          <w:szCs w:val="16"/>
          <w:color w:val="231F20"/>
        </w:rPr>
        <w:t>As of December 31, 2020, we had</w:t>
      </w:r>
      <w:r>
        <w:rPr>
          <w:rFonts w:ascii="Arial" w:cs="Arial" w:eastAsia="Arial" w:hAnsi="Arial"/>
          <w:sz w:val="16"/>
          <w:szCs w:val="16"/>
          <w:color w:val="auto"/>
        </w:rPr>
        <w:t xml:space="preserve"> six loans to Mojix, Inc. representing an aggregate principal funded of $11,000,000 at a fair market value of $8,961,080, on non-accrual status, which represents 1.92% of our net assets</w:t>
      </w:r>
      <w:r>
        <w:rPr>
          <w:rFonts w:ascii="Arial" w:cs="Arial" w:eastAsia="Arial" w:hAnsi="Arial"/>
          <w:sz w:val="16"/>
          <w:szCs w:val="16"/>
          <w:color w:val="231F20"/>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 important measure of our financial performance is net increase/(decrease) in net assets resulting from operations, which includes net investment income/(loss), net realized gain/(loss) and net unrealized appreciation/(depreciation). Net investment income/(loss) is the difference between our income from interest, dividends, fees and other investment income and our operating</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4"/>
          </w:tcPr>
          <w:p>
            <w:pPr>
              <w:jc w:val="right"/>
              <w:ind w:right="612"/>
              <w:spacing w:after="0" w:line="149" w:lineRule="exact"/>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4"/>
          </w:tcPr>
          <w:p>
            <w:pPr>
              <w:jc w:val="right"/>
              <w:ind w:right="632"/>
              <w:spacing w:after="0" w:line="149" w:lineRule="exact"/>
              <w:rPr>
                <w:sz w:val="20"/>
                <w:szCs w:val="20"/>
                <w:color w:val="auto"/>
              </w:rPr>
            </w:pPr>
            <w:r>
              <w:rPr>
                <w:rFonts w:ascii="Arial" w:cs="Arial" w:eastAsia="Arial" w:hAnsi="Arial"/>
                <w:sz w:val="14"/>
                <w:szCs w:val="14"/>
                <w:b w:val="1"/>
                <w:bCs w:val="1"/>
                <w:color w:val="auto"/>
              </w:rPr>
              <w:t>March 31, 2020</w:t>
            </w: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rPr>
              <w:t>Per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Per</w:t>
            </w:r>
          </w:p>
        </w:tc>
      </w:tr>
      <w:tr>
        <w:trPr>
          <w:trHeight w:val="171"/>
        </w:trPr>
        <w:tc>
          <w:tcPr>
            <w:tcW w:w="248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0"/>
                <w:szCs w:val="10"/>
                <w:b w:val="1"/>
                <w:bCs w:val="1"/>
                <w:color w:val="auto"/>
              </w:rPr>
              <w:t>(1)</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0"/>
                <w:szCs w:val="10"/>
                <w:b w:val="1"/>
                <w:bCs w:val="1"/>
                <w:color w:val="auto"/>
              </w:rPr>
              <w:t>(1)</w:t>
            </w:r>
          </w:p>
        </w:tc>
      </w:tr>
      <w:tr>
        <w:trPr>
          <w:trHeight w:val="21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Interest and dividend income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16,308,361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14,391,044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114,412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429,813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09"/>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Total investment income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16,422,773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14,820,857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Management fees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2,069,209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1,536,948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Incentive fees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2,315,118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727,915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164,412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Professional fees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Overhead allocation expense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197,384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184,318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Administration fees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Credit facility fees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289,985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178,729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Directors’ fees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Consulting fees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 expense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gridSpan w:val="2"/>
          </w:tcPr>
          <w:p>
            <w:pPr>
              <w:ind w:left="120"/>
              <w:spacing w:after="0"/>
              <w:rPr>
                <w:sz w:val="20"/>
                <w:szCs w:val="20"/>
                <w:color w:val="auto"/>
              </w:rPr>
            </w:pPr>
            <w:r>
              <w:rPr>
                <w:rFonts w:ascii="Arial" w:cs="Arial" w:eastAsia="Arial" w:hAnsi="Arial"/>
                <w:sz w:val="18"/>
                <w:szCs w:val="18"/>
                <w:color w:val="auto"/>
              </w:rPr>
              <w:t>Insurance expense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expenses</w:t>
            </w:r>
          </w:p>
        </w:tc>
        <w:tc>
          <w:tcPr>
            <w:tcW w:w="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212,627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199,394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1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4,941,041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5,177,270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09"/>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11,481,732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9,643,587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Realized (loss) on investments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(6,717,262)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16"/>
        </w:trPr>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w w:val="96"/>
              </w:rPr>
              <w:t>Net change in unrealized (depreciation) on investments</w:t>
            </w:r>
          </w:p>
        </w:tc>
        <w:tc>
          <w:tcPr>
            <w:tcW w:w="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(1,911,181)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(1,179,081)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10"/>
        </w:trPr>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9,371,328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1,747,244</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0"/>
        </w:trPr>
        <w:tc>
          <w:tcPr>
            <w:tcW w:w="2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pacing w:after="0" w:line="67" w:lineRule="exact"/>
        <w:rPr>
          <w:sz w:val="20"/>
          <w:szCs w:val="20"/>
          <w:color w:val="auto"/>
        </w:rPr>
      </w:pPr>
    </w:p>
    <w:p>
      <w:pPr>
        <w:ind w:left="660" w:right="20" w:hanging="328"/>
        <w:spacing w:after="0" w:line="207" w:lineRule="auto"/>
        <w:tabs>
          <w:tab w:leader="none" w:pos="66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The basic per share figures noted above are based on weighted averages of 31,505,254 and 25,887,286 shares outstanding for the three months ended March 31, 2021 and 2020,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investment objective is to maximize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also typically includes the receipt of warrants and/or other equity from venture-backed companies. We expect our investments in loans will generally range from between $5.0 million to $50.0 million, and the upper end of this range may increase as we raise additional capital.</w:t>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quarterly or semiannually,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as interest income. We record prepayment premiums on loans and debt securities as interest income. Dividend income, if any, will be recognized on an accrual basis to the extent that we expect to collect such amounts.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Investment income for the three months ended March 31, 2021 and 2020 was $16,422,773 and $14,820,857 respectivly, due primarily to interest income earned on our portfolio investments. The increase in interest income for the three months ended March 31, 2021 compared to the three months ended March 31, 2020 was driven by our deployment of capital, increased invested balance, prepayments, and end of term payments, partially offset by falling market interest rates. The United States Federal Reserve Bank has indicated it will maintain an accommodative monetary policy that is expected to maintain short-term interest rates at historically low levels for an extended period of time. Consequently, yields on our portfolio, as well as other investment strategies, have declined relative to prior periods. We expect this trend to continue through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84" w:lineRule="exact"/>
        <w:rPr>
          <w:sz w:val="20"/>
          <w:szCs w:val="20"/>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organization and offering (the amount of organizational and offering expenses in connection with the Initial Private Offering in excess of $1,000,000 were previously paid by RGC);</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pro-rata portion of fees and expenses related to any future spin-off transaction;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8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5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9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the Financial Industry Regulatory Authority or other regulators;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 errors and omissions liability insurance, and any other insurance premiums;</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14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Operating expenses for the three months ended March 31, 2021 and 2020 were $4,941,040 and $5,177,270, respectively. Operating expenses decreased for the three months ended March 31, 2021 from the three months ended March 31, 2020 primarily due to a decrease in incentive fees, partially offset by an increase in management fees. Operating expenses per share for the three months ended March 31, 2021 and 2020 were $0.16 per share and $0.20 per share,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Incentive fees for the three months ended March 31, 2021 and 2020 were $975,704 and $2,315,118, respectively, incurred primarily due to net investment income. Incentive fees decreased for the three months ended March 31, 2021 from the three months ended March 31, 2020 primarily due to an increase in the daily average leverage utilized and lower yielding assets increasing the hurdle base. $739,231 of the incentive fees for the three months ended March 31, 2021 were earned, payable in cash, and included under Accrued incentive fees on the Statement of Assets and Liabilities as of March 31, 2021. $236,473 of the incentive fees for the three months ended March 31, 2021 were deferred and accrued, and included in Accrued incentive fees on the Statement of Assets and Liabilities as of March 31, 2021. $1,846,533 of the incentive fees for the three months ended March 31, 2020 were earned, payable in cash, and included under Accrued incentive fees on the Statement of Assets and Liabilities as of March 31, 2020. $468,585 of the incentive fees for the three months ended March 31, 2020 were deferred and accrued, and included under Accrued incentive fees on the Statement of Assets and Liabilities as of March 31, 2020. Incentive fees related to PIK or deferred interest are accrued and payment is deferred until such interest is collected in cash. Incentive fees per share for the three months ended March 31, 2021 and March 31, 2020 were $0.03 and $0.09 per share,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investment income for the three months ended March 31, 2021 and 2020 was $11,481,733 and $9,643,587, respectively. Net investment income increased for the three months ended March 31, 2021 from the three months ended March 1, 2020 primarily due to an increase in interest income resulting from an increase in the size of the investment portfolio. Net investment income per share for the three months ended March 31, 2021 and 2020 was $0.36 per share and $0.37 per share,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 on Investments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net realized loss on investments of $199,223 for the three months ended March 31, 2021 was primarily due to the loss on our investment in the warrants for preferred stock of Pivot3 Holdings, Inc. The net realized loss on investments of $6,717,262 for the three months ended March 31, 2020 was primarily due to the loss on our senior secured loan to Aginity,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(Depreciation) on Investments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change in unrealized depreciation on investments of $1,911,181 for the three months ended March 31, 2021 was primarily due to decreases in the fair value of our investments in the warrants of Aspen Group, Inc. and CareCloud, Inc. This was partially offset by increases in the fair value of our senior secured loans to Mojix, Inc. and our investment in the preferred stock of CareCloud, Inc. The net change in unrealized depreciation on investments of $1,179,081 for the three months ended March 31, 2020 was primarily due to decreases in the fair value of our senior secured loans to Circadence Corporation, our preferred stock in MTBC, Inc., and our warrants in RealWear, Inc.</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COVID-19 pandemic and its resultant impact on economic activity and capital market volatility has impacted and may continue to have an impact on the fair market values of our investments. As of March 31, 2021 numerous variables used in the valuation process reflected the impact of the COVID-19 pandemic, such as market comparables, market volatility, discount rates and credit spreads; however, the dynamic nature of the COVID-19 pandemic and ability of portfolio companies to assess its impact on future</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performance may not be fully incorporated into our assumptions. As a result, the fair market values of our portfolio investments may be negatively impacted after March 31, 2021 by circumstances and events that are not yet known, including the complete or continuing impact of the COVID-19 pandemic and the resulting measures taken in response thereto. Our valuation process carefully considers the impact of the COVID-19 pandemic-related uncertainties in the various inputs utilized in the determination of the fair market value of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had a net increase in net assets resulting from operations of $9,371,328 for the three months ended March 31, 2021, as compared to a net increase in net assets resulting from operations of $1,747,244 for the three months ended March 31, 2020. The net increase in net assets resulting from operations for the three months ended March 31, 2021 from the three months ended March 31, 2020 was primarily due to interest income earned from portfolio investments and a decrease in realized losses in our portfolio for the three months ended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Facilities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three months ended March 31, 2021, cash and cash equivalents decreased to $1,780,788 from $14,886,246 as of December 31, 2020. This decrease was primarily the result of the purchase of investments in portfolio companies for $53,900,000 and U.S. Treasury Bills for $24,999,969 and was partially offset by the sales of investments in portfolio companies, the maturity of U.S. Treasuary Bills, the issuance of common stock, and net borrowings under the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authority to issue 100,000,000 shares of common stock, $0.01 par value per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October 8, 2015, we issued 1,667 shares of our common stock to R. David Spreng, our President, Chief Executive Officer and Chairman of our Board of Directors, for an aggregate purchase price of $25,000. The remaining shares were issued in connection with the Initial Private Offering, the Second Private Offering, or pursuant to our dividend reinvestment plan,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4"/>
                <w:szCs w:val="14"/>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71"/>
        </w:trPr>
        <w:tc>
          <w:tcPr>
            <w:tcW w:w="6480" w:type="dxa"/>
            <w:vAlign w:val="bottom"/>
            <w:gridSpan w:val="3"/>
            <w:vMerge w:val="continue"/>
          </w:tcPr>
          <w:p>
            <w:pPr>
              <w:spacing w:after="0"/>
              <w:rPr>
                <w:sz w:val="14"/>
                <w:szCs w:val="14"/>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Issued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22, 2016</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April 19, 2017</w:t>
            </w:r>
          </w:p>
        </w:tc>
        <w:tc>
          <w:tcPr>
            <w:tcW w:w="9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26,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12, 2017</w:t>
            </w:r>
          </w:p>
        </w:tc>
        <w:tc>
          <w:tcPr>
            <w:tcW w:w="940" w:type="dxa"/>
            <w:vAlign w:val="bottom"/>
          </w:tcPr>
          <w:p>
            <w:pPr>
              <w:jc w:val="right"/>
              <w:spacing w:after="0"/>
              <w:rPr>
                <w:sz w:val="20"/>
                <w:szCs w:val="20"/>
                <w:color w:val="auto"/>
              </w:rPr>
            </w:pPr>
            <w:r>
              <w:rPr>
                <w:rFonts w:ascii="Arial" w:cs="Arial" w:eastAsia="Arial" w:hAnsi="Arial"/>
                <w:sz w:val="18"/>
                <w:szCs w:val="18"/>
                <w:color w:val="auto"/>
              </w:rPr>
              <w:t>2,666,667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22,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70,563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27, 2018</w:t>
            </w:r>
          </w:p>
        </w:tc>
        <w:tc>
          <w:tcPr>
            <w:tcW w:w="940" w:type="dxa"/>
            <w:vAlign w:val="bottom"/>
          </w:tcPr>
          <w:p>
            <w:pPr>
              <w:jc w:val="right"/>
              <w:spacing w:after="0"/>
              <w:rPr>
                <w:sz w:val="20"/>
                <w:szCs w:val="20"/>
                <w:color w:val="auto"/>
              </w:rPr>
            </w:pPr>
            <w:r>
              <w:rPr>
                <w:rFonts w:ascii="Arial" w:cs="Arial" w:eastAsia="Arial" w:hAnsi="Arial"/>
                <w:sz w:val="18"/>
                <w:szCs w:val="18"/>
                <w:color w:val="auto"/>
              </w:rPr>
              <w:t>1,997,337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January 14, 2019</w:t>
            </w:r>
          </w:p>
        </w:tc>
        <w:tc>
          <w:tcPr>
            <w:tcW w:w="940" w:type="dxa"/>
            <w:vAlign w:val="bottom"/>
          </w:tcPr>
          <w:p>
            <w:pPr>
              <w:jc w:val="right"/>
              <w:spacing w:after="0"/>
              <w:rPr>
                <w:sz w:val="20"/>
                <w:szCs w:val="20"/>
                <w:color w:val="auto"/>
              </w:rPr>
            </w:pPr>
            <w:r>
              <w:rPr>
                <w:rFonts w:ascii="Arial" w:cs="Arial" w:eastAsia="Arial" w:hAnsi="Arial"/>
                <w:sz w:val="18"/>
                <w:szCs w:val="18"/>
                <w:color w:val="auto"/>
              </w:rPr>
              <w:t>4,344,964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374,783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24,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464,986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October 15, 2019</w:t>
            </w:r>
          </w:p>
        </w:tc>
        <w:tc>
          <w:tcPr>
            <w:tcW w:w="940" w:type="dxa"/>
            <w:vAlign w:val="bottom"/>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December 20, 2019</w:t>
            </w:r>
          </w:p>
        </w:tc>
        <w:tc>
          <w:tcPr>
            <w:tcW w:w="940" w:type="dxa"/>
            <w:vAlign w:val="bottom"/>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575,132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529,020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6,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7,934,712</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October 15, 2020</w:t>
            </w:r>
          </w:p>
        </w:tc>
        <w:tc>
          <w:tcPr>
            <w:tcW w:w="940" w:type="dxa"/>
            <w:vAlign w:val="bottom"/>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12,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8,584,772</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line="216" w:lineRule="exact"/>
              <w:rPr>
                <w:sz w:val="20"/>
                <w:szCs w:val="20"/>
                <w:color w:val="auto"/>
              </w:rPr>
            </w:pPr>
            <w:r>
              <w:rPr>
                <w:rFonts w:ascii="Arial" w:cs="Arial" w:eastAsia="Arial" w:hAnsi="Arial"/>
                <w:sz w:val="17"/>
                <w:szCs w:val="17"/>
                <w:color w:val="auto"/>
              </w:rPr>
              <w:t>March 19, 2021</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618,815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9,183,220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24,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306,911</w:t>
            </w:r>
          </w:p>
        </w:tc>
        <w:tc>
          <w:tcPr>
            <w:tcW w:w="0" w:type="dxa"/>
            <w:vAlign w:val="bottom"/>
          </w:tcPr>
          <w:p>
            <w:pPr>
              <w:spacing w:after="0"/>
              <w:rPr>
                <w:sz w:val="1"/>
                <w:szCs w:val="1"/>
                <w:color w:val="auto"/>
              </w:rPr>
            </w:pPr>
          </w:p>
        </w:tc>
      </w:tr>
      <w:tr>
        <w:trPr>
          <w:trHeight w:val="209"/>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32,051,660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480,562,986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29" w:lineRule="auto"/>
        <w:tabs>
          <w:tab w:leader="none" w:pos="660" w:val="left"/>
        </w:tabs>
        <w:numPr>
          <w:ilvl w:val="0"/>
          <w:numId w:val="32"/>
        </w:numPr>
        <w:rPr>
          <w:rFonts w:ascii="Arial" w:cs="Arial" w:eastAsia="Arial" w:hAnsi="Arial"/>
          <w:sz w:val="27"/>
          <w:szCs w:val="27"/>
          <w:color w:val="auto"/>
          <w:vertAlign w:val="superscript"/>
        </w:rPr>
      </w:pPr>
      <w:r>
        <w:rPr>
          <w:rFonts w:ascii="Arial" w:cs="Arial" w:eastAsia="Arial" w:hAnsi="Arial"/>
          <w:sz w:val="18"/>
          <w:szCs w:val="18"/>
          <w:color w:val="auto"/>
        </w:rPr>
        <w:t>Shares were issued as part of the dividend reinvestment plan.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March 31, 2021, the Company had $58,085,569 in unfunded loan commitments to provide debt financing to eight portfolio companies. The Company’s management believes that its available cash balances, availability under the Credit Agreement (as defined below) and/or ability to drawdown capital from investors provides sufficient funds to cover its unfunded commitments as of March 31,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98"/>
              </w:rPr>
              <w:t>Payments Due By Period</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Less than</w:t>
            </w: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3–5 years</w:t>
            </w:r>
          </w:p>
        </w:tc>
        <w:tc>
          <w:tcPr>
            <w:tcW w:w="7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1 year</w:t>
            </w:r>
          </w:p>
        </w:tc>
        <w:tc>
          <w:tcPr>
            <w:tcW w:w="76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Reverse repurchase agreement</w:t>
            </w:r>
            <w:r>
              <w:rPr>
                <w:rFonts w:ascii="Arial" w:cs="Arial" w:eastAsia="Arial" w:hAnsi="Arial"/>
                <w:sz w:val="24"/>
                <w:szCs w:val="24"/>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24,874,914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24,874,914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line="216" w:lineRule="exact"/>
              <w:rPr>
                <w:sz w:val="20"/>
                <w:szCs w:val="20"/>
                <w:color w:val="auto"/>
              </w:rPr>
            </w:pPr>
            <w:r>
              <w:rPr>
                <w:rFonts w:ascii="Arial" w:cs="Arial" w:eastAsia="Arial" w:hAnsi="Arial"/>
                <w:sz w:val="17"/>
                <w:szCs w:val="17"/>
                <w:color w:val="auto"/>
              </w:rPr>
              <w:t>Credit facilities</w:t>
            </w:r>
            <w:r>
              <w:rPr>
                <w:rFonts w:ascii="Arial" w:cs="Arial" w:eastAsia="Arial" w:hAnsi="Arial"/>
                <w:sz w:val="25"/>
                <w:szCs w:val="25"/>
                <w:color w:val="auto"/>
                <w:vertAlign w:val="superscript"/>
              </w:rPr>
              <w:t>(2)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117,000,000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117,000,000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141,874,914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141,874,914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20" w:hanging="328"/>
        <w:spacing w:after="0" w:line="207" w:lineRule="auto"/>
        <w:tabs>
          <w:tab w:leader="none" w:pos="66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Reverse repurchase agreement relates to the purchase of the U.S. Treasury Bill on margin. The reverse repurchase agreement purchased was subsequently repaid in April 2021.</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See “Note 10 – Credit Facilities” to our financial statements in Part I, Item 1 of this Form 10-Q for more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May 31, 2019, we entered into a Credit Agreement (the “Credit Agreement”) by and among us, as borrower, KeyBank National Association, as administrative agent, syndication agent, and a lender, CIBC Bank USA (“CIBC”), as documentation agent and a lender, and U.S. Bank National Association, as paying agent. 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of our cash and cash equivalent holdings. The Credit Agreement has an accordion feature that allows us to increase the aggregate commitments up to $200 million, subject to new or existing lenders agreeing to participate in the increase and other customary conditions. Current capital markets dislocation and economic uncertainty associated with the COVID-19 pandemic may impact our ability to access the accordion features of the Credit Agreement. 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We also pay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 The availability period under the Credit Agreement expires on May 31, 2022 and is followed by a two-year amortization period. The stated maturity date under the Credit Agreement is May 31, 2024. The Credit Agreement is secured by a perfected first priority security interest in substantially all of our assets and portfolio investments.</w:t>
      </w:r>
    </w:p>
    <w:p>
      <w:pPr>
        <w:spacing w:after="0" w:line="39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fourth quarter of 2020, we amended the Credit Agreement and others to increase its size to $215 million, increase the accordion feature to $300 million, add additional lenders, modify certain pricing elements and other provisions. See "Note 10 -Credit Facilities" to our financial statements in Part I of this Form 10 Q for more information on the Credit Agreement and Credit Facilities.</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March 31, 2021, we drew down $43,000,000 on the Credit Agreement and repaid $25,000,000, of which $117,000,000 remains outstanding at March 31, 2021. At March 31, 2021, interest was accruing at a rate of 3.50%. During the year ended December 31, 2020, we drew down $200,500,000 on the Credit Agreement and repaid $162,500,000 of which $99,000,000 remained outstanding at December 31, 2020. At December 31, 2020, interest was accruing at a rate of 3.22%. See “Note 10 – Credit Facilities” to our financial statements in Part I, Item 1 of this Form 10-Q for more information on the Credit Agreement and Credit Facilities.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June 22, 2018, as amended on September 24, 2018, we entered into a demand loan agreement (the “Uncommitted Facility”) and a revolving loan agreement (the “Committed Facility” and, together with the Uncommitted Facility, the “Credit Facilities”) with CIBC. The maximum principal amount of available borrowings under each of the Uncommitted Facility and the Committed Facility was $30 million (for a combined maximum principal amount under the Credit Facilities of $60 million), subject in each case to availability under the borrowing base, which is based on unused capital commitments. On May 31, 2019, in conjunction with securing and entering into the new Credit Agreement, we terminated the Credit Facilities.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have no off-balance sheet arrangements, including any risk management of commodity pricing or other hedging practices.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 During the three months ended March 31, 2021, we declared dividends in the amount of $11,623,199, of which $2,439,978 was distributed in cash and the remainder distributed in shares to stockholders pursuant to our dividend reinvestment plan. </w:t>
      </w:r>
      <w:r>
        <w:rPr>
          <w:rFonts w:ascii="Arial" w:cs="Arial" w:eastAsia="Arial" w:hAnsi="Arial"/>
          <w:sz w:val="16"/>
          <w:szCs w:val="16"/>
          <w:color w:val="231F20"/>
        </w:rPr>
        <w:t>During the year ended December 31, 2020,</w:t>
      </w:r>
      <w:r>
        <w:rPr>
          <w:rFonts w:ascii="Arial" w:cs="Arial" w:eastAsia="Arial" w:hAnsi="Arial"/>
          <w:sz w:val="16"/>
          <w:szCs w:val="16"/>
          <w:color w:val="auto"/>
        </w:rPr>
        <w:t xml:space="preserve"> </w:t>
      </w:r>
      <w:r>
        <w:rPr>
          <w:rFonts w:ascii="Arial" w:cs="Arial" w:eastAsia="Arial" w:hAnsi="Arial"/>
          <w:sz w:val="16"/>
          <w:szCs w:val="16"/>
          <w:color w:val="231F20"/>
        </w:rPr>
        <w:t>we declared and paid dividends in the amount of $39,709,233, of which $7,265,784 was distributed in cash and the remainder distributed in shares to stockholders pursuant to our dividend reinvestment program.</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March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8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4"/>
                <w:szCs w:val="14"/>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per Share</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 2018</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15, 2018</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31, 2018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July 26, 2018</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August 15, 2018</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August 31, 2018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2018</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October 31, 2018</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November 15,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March 22, 2019</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March 22, 2019</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March 26,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 2019</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May 7, 2019</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May 21,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May 2, 2019</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May 31, 2019</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July 16,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30, 2019</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August 8, 2019</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August 26,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September 27, 2019</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September 30, 2019</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November 12,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9, 2019</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December 10, 2019</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December 23,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March 5, 2020</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March 6, 2020</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March 20, 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7, 2020</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May 8, 2020</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May 21,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August 5, 2020</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August 6, 2020</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August 20, 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2020</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October 1, 2020</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November 12,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March 4, 2021</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March 5, 2021</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March 19, 2021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in Part I, Item 1 of this Form 10-Q, which describes our critical accounting policies and recently adopted accounting pronouncements not yet required to be adopted by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measure the value of our portfolio investments at fair value in accordance with ASC Topic 820, issued by the FASB. Fair value is the price that would be received to sell an asset or paid to transfer a liability in an orderly transaction between market participants at the measurement date. The COVID-19 pandemic and its resultant impact on economic activity and capital market volatility has impacted and may continue to have impact on the fair market values of our portfolio investments. As a result, the fair market values of our portfolio investments may be negatively impacted after March 31, 2021 by circumstances and events that are not yet known,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including the complete or continuing impact of the COVID-19 pandemic and the resulting measures taken in response thereto. Our valuation process carefully considers the impact of the COVID-19 pandemic related uncertainties in the various inputs utilized in the determination of the fair market value of our portfolio investments.</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Audit Committee assists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of such portfolio investments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pacing w:after="0" w:line="19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8" w:lineRule="exact"/>
        <w:rPr>
          <w:sz w:val="20"/>
          <w:szCs w:val="20"/>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1—Valuations are based on quoted prices in active markets for identical assets or liabilities that are accessible at the measurement date.</w:t>
      </w:r>
    </w:p>
    <w:p>
      <w:pPr>
        <w:spacing w:after="0" w:line="14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83" w:lineRule="exact"/>
        <w:rPr>
          <w:rFonts w:ascii="Arial" w:cs="Arial" w:eastAsia="Arial" w:hAnsi="Arial"/>
          <w:sz w:val="16"/>
          <w:szCs w:val="16"/>
          <w:color w:val="auto"/>
        </w:rPr>
      </w:pPr>
    </w:p>
    <w:p>
      <w:pPr>
        <w:jc w:val="both"/>
        <w:ind w:left="660" w:hanging="328"/>
        <w:spacing w:after="0" w:line="30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70" w:lineRule="exact"/>
        <w:rPr>
          <w:sz w:val="20"/>
          <w:szCs w:val="20"/>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investment being initially valued by RGC’s investment professionals that are responsible for the portfolio investment;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14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investments are primarily loans made to small, fast-growing companies focused in technology, life sciences, health care information and services, business services and other high-growth industries, including select consumer products and services.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To determine the fair value of our debt investments, we compare the cost basis of the debt investment,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Fair value of warrants is primarily determined using a Black Scholes option-pricing model. Privately held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equity-related securities are valued based on an analysis of various factors including, but not limited to, the following:</w:t>
      </w:r>
    </w:p>
    <w:p>
      <w:pPr>
        <w:spacing w:after="0" w:line="146" w:lineRule="exact"/>
        <w:rPr>
          <w:sz w:val="20"/>
          <w:szCs w:val="20"/>
          <w:color w:val="auto"/>
        </w:rPr>
      </w:pPr>
    </w:p>
    <w:p>
      <w:pPr>
        <w:jc w:val="both"/>
        <w:ind w:left="660" w:hanging="328"/>
        <w:spacing w:after="0" w:line="29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60" w:lineRule="exact"/>
        <w:rPr>
          <w:sz w:val="20"/>
          <w:szCs w:val="20"/>
          <w:color w:val="auto"/>
        </w:rPr>
      </w:pPr>
    </w:p>
    <w:p>
      <w:pPr>
        <w:jc w:val="both"/>
        <w:ind w:left="660" w:hanging="328"/>
        <w:spacing w:after="0" w:line="25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4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47"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30" w:lineRule="exact"/>
        <w:rPr>
          <w:rFonts w:ascii="Arial" w:cs="Arial" w:eastAsia="Arial" w:hAnsi="Arial"/>
          <w:sz w:val="16"/>
          <w:szCs w:val="16"/>
          <w:color w:val="auto"/>
        </w:rPr>
      </w:pPr>
    </w:p>
    <w:p>
      <w:pPr>
        <w:jc w:val="both"/>
        <w:ind w:left="660" w:hanging="328"/>
        <w:spacing w:after="0" w:line="25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 of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We adjust 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ectPr>
          <w:pgSz w:w="11900" w:h="16838" w:orient="portrait"/>
          <w:cols w:equalWidth="0" w:num="1">
            <w:col w:w="9920"/>
          </w:cols>
          <w:pgMar w:left="980" w:top="517" w:right="99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assets measured at fair value on a recurring basis subject to the requirements of ASC Topic 820 at March 31, 2021 and December 31, 2020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w w:val="98"/>
              </w:rPr>
              <w:t>As of March 31, 2021 (Unaudited)</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673,998</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9,492,345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10,166,343</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334,650</w:t>
            </w: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539,329,013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539,329,013</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13,900,050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1,778,026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3,056,700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18,734,776</w:t>
            </w:r>
          </w:p>
        </w:tc>
      </w:tr>
      <w:tr>
        <w:trPr>
          <w:trHeight w:val="216"/>
        </w:trPr>
        <w:tc>
          <w:tcPr>
            <w:tcW w:w="3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21,582,839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21,582,839</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14,574,048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11,605,021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563,968,552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590,147,621</w:t>
            </w: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24,999,969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24,999,969</w:t>
            </w:r>
          </w:p>
        </w:tc>
      </w:tr>
      <w:tr>
        <w:trPr>
          <w:trHeight w:val="209"/>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39,574,017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11,605,021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563,968,552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615,147,590</w:t>
            </w:r>
          </w:p>
        </w:tc>
      </w:tr>
      <w:tr>
        <w:trPr>
          <w:trHeight w:val="20"/>
        </w:trPr>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8"/>
        </w:trPr>
        <w:tc>
          <w:tcPr>
            <w:tcW w:w="3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As of December 31, 2020</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521,940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521,940</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501,964,657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501,964,657</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13,230,000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r>
      <w:tr>
        <w:trPr>
          <w:trHeight w:val="216"/>
        </w:trPr>
        <w:tc>
          <w:tcPr>
            <w:tcW w:w="3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13,230,000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551,824,590</w:t>
            </w: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70,002,060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70,002,060</w:t>
            </w:r>
          </w:p>
        </w:tc>
      </w:tr>
      <w:tr>
        <w:trPr>
          <w:trHeight w:val="21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83,232,060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621,826,650</w:t>
            </w:r>
          </w:p>
        </w:tc>
      </w:tr>
      <w:tr>
        <w:trPr>
          <w:trHeight w:val="20"/>
        </w:trPr>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on the statement of operations.</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Dividends are recorded on the applicable ex-dividend date. Interest income, if any, adjusted for amortization of market premium and accretion of market discount, is recorded on an accrual basis to the extent that we expect to collect such amounts. Original issue discount, principally representing the estimated fair value of detachable equity or warrants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Fees</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7 – Related Party Agreements and Transactions” to our financial statements in Part I, Item 1 of this Form 10-Q for more information on the Advisory Agreement and the fee structure thereunder.</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elected to be treated, have qualified and intend to qualify annually, as a RIC under Subchapter M of the Code. Generally, a RIC is not subject to U.S. federal income taxes on distributed income and gains if it distributes at least 90% of its net ordinary income and net short-term capital gains in excess of its net long-term capital losses, if any, to its stockholders. So long as we qualify, and maintain our status, as a RIC, we generally will not pay corporate-level U.S. federal income taxes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evaluated events subsequent to March 31, 2021 through May 6, 2021.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5, 2021, TriplePoint Venture Growth BDC Corp. redeemed its outstanding corporate bonds from the Company for cash proceeds of $334,900.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7, 2021, the Board approved the second amended and restated investment advisory agreement between RGC and the Company (the “Second A&amp;R Advisory Agreement”). If the Second A&amp;R Advisory Agreement is approved by the Company’s shareholders at the annual meeting to be held on May 27, 2021, it would become effective on that date. Further, if approved by the Company’s shareholders, the Second A&amp;R Advisory Agreement would make certain changes to the management and incentive fee calculation mechanisms and clarify language relating to liquidity events.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19, 2021, the Company funded an investment of $800,000 to Pivot3 Holdings,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23, 2021, the Company funded an investment of $1,000,000 to Aria Systems, Inc.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23, 2021, Longtail Ad Solutions, Inc. (dba JW Player) prepaid its outstanding principal balance of $30,000,000. In addition, the Company received cash proceeds of $1,862,708 in conjunction with ETP, prepayment fees, and interest for total proceeds of $31,862,708.</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April 26, 2021, Massdrop, Inc. prepaid its outstanding principal balance of $20,474,451. In addition, the Company received cash proceeds of $1,242,684 in conjunction with ETP, prepayment fees, and interest for total proceeds of $21,717,135.</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29, 2021, the Company declared a dividend of $0.37 per share payable on May 13, 2021 to shareholders of record as of April 30, 2021. The Company set March 31, 2021 as the valuation date for shares issued in connection with the dividend pursuant to the Company’s dividend reinvestment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commenced investment activities in portfolio securities during the quarter ended June 30, 2017 and commenced investment activities in U.S. Treasury Bills during the quarter ended December 31, 2016.</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ongoing economic effects of the COVID-19 outbreak has introduced significant volatility in the financial markets, and the effects of this volatility could materially impact our market risks. For additional information concerning the COVID-19 pandemic and its potential impact on our business and our operating results, see Part II – Other Information, Item 1A. Risk Factors.</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Significant economic uncertainty and market volatility associated with the COVID-19 pandemic has and may continue to exaggerate the inherent difficulty in determining the fair market value of our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 In connection with the COVID-19 pandemic, the U.S. Federal Reserve and other central banks have reduced certain interest rates and LIBOR has decreased.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typically expect that interest rates on the investments held in our portfolio will be based on LIBOR, with many of these investments also having a LIBOR floor. As of March 31, 2021, 96.9%, or $527,735,077 (at cost), of our debt portfolio investments bore interest at variable rates, which are U.S. Prime Rate or LIBOR-based and subject to certain floors, and one of our debt portfolio investments bore interest at a fixed rate. Interest rate floors are established based on prevailing rates at the time of the investment. As a policy, any interest above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$3,961,628 and decrease our investment income by a maximum of $0, due to certain floors, on an annual basis. In a low interest rate environment, debt investments with interest rate floors substantially in excess of current prevailing interest rates may be more likely to experience early termination.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Borrowings under the Credit Facilities bear interest, at our election at the time of drawdown, at a rate per annum equal to the LIBOR rate for the applicable interest period, subject to a LIBOR rate floor of .50%, plus 3.00%.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5, 2021, the United Kingdom’s Financial Conduct Authority (the “FCA”), which regulates LIBOR, announced that</w:t>
      </w:r>
    </w:p>
    <w:p>
      <w:pPr>
        <w:spacing w:after="0" w:line="35" w:lineRule="exact"/>
        <w:rPr>
          <w:sz w:val="20"/>
          <w:szCs w:val="20"/>
          <w:color w:val="auto"/>
        </w:rPr>
      </w:pPr>
    </w:p>
    <w:p>
      <w:pPr>
        <w:jc w:val="both"/>
        <w:ind w:firstLine="8"/>
        <w:spacing w:after="0" w:line="267" w:lineRule="auto"/>
        <w:tabs>
          <w:tab w:leader="none" w:pos="223" w:val="left"/>
        </w:tabs>
        <w:numPr>
          <w:ilvl w:val="0"/>
          <w:numId w:val="39"/>
        </w:numPr>
        <w:rPr>
          <w:rFonts w:ascii="Arial" w:cs="Arial" w:eastAsia="Arial" w:hAnsi="Arial"/>
          <w:sz w:val="17"/>
          <w:szCs w:val="17"/>
          <w:color w:val="auto"/>
        </w:rPr>
      </w:pPr>
      <w:r>
        <w:rPr>
          <w:rFonts w:ascii="Arial" w:cs="Arial" w:eastAsia="Arial" w:hAnsi="Arial"/>
          <w:sz w:val="17"/>
          <w:szCs w:val="17"/>
          <w:color w:val="auto"/>
        </w:rPr>
        <w:t>24 LIBOR settings would cease to exist immediately after December 31, 2021 (all seven euro LIBOR settings; all seven Swiss franc LIBOR settings; the Spot Next, 1-week, 2-month, and 12-month Japanese yen LIBOR settings; the overnight, 1-week, 2-month, and 12-month sterling LIBOR settings; and the 1-week and 2-month US dollar LIBOR settings); (ii) the overnight and 12-month US LIBOR settings would cease to exist after June 30, 2023; and (iii) the FCA would consult on whether the remaining nine LIBOR settings should continue to be published on a synthetic basis for a certain period using the FCA’s proposed new powers that the UK government is legislating to grant to them. Central banks and regulators in a number of major jurisdictions (for example, United States, United Kingdom, European Union, Switzerland and Japan) have convened working groups to find, and implement the transition to, suitable replacements for interbank offered rates. To identify a successor rate for U.S. dollar LIBOR, the Alternative Reference Rates Committee (“ARRC”), a U.S.-based group convened by the Federal Reserve Board and the Federal Reserve Bank of New York, was formed. The ARRC has identified the Secured Overnight Financing Rate (“SOFR”) as its preferred alternative rate for LIBOR. SOFR is a measure of the cost of borrowing cash overnight, collateralized by U.S. Treasury securities, and is based on directly observable U.S. Treasury-backed repurchase transactions. Although SOFR appears to be the preferred replacement rate for U.S. dollar LIBOR, at this time, it is not possible to predict the effect of any such changes, any establishment of alternative reference rates or other reforms to LIBOR that may be enacted in the United States, United Kingdom or elsewhere or, whether the COVID-19 pandemic will have further effect on LIBOR transition plans.</w:t>
      </w:r>
    </w:p>
    <w:p>
      <w:pPr>
        <w:sectPr>
          <w:pgSz w:w="11900" w:h="16838" w:orient="portrait"/>
          <w:cols w:equalWidth="0" w:num="1">
            <w:col w:w="9920"/>
          </w:cols>
          <w:pgMar w:left="980" w:top="517"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addition, if LIBOR ceases to exist, we may need to renegotiate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agreements may bear interest a lower interest rate, which could have an adverse impact on our results of operations. Moreover, if LIBOR ceases to exist, we may need to renegotiate certain terms of our credit facilities. If we are unable to do so, amounts drawn under our credit facilities may bear interest at a higher rate, which would increase the cost of our borrowings and, in turn, affect our results of operations. The global COVID-19 pandemic may also adversely impact the timing of many firms’ LIBOR transition planning. We continue to assess the potential impact of the COVID-19 pandemic on our LIBOR transition plans.</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Because we currently borrow, and plan to borrow in the future, money to make investments, our net investment income would be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the COVID-19 pandemic and its impact on foreign financial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cannot be predicted with certainty, we do not expect that these proceedings will have a material effect upon our financial condition or results of operations.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carefully consider the risks described below and all other information contained in this quarterly report on Form 10-Q, including our interim financial statements and the related notes thereto, before making a decision to purchase our securities. The risks and uncertainties described below are not the only ones facing us. Additional risks and uncertainties not currently known to us or that we currently deem to be immaterial also may materially adversely affect our business, financial condition and/or operating results.</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any of the following risks actually occur, our business, financial condition or results of operations could be materially adversely affected. If that happens, you may lose all or part of your investment. Other than as set forth below, there have been no material changes known to us during the period ended March 31, 2021 to the risk factors discussed in “Risk Factors” in Part I, Item 1A of our annual report on Form 10-K for the fiscal year ended December 31, 2020, filed with the SEC on March 11, 2021.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interest rates of our term loans to our portfolio companies that extend beyond 2021 might be subject to change based on recent regulatory changes.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LIBOR, the London Interbank Offered Rate, is the basic rate of interest used in lending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partner company is calculated using LIBOR. The terms of our debt investments generally include minimum interest rate floors which are calculated based on LIBOR.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5, 2021, the United Kingdom’s Financial Conduct Authority (the “FCA”), which regulates LIBOR, announced that</w:t>
      </w:r>
    </w:p>
    <w:p>
      <w:pPr>
        <w:spacing w:after="0" w:line="35" w:lineRule="exact"/>
        <w:rPr>
          <w:sz w:val="20"/>
          <w:szCs w:val="20"/>
          <w:color w:val="auto"/>
        </w:rPr>
      </w:pPr>
    </w:p>
    <w:p>
      <w:pPr>
        <w:jc w:val="both"/>
        <w:ind w:firstLine="8"/>
        <w:spacing w:after="0" w:line="267" w:lineRule="auto"/>
        <w:tabs>
          <w:tab w:leader="none" w:pos="223" w:val="left"/>
        </w:tabs>
        <w:numPr>
          <w:ilvl w:val="0"/>
          <w:numId w:val="40"/>
        </w:numPr>
        <w:rPr>
          <w:rFonts w:ascii="Arial" w:cs="Arial" w:eastAsia="Arial" w:hAnsi="Arial"/>
          <w:sz w:val="17"/>
          <w:szCs w:val="17"/>
          <w:color w:val="auto"/>
        </w:rPr>
      </w:pPr>
      <w:r>
        <w:rPr>
          <w:rFonts w:ascii="Arial" w:cs="Arial" w:eastAsia="Arial" w:hAnsi="Arial"/>
          <w:sz w:val="17"/>
          <w:szCs w:val="17"/>
          <w:color w:val="auto"/>
        </w:rPr>
        <w:t>24 LIBOR settings would cease to exist immediately after December 31, 2021 (all seven euro LIBOR settings; all seven Swiss franc LIBOR settings; the Spot Next, 1-week, 2-month, and 12-month Japanese yen LIBOR settings; the overnight, 1-week, 2-month, and 12-month sterling LIBOR settings; and the 1-week and 2-month US dollar LIBOR settings); (ii) the overnight and 12-month US LIBOR settings would cease to exist after June 30, 2023; and (iii) the FCA would consult on whether the remaining nine LIBOR settings should continue to be published on a synthetic basis for a certain period using the FCA’s proposed new powers that the UK government is legislating to grant to them. Central banks and regulators in a number of major jurisdictions (for example, United States, United Kingdom, European Union, Switzerland and Japan) have convened working groups to find, and implement the transition to, suitable replacements for interbank offered rates. To identify a successor rate for U.S. dollar LIBOR, the Alternative Reference Rates Committee (“ARRC”), a U.S.-based group convened by the Federal Reserve Board and the Federal Reserve Bank of New York, was formed. The ARRC has identified the Secured Overnight Financing Rate (“SOFR”) as its preferred alternative rate for LIBOR. SOFR is a measure of the cost of borrowing cash overnight, collateralized by U.S. Treasury securities, and is based on directly observable U.S. Treasury-backed repurchase transactions. Although SOFR appears to be the preferred replacement rate for U.S. dollar LIBOR, at this time, it is not possible to predict the effect of any such changes, any establishment of alternative reference rates or other reforms to LIBOR that may be enacted in the United States, United Kingdom or elsewhere or, whether the COVID-19 pandemic will have further effect on LIBOR transition plans.</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elimination of LIBOR or any other changes or reforms to the determination or supervision of LIBOR or alternative reference rates could have an adverse impact on the market for or value of any LIBOR-linked securities, loans, and other financial obligations or extensions of credit held by or due to us. In addition, if LIBOR ceases to exist, we may need to renegotiate the credit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As such, some or all of these credit agreements may bear a lower interest rate, which would adversely impact our financial condition or results of operations. Moreover, if LIBOR ceases to exist, we may need to renegotiate certain terms of the Financing Facilities. If we are unable to do so, amounts drawn under the Financing Facilities may bear interest at a higher rate, which would increase the cost of our borrowings and, in turn, affect our results of operations.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reduction in the interest rates on new investments relative to interest rates on current investments could also have an adverse impact on our net interest income. However, an increase in interest rates could decrease the value of any investments we hold which earn fixed interest rates, including subordinated loans, senior and junior secured and unsecured debt securities and loans and high yield bonds, and also could increase our interest expense, thereby decreasing our net income.</w:t>
      </w:r>
    </w:p>
    <w:p>
      <w:pPr>
        <w:sectPr>
          <w:pgSz w:w="11900" w:h="16838" w:orient="portrait"/>
          <w:cols w:equalWidth="0" w:num="1">
            <w:col w:w="9920"/>
          </w:cols>
          <w:pgMar w:left="980" w:top="517"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periods of rising interest rates, to the extent we borrow money subject to a floating interest rate, our cost of funds would increase, which could reduce our net investment income. Further, rising interest rates could also adversely affect our performance if such increases cause our borrowing costs to rise at a rate in excess of the rate that our investments yield. Further, rising interest rates could also adversely affect our performance if we hold investments with floating interest rates, subject to specified minimum interest rates (such as a LIBOR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24, 2021, we issued 20,461 shares of our common stock, at a price of $15.00 per share, to Runway Growth Holdings LLC, an affiliate of RGC for total proceeds of $306,911.</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Other than pursuant to our dividend reinvestment plan, and except as previously reported by us on our current reports on Form 8-K, we did not sell any securities during the period covered by this Form 10-Q that were not registered under the Securities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75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211"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91">
        <w:r>
          <w:rPr>
            <w:rFonts w:ascii="Arial" w:cs="Arial" w:eastAsia="Arial" w:hAnsi="Arial"/>
            <w:sz w:val="16"/>
            <w:szCs w:val="16"/>
            <w:u w:val="single" w:color="auto"/>
            <w:color w:val="0000EE"/>
          </w:rPr>
          <w:t xml:space="preserve">Articles of Amendment and Restatement </w:t>
        </w:r>
      </w:hyperlink>
      <w:r>
        <w:rPr>
          <w:rFonts w:ascii="Arial" w:cs="Arial" w:eastAsia="Arial" w:hAnsi="Arial"/>
          <w:sz w:val="23"/>
          <w:szCs w:val="23"/>
          <w:u w:val="single" w:color="auto"/>
          <w:color w:val="0000EE"/>
          <w:vertAlign w:val="superscript"/>
        </w:rPr>
        <w:t>(1)</w:t>
      </w:r>
    </w:p>
    <w:p>
      <w:pPr>
        <w:spacing w:after="0" w:line="168"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92">
        <w:r>
          <w:rPr>
            <w:rFonts w:ascii="Arial" w:cs="Arial" w:eastAsia="Arial" w:hAnsi="Arial"/>
            <w:sz w:val="16"/>
            <w:szCs w:val="16"/>
            <w:u w:val="single" w:color="auto"/>
            <w:color w:val="0000EE"/>
          </w:rPr>
          <w:t xml:space="preserve">Articles of Amendment </w:t>
        </w:r>
      </w:hyperlink>
      <w:r>
        <w:rPr>
          <w:rFonts w:ascii="Arial" w:cs="Arial" w:eastAsia="Arial" w:hAnsi="Arial"/>
          <w:sz w:val="23"/>
          <w:szCs w:val="23"/>
          <w:u w:val="single" w:color="auto"/>
          <w:color w:val="0000EE"/>
          <w:vertAlign w:val="superscript"/>
        </w:rPr>
        <w:t>(2)</w:t>
      </w:r>
    </w:p>
    <w:p>
      <w:pPr>
        <w:spacing w:after="0" w:line="168"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3.3</w:t>
      </w:r>
      <w:r>
        <w:rPr>
          <w:sz w:val="20"/>
          <w:szCs w:val="20"/>
          <w:color w:val="auto"/>
        </w:rPr>
        <w:tab/>
      </w:r>
      <w:hyperlink r:id="rId93">
        <w:r>
          <w:rPr>
            <w:rFonts w:ascii="Arial" w:cs="Arial" w:eastAsia="Arial" w:hAnsi="Arial"/>
            <w:sz w:val="16"/>
            <w:szCs w:val="16"/>
            <w:u w:val="single" w:color="auto"/>
            <w:color w:val="0000EE"/>
          </w:rPr>
          <w:t xml:space="preserve">Amended and Restated Bylaws </w:t>
        </w:r>
      </w:hyperlink>
      <w:r>
        <w:rPr>
          <w:rFonts w:ascii="Arial" w:cs="Arial" w:eastAsia="Arial" w:hAnsi="Arial"/>
          <w:sz w:val="22"/>
          <w:szCs w:val="22"/>
          <w:u w:val="single" w:color="auto"/>
          <w:color w:val="0000EE"/>
          <w:vertAlign w:val="superscript"/>
        </w:rPr>
        <w:t>(2)</w:t>
      </w:r>
    </w:p>
    <w:p>
      <w:pPr>
        <w:spacing w:after="0" w:line="179"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94">
        <w:r>
          <w:rPr>
            <w:rFonts w:ascii="Arial" w:cs="Arial" w:eastAsia="Arial" w:hAnsi="Arial"/>
            <w:sz w:val="16"/>
            <w:szCs w:val="16"/>
            <w:u w:val="single" w:color="auto"/>
            <w:color w:val="0000EE"/>
          </w:rPr>
          <w:t xml:space="preserve">Form of Subscription Agreement </w:t>
        </w:r>
      </w:hyperlink>
      <w:r>
        <w:rPr>
          <w:rFonts w:ascii="Arial" w:cs="Arial" w:eastAsia="Arial" w:hAnsi="Arial"/>
          <w:sz w:val="23"/>
          <w:szCs w:val="23"/>
          <w:u w:val="single" w:color="auto"/>
          <w:color w:val="0000EE"/>
          <w:vertAlign w:val="superscript"/>
        </w:rPr>
        <w:t>(3)</w:t>
      </w:r>
    </w:p>
    <w:p>
      <w:pPr>
        <w:spacing w:after="0" w:line="168"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67">
        <w:r>
          <w:rPr>
            <w:rFonts w:ascii="Arial" w:cs="Arial" w:eastAsia="Arial" w:hAnsi="Arial"/>
            <w:sz w:val="16"/>
            <w:szCs w:val="16"/>
            <w:u w:val="single" w:color="auto"/>
            <w:color w:val="0000EE"/>
          </w:rPr>
          <w:t>Certification of Chief Executive Officer pursuant to Rule 13a-14 of the Securities Exchange Act of 1934, as amended*</w:t>
        </w:r>
      </w:hyperlink>
    </w:p>
    <w:p>
      <w:pPr>
        <w:spacing w:after="0" w:line="225"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68">
        <w:r>
          <w:rPr>
            <w:rFonts w:ascii="Arial" w:cs="Arial" w:eastAsia="Arial" w:hAnsi="Arial"/>
            <w:sz w:val="16"/>
            <w:szCs w:val="16"/>
            <w:u w:val="single" w:color="auto"/>
            <w:color w:val="0000EE"/>
          </w:rPr>
          <w:t>Certification of Chief Financial Officer pursuant to Rule 13a-14 of the Securities Exchange Act of 1934, as amended*</w:t>
        </w:r>
      </w:hyperlink>
    </w:p>
    <w:p>
      <w:pPr>
        <w:spacing w:after="0" w:line="225"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69">
        <w:r>
          <w:rPr>
            <w:rFonts w:ascii="Arial" w:cs="Arial" w:eastAsia="Arial" w:hAnsi="Arial"/>
            <w:sz w:val="16"/>
            <w:szCs w:val="16"/>
            <w:u w:val="single" w:color="auto"/>
            <w:color w:val="0000EE"/>
          </w:rPr>
          <w:t>Certification of Chief Executive Officer pursuant to Section 906 of the Sarbanes-Oxley Act of 2002*</w:t>
        </w:r>
      </w:hyperlink>
    </w:p>
    <w:p>
      <w:pPr>
        <w:spacing w:after="0" w:line="225"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70">
        <w:r>
          <w:rPr>
            <w:rFonts w:ascii="Arial" w:cs="Arial" w:eastAsia="Arial" w:hAnsi="Arial"/>
            <w:sz w:val="16"/>
            <w:szCs w:val="16"/>
            <w:u w:val="single" w:color="auto"/>
            <w:color w:val="0000EE"/>
          </w:rPr>
          <w:t>Certification of Chief Financial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wp:posOffset>
            </wp:positionV>
            <wp:extent cx="15684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5"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December 19,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June 14,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Quarterly Report on Form 10-Q filed with the SEC on August 10,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vMerge w:val="restart"/>
          </w:tcPr>
          <w:p>
            <w:pPr>
              <w:spacing w:after="0"/>
              <w:rPr>
                <w:sz w:val="20"/>
                <w:szCs w:val="20"/>
                <w:color w:val="auto"/>
              </w:rPr>
            </w:pPr>
            <w:r>
              <w:rPr>
                <w:rFonts w:ascii="Arial" w:cs="Arial" w:eastAsia="Arial" w:hAnsi="Arial"/>
                <w:sz w:val="18"/>
                <w:szCs w:val="18"/>
                <w:color w:val="auto"/>
              </w:rPr>
              <w:t>Date: May 6, 2021</w:t>
            </w:r>
          </w:p>
        </w:tc>
        <w:tc>
          <w:tcPr>
            <w:tcW w:w="6800" w:type="dxa"/>
            <w:vAlign w:val="bottom"/>
            <w:gridSpan w:val="2"/>
          </w:tcPr>
          <w:p>
            <w:pPr>
              <w:ind w:left="1960"/>
              <w:spacing w:after="0"/>
              <w:rPr>
                <w:sz w:val="20"/>
                <w:szCs w:val="20"/>
                <w:color w:val="auto"/>
              </w:rPr>
            </w:pPr>
            <w:r>
              <w:rPr>
                <w:rFonts w:ascii="Arial" w:cs="Arial" w:eastAsia="Arial" w:hAnsi="Arial"/>
                <w:sz w:val="18"/>
                <w:szCs w:val="18"/>
                <w:b w:val="1"/>
                <w:bCs w:val="1"/>
                <w:color w:val="auto"/>
              </w:rPr>
              <w:t>RUNWAY GROWTH CREDIT FUND INC.</w:t>
            </w:r>
          </w:p>
        </w:tc>
        <w:tc>
          <w:tcPr>
            <w:tcW w:w="0" w:type="dxa"/>
            <w:vAlign w:val="bottom"/>
          </w:tcPr>
          <w:p>
            <w:pPr>
              <w:spacing w:after="0"/>
              <w:rPr>
                <w:sz w:val="1"/>
                <w:szCs w:val="1"/>
                <w:color w:val="auto"/>
              </w:rPr>
            </w:pPr>
          </w:p>
        </w:tc>
      </w:tr>
      <w:tr>
        <w:trPr>
          <w:trHeight w:val="216"/>
        </w:trPr>
        <w:tc>
          <w:tcPr>
            <w:tcW w:w="3120" w:type="dxa"/>
            <w:vAlign w:val="bottom"/>
            <w:vMerge w:val="continue"/>
          </w:tcPr>
          <w:p>
            <w:pPr>
              <w:spacing w:after="0"/>
              <w:rPr>
                <w:sz w:val="18"/>
                <w:szCs w:val="18"/>
                <w:color w:val="auto"/>
              </w:rPr>
            </w:pPr>
          </w:p>
        </w:tc>
        <w:tc>
          <w:tcPr>
            <w:tcW w:w="6800" w:type="dxa"/>
            <w:vAlign w:val="bottom"/>
            <w:gridSpan w:val="2"/>
            <w:vMerge w:val="restart"/>
          </w:tcPr>
          <w:p>
            <w:pPr>
              <w:ind w:left="1960"/>
              <w:spacing w:after="0"/>
              <w:rPr>
                <w:sz w:val="20"/>
                <w:szCs w:val="20"/>
                <w:color w:val="auto"/>
              </w:rPr>
            </w:pPr>
            <w:r>
              <w:rPr>
                <w:rFonts w:ascii="Arial" w:cs="Arial" w:eastAsia="Arial" w:hAnsi="Arial"/>
                <w:sz w:val="18"/>
                <w:szCs w:val="18"/>
                <w:color w:val="auto"/>
              </w:rPr>
              <w:t>By: /s/ R. David Spreng</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6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 David Spreng</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2"/>
              </w:rPr>
              <w:t>President, Chief Executive Officer and Chairman of the Board</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 Directors</w:t>
            </w:r>
          </w:p>
        </w:tc>
        <w:tc>
          <w:tcPr>
            <w:tcW w:w="0" w:type="dxa"/>
            <w:vAlign w:val="bottom"/>
          </w:tcPr>
          <w:p>
            <w:pPr>
              <w:spacing w:after="0"/>
              <w:rPr>
                <w:sz w:val="1"/>
                <w:szCs w:val="1"/>
                <w:color w:val="auto"/>
              </w:rPr>
            </w:pP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Date: May 6, 2021</w:t>
            </w:r>
          </w:p>
        </w:tc>
        <w:tc>
          <w:tcPr>
            <w:tcW w:w="6800" w:type="dxa"/>
            <w:vAlign w:val="bottom"/>
            <w:gridSpan w:val="2"/>
          </w:tcPr>
          <w:p>
            <w:pPr>
              <w:ind w:left="1960"/>
              <w:spacing w:after="0"/>
              <w:rPr>
                <w:sz w:val="20"/>
                <w:szCs w:val="20"/>
                <w:color w:val="auto"/>
              </w:rPr>
            </w:pPr>
            <w:r>
              <w:rPr>
                <w:rFonts w:ascii="Arial" w:cs="Arial" w:eastAsia="Arial" w:hAnsi="Arial"/>
                <w:sz w:val="18"/>
                <w:szCs w:val="18"/>
                <w:color w:val="auto"/>
              </w:rPr>
              <w:t>By: /s/ Thomas B. Raterman</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Raterman</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864"/>
        </w:trPr>
        <w:tc>
          <w:tcPr>
            <w:tcW w:w="3120" w:type="dxa"/>
            <w:vAlign w:val="bottom"/>
          </w:tcPr>
          <w:p>
            <w:pPr>
              <w:spacing w:after="0"/>
              <w:rPr>
                <w:sz w:val="24"/>
                <w:szCs w:val="24"/>
                <w:color w:val="auto"/>
              </w:rPr>
            </w:pPr>
          </w:p>
        </w:tc>
        <w:tc>
          <w:tcPr>
            <w:tcW w:w="2240" w:type="dxa"/>
            <w:vAlign w:val="bottom"/>
          </w:tcPr>
          <w:p>
            <w:pPr>
              <w:jc w:val="right"/>
              <w:ind w:right="210"/>
              <w:spacing w:after="0"/>
              <w:rPr>
                <w:sz w:val="20"/>
                <w:szCs w:val="20"/>
                <w:color w:val="auto"/>
              </w:rPr>
            </w:pPr>
            <w:r>
              <w:rPr>
                <w:rFonts w:ascii="Arial" w:cs="Arial" w:eastAsia="Arial" w:hAnsi="Arial"/>
                <w:sz w:val="18"/>
                <w:szCs w:val="18"/>
                <w:color w:val="auto"/>
              </w:rPr>
              <w:t>64</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of Runway Growth Credit Fund Inc. pursuant to Rule 13a-14(a) under the Exchange Act, as adopted pursuant to Section 302 of the Sarbanes-Oxley Act of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R. David Spreng, as Chief Executive Officer, certify that:</w:t>
      </w:r>
    </w:p>
    <w:p>
      <w:pPr>
        <w:spacing w:after="0" w:line="225" w:lineRule="exact"/>
        <w:rPr>
          <w:sz w:val="20"/>
          <w:szCs w:val="20"/>
          <w:color w:val="auto"/>
        </w:rPr>
      </w:pPr>
    </w:p>
    <w:p>
      <w:pPr>
        <w:ind w:left="700" w:hanging="368"/>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Credit Fund Inc.;</w:t>
      </w:r>
    </w:p>
    <w:p>
      <w:pPr>
        <w:spacing w:after="0" w:line="225" w:lineRule="exact"/>
        <w:rPr>
          <w:rFonts w:ascii="Arial" w:cs="Arial" w:eastAsia="Arial" w:hAnsi="Arial"/>
          <w:sz w:val="18"/>
          <w:szCs w:val="18"/>
          <w:color w:val="auto"/>
        </w:rPr>
      </w:pPr>
    </w:p>
    <w:p>
      <w:pPr>
        <w:ind w:left="340" w:right="160" w:hanging="8"/>
        <w:spacing w:after="0" w:line="263"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8"/>
        <w:spacing w:after="0" w:line="263"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80" w:hanging="8"/>
        <w:spacing w:after="0" w:line="263" w:lineRule="auto"/>
        <w:tabs>
          <w:tab w:leader="none" w:pos="69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00" w:hanging="279"/>
        <w:spacing w:after="0" w:line="311" w:lineRule="auto"/>
        <w:tabs>
          <w:tab w:leader="none" w:pos="991" w:val="left"/>
        </w:tabs>
        <w:numPr>
          <w:ilvl w:val="2"/>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420" w:hanging="279"/>
        <w:spacing w:after="0" w:line="311" w:lineRule="auto"/>
        <w:tabs>
          <w:tab w:leader="none" w:pos="1001" w:val="left"/>
        </w:tabs>
        <w:numPr>
          <w:ilvl w:val="2"/>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hanging="279"/>
        <w:spacing w:after="0" w:line="263" w:lineRule="auto"/>
        <w:tabs>
          <w:tab w:leader="none" w:pos="991" w:val="left"/>
        </w:tabs>
        <w:numPr>
          <w:ilvl w:val="2"/>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279"/>
        <w:spacing w:after="0" w:line="311" w:lineRule="auto"/>
        <w:tabs>
          <w:tab w:leader="none" w:pos="1001" w:val="left"/>
        </w:tabs>
        <w:numPr>
          <w:ilvl w:val="2"/>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180" w:firstLine="37"/>
        <w:spacing w:after="0" w:line="263" w:lineRule="auto"/>
        <w:tabs>
          <w:tab w:leader="none" w:pos="6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279"/>
        <w:spacing w:after="0" w:line="263" w:lineRule="auto"/>
        <w:tabs>
          <w:tab w:leader="none" w:pos="981" w:val="left"/>
        </w:tabs>
        <w:numPr>
          <w:ilvl w:val="2"/>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279"/>
        <w:spacing w:after="0" w:line="277" w:lineRule="auto"/>
        <w:tabs>
          <w:tab w:leader="none" w:pos="991"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2028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1000" w:right="2020"/>
        <w:spacing w:after="0" w:line="266" w:lineRule="auto"/>
        <w:rPr>
          <w:sz w:val="20"/>
          <w:szCs w:val="20"/>
          <w:color w:val="auto"/>
        </w:rPr>
      </w:pPr>
      <w:r>
        <w:rPr>
          <w:rFonts w:ascii="Arial" w:cs="Arial" w:eastAsia="Arial" w:hAnsi="Arial"/>
          <w:sz w:val="18"/>
          <w:szCs w:val="18"/>
          <w:b w:val="1"/>
          <w:bCs w:val="1"/>
          <w:color w:val="auto"/>
        </w:rPr>
        <w:t>Certification of Chief Financial Officer of Runway Growth Credit Fund Inc. pursuant to Rule 13a-14(a) under the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Thomas B. Raterman, as Financial Officer, certify that:</w:t>
      </w:r>
    </w:p>
    <w:p>
      <w:pPr>
        <w:spacing w:after="0" w:line="225" w:lineRule="exact"/>
        <w:rPr>
          <w:sz w:val="20"/>
          <w:szCs w:val="20"/>
          <w:color w:val="auto"/>
        </w:rPr>
      </w:pPr>
    </w:p>
    <w:p>
      <w:pPr>
        <w:ind w:left="700" w:hanging="323"/>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Credit Fund Inc.;</w:t>
      </w:r>
    </w:p>
    <w:p>
      <w:pPr>
        <w:spacing w:after="0" w:line="225" w:lineRule="exact"/>
        <w:rPr>
          <w:rFonts w:ascii="Arial" w:cs="Arial" w:eastAsia="Arial" w:hAnsi="Arial"/>
          <w:sz w:val="18"/>
          <w:szCs w:val="18"/>
          <w:color w:val="auto"/>
        </w:rPr>
      </w:pPr>
    </w:p>
    <w:p>
      <w:pPr>
        <w:ind w:left="340" w:right="160" w:firstLine="37"/>
        <w:spacing w:after="0" w:line="263"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firstLine="37"/>
        <w:spacing w:after="0" w:line="263"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80" w:firstLine="37"/>
        <w:spacing w:after="0" w:line="263" w:lineRule="auto"/>
        <w:tabs>
          <w:tab w:leader="none" w:pos="6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100" w:hanging="279"/>
        <w:spacing w:after="0" w:line="311" w:lineRule="auto"/>
        <w:tabs>
          <w:tab w:leader="none" w:pos="991"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6"/>
          <w:szCs w:val="16"/>
          <w:color w:val="auto"/>
        </w:rPr>
      </w:pPr>
    </w:p>
    <w:p>
      <w:pPr>
        <w:ind w:left="980" w:right="420" w:hanging="279"/>
        <w:spacing w:after="0" w:line="311" w:lineRule="auto"/>
        <w:tabs>
          <w:tab w:leader="none" w:pos="1001"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6"/>
          <w:szCs w:val="16"/>
          <w:color w:val="auto"/>
        </w:rPr>
      </w:pPr>
    </w:p>
    <w:p>
      <w:pPr>
        <w:ind w:left="980" w:right="280" w:hanging="279"/>
        <w:spacing w:after="0" w:line="263" w:lineRule="auto"/>
        <w:tabs>
          <w:tab w:leader="none" w:pos="991"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100" w:hanging="279"/>
        <w:spacing w:after="0" w:line="311" w:lineRule="auto"/>
        <w:tabs>
          <w:tab w:leader="none" w:pos="1001"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6"/>
          <w:szCs w:val="16"/>
          <w:color w:val="auto"/>
        </w:rPr>
      </w:pPr>
    </w:p>
    <w:p>
      <w:pPr>
        <w:ind w:left="340" w:right="180" w:firstLine="37"/>
        <w:spacing w:after="0" w:line="263" w:lineRule="auto"/>
        <w:tabs>
          <w:tab w:leader="none" w:pos="6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279"/>
        <w:spacing w:after="0" w:line="263" w:lineRule="auto"/>
        <w:tabs>
          <w:tab w:leader="none" w:pos="981"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279"/>
        <w:spacing w:after="0" w:line="277" w:lineRule="auto"/>
        <w:tabs>
          <w:tab w:leader="none" w:pos="991"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0999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Thomas B. Raterman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May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on Form 10-Q for the three months ended March 31, 2021 (the “Report”) of Runway Growth Credit Fund Inc. (the “Registrant”), as filed with the Securities and Exchange Commission on the date hereof, I, R. David Spreng, the Chief Executive Officer of the Registrant, hereby certify, to the best of my knowledge, that:</w:t>
      </w:r>
    </w:p>
    <w:p>
      <w:pPr>
        <w:spacing w:after="0" w:line="197" w:lineRule="exact"/>
        <w:rPr>
          <w:sz w:val="20"/>
          <w:szCs w:val="20"/>
          <w:color w:val="auto"/>
        </w:rPr>
      </w:pPr>
    </w:p>
    <w:p>
      <w:pPr>
        <w:ind w:left="980" w:right="520" w:hanging="279"/>
        <w:spacing w:after="0" w:line="277" w:lineRule="auto"/>
        <w:tabs>
          <w:tab w:leader="none" w:pos="100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980" w:right="560" w:hanging="279"/>
        <w:spacing w:after="0" w:line="277" w:lineRule="auto"/>
        <w:tabs>
          <w:tab w:leader="none" w:pos="100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R. David Spreng</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Date: May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quarterly report on Form 10-Q for the three months ended March 31, 2021 (the “Report”) of Runway Growth Credit Fund Inc. (the “Registrant”), as filed with the Securities and Exchange Commission on the date hereof, I, Thomas B. Raterman, the Chief Financial Officer of the Registrant, hereby certify, to the best of my knowledge, that:</w:t>
      </w:r>
    </w:p>
    <w:p>
      <w:pPr>
        <w:spacing w:after="0" w:line="165" w:lineRule="exact"/>
        <w:rPr>
          <w:sz w:val="20"/>
          <w:szCs w:val="20"/>
          <w:color w:val="auto"/>
        </w:rPr>
      </w:pPr>
    </w:p>
    <w:p>
      <w:pPr>
        <w:ind w:left="1040" w:right="440" w:hanging="339"/>
        <w:spacing w:after="0" w:line="277" w:lineRule="auto"/>
        <w:tabs>
          <w:tab w:leader="none" w:pos="108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40" w:right="520" w:hanging="339"/>
        <w:spacing w:after="0" w:line="277" w:lineRule="auto"/>
        <w:tabs>
          <w:tab w:leader="none" w:pos="10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14605</wp:posOffset>
            </wp:positionV>
            <wp:extent cx="28803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Thomas B. Raterman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Date: May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0"/>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2"/>
    </w:lvl>
  </w:abstractNum>
  <w:abstractNum w:abstractNumId="14">
    <w:nsid w:val="1E7FF521"/>
    <w:multiLevelType w:val="hybridMultilevel"/>
    <w:lvl w:ilvl="0">
      <w:lvlJc w:val="left"/>
      <w:lvlText w:val="(%1)"/>
      <w:numFmt w:val="lowerRoman"/>
      <w:start w:val="10"/>
    </w:lvl>
  </w:abstractNum>
  <w:abstractNum w:abstractNumId="15">
    <w:nsid w:val="7C3DBD3D"/>
    <w:multiLevelType w:val="hybridMultilevel"/>
    <w:lvl w:ilvl="0">
      <w:lvlJc w:val="left"/>
      <w:lvlText w:val="(%1)"/>
      <w:numFmt w:val="lowerRoman"/>
      <w:start w:val="10"/>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lowerRoman"/>
      <w:start w:val="3"/>
    </w:lvl>
  </w:abstractNum>
  <w:abstractNum w:abstractNumId="23">
    <w:nsid w:val="5577F8E1"/>
    <w:multiLevelType w:val="hybridMultilevel"/>
    <w:lvl w:ilvl="0">
      <w:lvlJc w:val="left"/>
      <w:lvlText w:val="1"/>
      <w:numFmt w:val="bullet"/>
      <w:start w:val="1"/>
    </w:lvl>
  </w:abstractNum>
  <w:abstractNum w:abstractNumId="24">
    <w:nsid w:val="440BADFC"/>
    <w:multiLevelType w:val="hybridMultilevel"/>
    <w:lvl w:ilvl="0">
      <w:lvlJc w:val="left"/>
      <w:lvlText w:val="2"/>
      <w:numFmt w:val="bullet"/>
      <w:start w:val="1"/>
    </w:lvl>
  </w:abstractNum>
  <w:abstractNum w:abstractNumId="25">
    <w:nsid w:val="5072367"/>
    <w:multiLevelType w:val="hybridMultilevel"/>
    <w:lvl w:ilvl="0">
      <w:lvlJc w:val="left"/>
      <w:lvlText w:val="3"/>
      <w:numFmt w:val="bullet"/>
      <w:start w:val="1"/>
    </w:lvl>
  </w:abstractNum>
  <w:abstractNum w:abstractNumId="26">
    <w:nsid w:val="3804823E"/>
    <w:multiLevelType w:val="hybridMultilevel"/>
    <w:lvl w:ilvl="0">
      <w:lvlJc w:val="left"/>
      <w:lvlText w:val="4"/>
      <w:numFmt w:val="bullet"/>
      <w:start w:val="1"/>
    </w:lvl>
  </w:abstractNum>
  <w:abstractNum w:abstractNumId="27">
    <w:nsid w:val="77465F01"/>
    <w:multiLevelType w:val="hybridMultilevel"/>
    <w:lvl w:ilvl="0">
      <w:lvlJc w:val="left"/>
      <w:lvlText w:val="5"/>
      <w:numFmt w:val="bullet"/>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2"/>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lowerRoman"/>
      <w:start w:val="1"/>
    </w:lvl>
  </w:abstractNum>
  <w:abstractNum w:abstractNumId="39">
    <w:nsid w:val="2A487CB0"/>
    <w:multiLevelType w:val="hybridMultilevel"/>
    <w:lvl w:ilvl="0">
      <w:lvlJc w:val="left"/>
      <w:lvlText w:val="(%1)"/>
      <w:numFmt w:val="lowerRoman"/>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91" Type="http://schemas.openxmlformats.org/officeDocument/2006/relationships/hyperlink" Target="https://www.sec.gov/Archives/edgar/data/1653384/000114420416140270/v454968_ex3-1.htm" TargetMode="External"/><Relationship Id="rId92" Type="http://schemas.openxmlformats.org/officeDocument/2006/relationships/hyperlink" Target="https://www.sec.gov/Archives/edgar/data/1653384/000114420417032477/v468943_ex3-1.htm" TargetMode="External"/><Relationship Id="rId93" Type="http://schemas.openxmlformats.org/officeDocument/2006/relationships/hyperlink" Target="https://www.sec.gov/Archives/edgar/data/1653384/000114420417032477/v468943_ex3-2.htm" TargetMode="External"/><Relationship Id="rId94" Type="http://schemas.openxmlformats.org/officeDocument/2006/relationships/hyperlink" Target="https://www.sec.gov/Archives/edgar/data/1653384/000114420417042059/v47278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2021-05-06T16:29:54Z</dcterms:created>
  <dcterms:modified xsi:type="dcterms:W3CDTF">2021-05-06T16:29:54Z</dcterms:modified>
</cp:coreProperties>
</file>