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rway-20251231.htm"/>
        <w:bookmarkStart w:id="1" w:name="ksrway20251231"/>
        <w:bookmarkEnd w:id="0"/>
        <w:bookmarkEnd w:id="1"/>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pBdr>
          <w:top w:val="single" w:sz="24" w:space="1" w:color="000000"/>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16"/>
        </w:rPr>
      </w:pPr>
      <w:r>
        <w:rPr>
          <w:rFonts w:ascii="Times New Roman" w:hAnsi="Times New Roman"/>
          <w:b/>
          <w:color w:val="000000"/>
          <w:sz w:val="16"/>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16"/>
        </w:rPr>
        <w:t>ANNUAL REPORT PURSUANT TO SECTION 13 OR 15(d) OF THE SECURITIES EXCHANGE ACT OF 1934</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 THE FISCAL YEAR ENDED December 31, 2025</w:t>
      </w:r>
    </w:p>
    <w:p>
      <w:pPr>
        <w:pStyle w:val="TextBody"/>
        <w:bidi w:val="0"/>
        <w:jc w:val="center"/>
        <w:rPr/>
      </w:pPr>
      <w:r>
        <w:rPr/>
        <w:t> </w:t>
      </w:r>
    </w:p>
    <w:p>
      <w:pPr>
        <w:pStyle w:val="TextBody"/>
        <w:bidi w:val="0"/>
        <w:jc w:val="left"/>
        <w:rPr/>
      </w:pPr>
      <w:r>
        <w:rPr>
          <w:color w:val="000000"/>
        </w:rPr>
        <w:t xml:space="preserve">☐ </w:t>
      </w:r>
      <w:r>
        <w:rPr>
          <w:rFonts w:ascii="Times New Roman" w:hAnsi="Times New Roman"/>
          <w:b/>
          <w:color w:val="000000"/>
          <w:sz w:val="16"/>
        </w:rPr>
        <w:t>TRANSITION REPORT PURSUANT TO SECTION 13 OR 15(d) OF THE SECURITIES EXCHANGE ACT OF 1934</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COMMISSION FILE NUMBER: 814-01180</w:t>
      </w:r>
    </w:p>
    <w:p>
      <w:pPr>
        <w:pStyle w:val="TextBody"/>
        <w:bidi w:val="0"/>
        <w:jc w:val="center"/>
        <w:rPr>
          <w:rFonts w:ascii="Times New Roman" w:hAnsi="Times New Roman"/>
          <w:b/>
          <w:color w:val="000000"/>
          <w:sz w:val="32"/>
        </w:rPr>
      </w:pPr>
      <w:r>
        <w:rPr>
          <w:rFonts w:ascii="Times New Roman" w:hAnsi="Times New Roman"/>
          <w:b/>
          <w:color w:val="000000"/>
          <w:sz w:val="32"/>
        </w:rPr>
        <w:t>Runway Growth Finance Corp.</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center"/>
        <w:rPr/>
      </w:pPr>
      <w:r>
        <w:rPr/>
        <w:t> </w:t>
      </w:r>
    </w:p>
    <w:tbl>
      <w:tblPr>
        <w:tblW w:w="5728" w:type="dxa"/>
        <w:jc w:val="left"/>
        <w:tblInd w:w="0" w:type="dxa"/>
        <w:tblLayout w:type="fixed"/>
        <w:tblCellMar>
          <w:top w:w="28" w:type="dxa"/>
          <w:left w:w="28" w:type="dxa"/>
          <w:bottom w:w="28" w:type="dxa"/>
          <w:right w:w="28" w:type="dxa"/>
        </w:tblCellMar>
      </w:tblPr>
      <w:tblGrid>
        <w:gridCol w:w="2866"/>
        <w:gridCol w:w="267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Maryland </w:t>
            </w:r>
            <w:r>
              <w:rPr>
                <w:rFonts w:ascii="Times New Roman" w:hAnsi="Times New Roman"/>
                <w:color w:val="000000"/>
                <w:sz w:val="16"/>
              </w:rPr>
              <w:br/>
              <w:t xml:space="preserve">(State of incorporation) </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47-5049745</w:t>
            </w:r>
            <w:r>
              <w:rPr>
                <w:rFonts w:ascii="Times New Roman" w:hAnsi="Times New Roman"/>
                <w:color w:val="000000"/>
                <w:sz w:val="16"/>
              </w:rPr>
              <w:t xml:space="preserve"> </w:t>
              <w:br/>
              <w:t xml:space="preserve">(I.R.S. Employer Identification No.)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205 N. Michigan Ave., Suite 4200</w:t>
            </w:r>
            <w:r>
              <w:rPr>
                <w:rFonts w:ascii="Times New Roman" w:hAnsi="Times New Roman"/>
                <w:color w:val="000000"/>
                <w:sz w:val="16"/>
              </w:rPr>
              <w:br/>
            </w:r>
            <w:r>
              <w:rPr>
                <w:rFonts w:ascii="Times New Roman" w:hAnsi="Times New Roman"/>
                <w:b/>
                <w:color w:val="000000"/>
                <w:sz w:val="16"/>
              </w:rPr>
              <w:t>Chicago, Illinois</w:t>
            </w:r>
            <w:r>
              <w:rPr>
                <w:rFonts w:ascii="Times New Roman" w:hAnsi="Times New Roman"/>
                <w:color w:val="000000"/>
                <w:sz w:val="16"/>
              </w:rPr>
              <w:br/>
              <w:t>(Address of principal executive offices)</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60601 </w:t>
            </w:r>
            <w:r>
              <w:rPr>
                <w:rFonts w:ascii="Times New Roman" w:hAnsi="Times New Roman"/>
                <w:color w:val="000000"/>
                <w:sz w:val="16"/>
              </w:rPr>
              <w:br/>
              <w:t>(Zip Code)</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(312)</w:t>
      </w:r>
      <w:r>
        <w:rPr>
          <w:rFonts w:ascii="Times New Roman" w:hAnsi="Times New Roman"/>
          <w:color w:val="000000"/>
          <w:sz w:val="20"/>
        </w:rPr>
        <w:t xml:space="preserve"> </w:t>
      </w:r>
      <w:r>
        <w:rPr>
          <w:rFonts w:ascii="Times New Roman" w:hAnsi="Times New Roman"/>
          <w:b/>
          <w:color w:val="000000"/>
          <w:sz w:val="16"/>
        </w:rPr>
        <w:t>698</w:t>
        <w:noBreakHyphen/>
        <w:t>6902</w:t>
      </w:r>
    </w:p>
    <w:p>
      <w:pPr>
        <w:pStyle w:val="TextBody"/>
        <w:bidi w:val="0"/>
        <w:jc w:val="center"/>
        <w:rPr/>
      </w:pPr>
      <w:r>
        <w:rPr/>
        <w:t> </w:t>
      </w:r>
    </w:p>
    <w:p>
      <w:pPr>
        <w:pStyle w:val="TextBody"/>
        <w:bidi w:val="0"/>
        <w:jc w:val="center"/>
        <w:rPr>
          <w:rFonts w:ascii="Times New Roman" w:hAnsi="Times New Roman"/>
          <w:color w:val="000000"/>
          <w:sz w:val="14"/>
        </w:rPr>
      </w:pPr>
      <w:r>
        <w:rPr>
          <w:rFonts w:ascii="Times New Roman" w:hAnsi="Times New Roman"/>
          <w:color w:val="000000"/>
          <w:sz w:val="14"/>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jc w:val="center"/>
        <w:rPr/>
      </w:pPr>
      <w:r>
        <w:rPr/>
        <w:t> </w:t>
      </w:r>
    </w:p>
    <w:tbl>
      <w:tblPr>
        <w:tblW w:w="7244" w:type="dxa"/>
        <w:jc w:val="left"/>
        <w:tblInd w:w="0" w:type="dxa"/>
        <w:tblLayout w:type="fixed"/>
        <w:tblCellMar>
          <w:top w:w="28" w:type="dxa"/>
          <w:left w:w="28" w:type="dxa"/>
          <w:bottom w:w="28" w:type="dxa"/>
          <w:right w:w="28" w:type="dxa"/>
        </w:tblCellMar>
      </w:tblPr>
      <w:tblGrid>
        <w:gridCol w:w="161"/>
        <w:gridCol w:w="3091"/>
        <w:gridCol w:w="1261"/>
        <w:gridCol w:w="2731"/>
      </w:tblGrid>
      <w:tr>
        <w:trPr/>
        <w:tc>
          <w:tcPr>
            <w:tcW w:w="161"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Title of each class</w:t>
            </w:r>
            <w:r>
              <w:rPr>
                <w:rFonts w:ascii="Times New Roman" w:hAnsi="Times New Roman"/>
                <w:color w:val="000000"/>
                <w:sz w:val="14"/>
              </w:rPr>
              <w:t xml:space="preserve">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Trading Symbol(s)</w:t>
            </w:r>
            <w:r>
              <w:rPr>
                <w:rFonts w:ascii="Times New Roman" w:hAnsi="Times New Roman"/>
                <w:color w:val="000000"/>
                <w:sz w:val="14"/>
              </w:rPr>
              <w:t xml:space="preserve"> </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Name of each exchange on which registered</w:t>
            </w:r>
            <w:r>
              <w:rPr>
                <w:rFonts w:ascii="Times New Roman" w:hAnsi="Times New Roman"/>
                <w:color w:val="000000"/>
                <w:sz w:val="14"/>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Common Stock, par value $0.01 per share</w:t>
            </w:r>
            <w:r>
              <w:rPr>
                <w:rFonts w:ascii="Times New Roman" w:hAnsi="Times New Roman"/>
                <w:color w:val="000000"/>
                <w:sz w:val="20"/>
              </w:rPr>
              <w:t xml:space="preserve">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RWAY </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 LLC</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7.50% Notes due 2027</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RWAYL</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 LLC</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7.25% Notes due 2031</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RWAYI</w:t>
            </w:r>
          </w:p>
        </w:tc>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Global Select Market LLC</w:t>
            </w:r>
          </w:p>
        </w:tc>
      </w:tr>
    </w:tbl>
    <w:p>
      <w:pPr>
        <w:pStyle w:val="TextBody"/>
        <w:bidi w:val="0"/>
        <w:jc w:val="left"/>
        <w:rPr/>
      </w:pPr>
      <w:r>
        <w:rPr/>
        <w:t> </w:t>
      </w:r>
    </w:p>
    <w:p>
      <w:pPr>
        <w:pStyle w:val="TextBody"/>
        <w:pBdr>
          <w:bottom w:val="single" w:sz="6" w:space="1" w:color="000000"/>
        </w:pBdr>
        <w:bidi w:val="0"/>
        <w:jc w:val="center"/>
        <w:rPr/>
      </w:pPr>
      <w:r>
        <w:rPr/>
        <w:t> </w:t>
      </w:r>
    </w:p>
    <w:p>
      <w:pPr>
        <w:pStyle w:val="TextBody"/>
        <w:bidi w:val="0"/>
        <w:spacing w:before="0" w:after="6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SECURITIES REGISTERED PURSUANT TO SECTION 12(g) OF THE ACT:</w:t>
      </w:r>
    </w:p>
    <w:p>
      <w:pPr>
        <w:pStyle w:val="TextBody"/>
        <w:bidi w:val="0"/>
        <w:jc w:val="center"/>
        <w:rPr>
          <w:rFonts w:ascii="Times New Roman" w:hAnsi="Times New Roman"/>
          <w:color w:val="000000"/>
          <w:sz w:val="16"/>
        </w:rPr>
      </w:pPr>
      <w:r>
        <w:rPr>
          <w:rFonts w:ascii="Times New Roman" w:hAnsi="Times New Roman"/>
          <w:color w:val="000000"/>
          <w:sz w:val="16"/>
        </w:rPr>
        <w:t>None</w:t>
      </w:r>
    </w:p>
    <w:p>
      <w:pPr>
        <w:pStyle w:val="TextBody"/>
        <w:pBdr>
          <w:bottom w:val="single" w:sz="6" w:space="1" w:color="000000"/>
        </w:pBdr>
        <w:bidi w:val="0"/>
        <w:spacing w:before="60" w:after="283"/>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☒ </w:t>
      </w:r>
      <w:r>
        <w:rPr>
          <w:rFonts w:ascii="Times New Roman" w:hAnsi="Times New Roman"/>
          <w:color w:val="000000"/>
          <w:sz w:val="16"/>
        </w:rPr>
        <w:t>No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w:t>
      </w:r>
      <w:r>
        <w:rPr>
          <w:rFonts w:ascii="Times New Roman" w:hAnsi="Times New Roman"/>
          <w:color w:val="000000"/>
          <w:sz w:val="20"/>
        </w:rPr>
        <w:t> ☒ </w:t>
      </w:r>
      <w:r>
        <w:rPr>
          <w:rFonts w:ascii="Times New Roman" w:hAnsi="Times New Roman"/>
          <w:color w:val="000000"/>
          <w:sz w:val="16"/>
        </w:rPr>
        <w:t>No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noBreakHyphen/>
        <w:t>2 of the Exchange Act.</w:t>
      </w:r>
      <w:r>
        <w:rPr>
          <w:rFonts w:ascii="Times New Roman" w:hAnsi="Times New Roman"/>
          <w:color w:val="000000"/>
          <w:sz w:val="20"/>
        </w:rPr>
        <w:t xml:space="preserve"> </w:t>
      </w:r>
    </w:p>
    <w:p>
      <w:pPr>
        <w:pStyle w:val="TextBody"/>
        <w:bidi w:val="0"/>
        <w:jc w:val="both"/>
        <w:rPr/>
      </w:pPr>
      <w:r>
        <w:rPr/>
        <w:t> </w:t>
      </w:r>
    </w:p>
    <w:tbl>
      <w:tblPr>
        <w:tblW w:w="4637" w:type="dxa"/>
        <w:jc w:val="left"/>
        <w:tblInd w:w="0" w:type="dxa"/>
        <w:tblLayout w:type="fixed"/>
        <w:tblCellMar>
          <w:top w:w="28" w:type="dxa"/>
          <w:left w:w="28" w:type="dxa"/>
          <w:bottom w:w="28" w:type="dxa"/>
          <w:right w:w="28" w:type="dxa"/>
        </w:tblCellMar>
      </w:tblPr>
      <w:tblGrid>
        <w:gridCol w:w="2311"/>
        <w:gridCol w:w="2326"/>
      </w:tblGrid>
      <w:tr>
        <w:trPr/>
        <w:tc>
          <w:tcPr>
            <w:tcW w:w="231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Large accelerated filer ☐ </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Accelerated filer</w:t>
            </w:r>
            <w:r>
              <w:rPr>
                <w:rFonts w:ascii="Times New Roman" w:hAnsi="Times New Roman"/>
                <w:color w:val="000000"/>
                <w:sz w:val="20"/>
              </w:rPr>
              <w:t xml:space="preserve"> ☒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 ☐</w:t>
            </w:r>
          </w:p>
        </w:tc>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Smaller reporting company </w:t>
            </w:r>
            <w:r>
              <w:rPr>
                <w:rFonts w:ascii="Times New Roman" w:hAnsi="Times New Roman"/>
                <w:color w:val="000000"/>
                <w:sz w:val="20"/>
              </w:rPr>
              <w:t xml:space="preserve">☐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 xml:space="preserve">☒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is a shell company (as defined in Rule 12b</w:t>
        <w:noBreakHyphen/>
        <w:t>2 of the Exchange Act).   Yes ☐ No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The aggregate market value of the Registrant's common stock held by non-affiliates of the Registrant as of the last day of the Registrant's most recently completed second fiscal quarter was approximately $282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based upon the last close price of $10.73 reported for such date on the Nasdaq Global Select Market LLC.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There were 36,134,037</w:t>
      </w:r>
      <w:r>
        <w:rPr>
          <w:rFonts w:ascii="Times New Roman" w:hAnsi="Times New Roman"/>
          <w:color w:val="000000"/>
          <w:sz w:val="20"/>
        </w:rPr>
        <w:t xml:space="preserve"> </w:t>
      </w:r>
      <w:r>
        <w:rPr>
          <w:rFonts w:ascii="Times New Roman" w:hAnsi="Times New Roman"/>
          <w:color w:val="000000"/>
          <w:sz w:val="16"/>
        </w:rPr>
        <w:t>shares of the Registrant’s common stock outstanding as of March 10,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Auditor Firm ID: 34</w:t>
      </w:r>
      <w:r>
        <w:rPr>
          <w:rFonts w:ascii="Times New Roman" w:hAnsi="Times New Roman"/>
          <w:color w:val="000000"/>
          <w:sz w:val="20"/>
        </w:rPr>
        <w:t xml:space="preserve"> </w:t>
      </w:r>
      <w:r>
        <w:rPr>
          <w:rFonts w:ascii="Times New Roman" w:hAnsi="Times New Roman"/>
          <w:color w:val="000000"/>
          <w:sz w:val="16"/>
        </w:rPr>
        <w:t>Auditor Name: Deloitte &amp; Touche LLP</w:t>
      </w:r>
      <w:r>
        <w:rPr>
          <w:rFonts w:ascii="Times New Roman" w:hAnsi="Times New Roman"/>
          <w:color w:val="000000"/>
          <w:sz w:val="20"/>
        </w:rPr>
        <w:t xml:space="preserve"> </w:t>
      </w:r>
      <w:r>
        <w:rPr>
          <w:rFonts w:ascii="Times New Roman" w:hAnsi="Times New Roman"/>
          <w:color w:val="000000"/>
          <w:sz w:val="16"/>
        </w:rPr>
        <w:t>Auditor Location: New York, New York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16"/>
        </w:rPr>
        <w:t>DOCUMENTS INCORPORATED BY REFERENCE:</w:t>
      </w:r>
      <w:r>
        <w:rPr>
          <w:rFonts w:ascii="Times New Roman" w:hAnsi="Times New Roman"/>
          <w:color w:val="000000"/>
          <w:sz w:val="20"/>
        </w:rPr>
        <w:t xml:space="preserve"> </w:t>
      </w:r>
      <w:r>
        <w:rPr>
          <w:rFonts w:ascii="Times New Roman" w:hAnsi="Times New Roman"/>
          <w:color w:val="000000"/>
          <w:sz w:val="16"/>
        </w:rPr>
        <w:t>Portions of the registrant's Proxy Statement for its 2026 Annual Meeting of Stockholders to be filed not later than 120 days after the end of the fiscal year covered by this Annual Report on Form 10-K are incorporated by reference into Part III of this Form 10-K.</w:t>
      </w:r>
    </w:p>
    <w:p>
      <w:pPr>
        <w:pStyle w:val="TextBody"/>
        <w:bidi w:val="0"/>
        <w:jc w:val="both"/>
        <w:rPr/>
      </w:pPr>
      <w:r>
        <w:rPr/>
        <w:t> </w:t>
      </w:r>
    </w:p>
    <w:p>
      <w:pPr>
        <w:pStyle w:val="TextBody"/>
        <w:bidi w:val="0"/>
        <w:jc w:val="left"/>
        <w:rPr/>
      </w:pPr>
      <w:r>
        <w:rPr/>
        <w:t> </w:t>
      </w:r>
    </w:p>
    <w:p>
      <w:pPr>
        <w:pStyle w:val="TextBody"/>
        <w:pBdr>
          <w:top w:val="single" w:sz="8" w:space="1" w:color="000000"/>
          <w:bottom w:val="single" w:sz="24" w:space="1" w:color="000000"/>
        </w:pBdr>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21"/>
        <w:gridCol w:w="8386"/>
        <w:gridCol w:w="146"/>
        <w:gridCol w:w="752"/>
      </w:tblGrid>
      <w:tr>
        <w:trPr/>
        <w:tc>
          <w:tcPr>
            <w:tcW w:w="92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c>
          <w:tcPr>
            <w:tcW w:w="8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c>
          <w:tcPr>
            <w:tcW w:w="8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tcBorders>
              <w:bottom w:val="single" w:sz="4" w:space="0" w:color="000000"/>
            </w:tcBorders>
            <w:tcMar>
              <w:top w:w="0" w:type="dxa"/>
              <w:left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color w:val="000000"/>
                <w:sz w:val="20"/>
              </w:rPr>
              <w:t>PAGE</w:t>
            </w:r>
          </w:p>
        </w:tc>
      </w:tr>
      <w:tr>
        <w:trPr/>
        <w:tc>
          <w:tcPr>
            <w:tcW w:w="9307"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1business_632152">
              <w:r>
                <w:rPr>
                  <w:rStyle w:val="InternetLink"/>
                  <w:rFonts w:ascii="Times New Roman" w:hAnsi="Times New Roman"/>
                  <w:color w:val="000000"/>
                  <w:sz w:val="20"/>
                </w:rPr>
                <w:t>Item 1.</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1business_632152">
              <w:r>
                <w:rPr>
                  <w:rStyle w:val="InternetLink"/>
                  <w:rFonts w:ascii="Times New Roman" w:hAnsi="Times New Roman"/>
                  <w:color w:val="0000FF"/>
                  <w:sz w:val="20"/>
                  <w:u w:val="single"/>
                </w:rPr>
                <w:t>Business</w:t>
              </w:r>
            </w:hyperlink>
            <w:hyperlink w:anchor="item1business_632152">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w:t>
            </w:r>
          </w:p>
        </w:tc>
      </w:tr>
      <w:tr>
        <w:trPr/>
        <w:tc>
          <w:tcPr>
            <w:tcW w:w="92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pPr>
            <w:hyperlink w:anchor="item1ariskfactors_767097">
              <w:r>
                <w:rPr>
                  <w:rStyle w:val="InternetLink"/>
                  <w:rFonts w:ascii="Times New Roman" w:hAnsi="Times New Roman"/>
                  <w:color w:val="000000"/>
                  <w:sz w:val="20"/>
                </w:rPr>
                <w:t>Item 1A.</w:t>
              </w:r>
            </w:hyperlink>
          </w:p>
        </w:tc>
        <w:tc>
          <w:tcPr>
            <w:tcW w:w="838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ariskfactors_767097">
              <w:r>
                <w:rPr>
                  <w:rStyle w:val="InternetLink"/>
                  <w:rFonts w:ascii="Times New Roman" w:hAnsi="Times New Roman"/>
                  <w:color w:val="0000FF"/>
                  <w:sz w:val="20"/>
                  <w:u w:val="single"/>
                </w:rPr>
                <w:t>Risk Factors</w:t>
              </w:r>
            </w:hyperlink>
            <w:hyperlink w:anchor="item1ariskfactors_767097">
              <w:r>
                <w:rPr>
                  <w:rStyle w:val="InternetLink"/>
                  <w:rFonts w:ascii="Times New Roman" w:hAnsi="Times New Roman"/>
                  <w:color w:val="0000FF"/>
                  <w:sz w:val="20"/>
                </w:rPr>
                <w:t xml:space="preserve">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24</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1bunresolvedstaffcomments_715901">
              <w:r>
                <w:rPr>
                  <w:rStyle w:val="InternetLink"/>
                  <w:rFonts w:ascii="Times New Roman" w:hAnsi="Times New Roman"/>
                  <w:color w:val="000000"/>
                  <w:sz w:val="20"/>
                </w:rPr>
                <w:t>Item 1B.</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1bunresolvedstaffcomments_715901">
              <w:r>
                <w:rPr>
                  <w:rStyle w:val="InternetLink"/>
                  <w:rFonts w:ascii="Times New Roman" w:hAnsi="Times New Roman"/>
                  <w:color w:val="0000FF"/>
                  <w:sz w:val="20"/>
                  <w:u w:val="single"/>
                </w:rPr>
                <w:t>Unresolved Staff Comments</w:t>
              </w:r>
            </w:hyperlink>
            <w:hyperlink w:anchor="item1bunresolvedstaffcomments_715901">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62</w:t>
            </w:r>
          </w:p>
        </w:tc>
      </w:tr>
      <w:tr>
        <w:trPr/>
        <w:tc>
          <w:tcPr>
            <w:tcW w:w="92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pPr>
            <w:hyperlink w:anchor="item_1c_cybersecurity">
              <w:r>
                <w:rPr>
                  <w:rStyle w:val="InternetLink"/>
                  <w:rFonts w:ascii="Times New Roman" w:hAnsi="Times New Roman"/>
                  <w:color w:val="000000"/>
                  <w:sz w:val="20"/>
                </w:rPr>
                <w:t>Item 1C.</w:t>
              </w:r>
            </w:hyperlink>
          </w:p>
        </w:tc>
        <w:tc>
          <w:tcPr>
            <w:tcW w:w="838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62</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2properties_653484">
              <w:r>
                <w:rPr>
                  <w:rStyle w:val="InternetLink"/>
                  <w:rFonts w:ascii="Times New Roman" w:hAnsi="Times New Roman"/>
                  <w:color w:val="000000"/>
                  <w:sz w:val="20"/>
                </w:rPr>
                <w:t>Item 2.</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2properties_653484">
              <w:r>
                <w:rPr>
                  <w:rStyle w:val="InternetLink"/>
                  <w:rFonts w:ascii="Times New Roman" w:hAnsi="Times New Roman"/>
                  <w:color w:val="0000FF"/>
                  <w:sz w:val="20"/>
                  <w:u w:val="single"/>
                </w:rPr>
                <w:t>Properties</w:t>
              </w:r>
            </w:hyperlink>
            <w:hyperlink w:anchor="item2properties_653484">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63</w:t>
            </w:r>
          </w:p>
        </w:tc>
      </w:tr>
      <w:tr>
        <w:trPr/>
        <w:tc>
          <w:tcPr>
            <w:tcW w:w="92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pPr>
            <w:hyperlink w:anchor="item3legalproceedings_119224">
              <w:r>
                <w:rPr>
                  <w:rStyle w:val="InternetLink"/>
                  <w:rFonts w:ascii="Times New Roman" w:hAnsi="Times New Roman"/>
                  <w:color w:val="000000"/>
                  <w:sz w:val="20"/>
                </w:rPr>
                <w:t>Item 3.</w:t>
              </w:r>
            </w:hyperlink>
          </w:p>
        </w:tc>
        <w:tc>
          <w:tcPr>
            <w:tcW w:w="838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3legalproceedings_119224">
              <w:r>
                <w:rPr>
                  <w:rStyle w:val="InternetLink"/>
                  <w:rFonts w:ascii="Times New Roman" w:hAnsi="Times New Roman"/>
                  <w:color w:val="0000FF"/>
                  <w:sz w:val="20"/>
                  <w:u w:val="single"/>
                </w:rPr>
                <w:t>Legal Proceedings</w:t>
              </w:r>
            </w:hyperlink>
            <w:hyperlink w:anchor="item3legalproceedings_119224">
              <w:r>
                <w:rPr>
                  <w:rStyle w:val="InternetLink"/>
                  <w:rFonts w:ascii="Times New Roman" w:hAnsi="Times New Roman"/>
                  <w:color w:val="0000FF"/>
                  <w:sz w:val="20"/>
                </w:rPr>
                <w:t xml:space="preserve">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63</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4minesafetydisclosures_118322">
              <w:r>
                <w:rPr>
                  <w:rStyle w:val="InternetLink"/>
                  <w:rFonts w:ascii="Times New Roman" w:hAnsi="Times New Roman"/>
                  <w:color w:val="000000"/>
                  <w:sz w:val="20"/>
                </w:rPr>
                <w:t>Item 4.</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4minesafetydisclosures_118322">
              <w:r>
                <w:rPr>
                  <w:rStyle w:val="InternetLink"/>
                  <w:rFonts w:ascii="Times New Roman" w:hAnsi="Times New Roman"/>
                  <w:color w:val="0000FF"/>
                  <w:sz w:val="20"/>
                  <w:u w:val="single"/>
                </w:rPr>
                <w:t>Mine Safety Disclosures</w:t>
              </w:r>
            </w:hyperlink>
            <w:hyperlink w:anchor="item4minesafetydisclosures_118322">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307"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5marketforregistrantscommonequityrel">
              <w:r>
                <w:rPr>
                  <w:rStyle w:val="InternetLink"/>
                  <w:rFonts w:ascii="Times New Roman" w:hAnsi="Times New Roman"/>
                  <w:color w:val="000000"/>
                  <w:sz w:val="20"/>
                </w:rPr>
                <w:t>Item 5.</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5marketforregistrantscommonequityrel">
              <w:r>
                <w:rPr>
                  <w:rStyle w:val="InternetLink"/>
                  <w:rFonts w:ascii="Times New Roman" w:hAnsi="Times New Roman"/>
                  <w:color w:val="0000FF"/>
                  <w:sz w:val="20"/>
                  <w:u w:val="single"/>
                </w:rPr>
                <w:t>Market for Registrant’s Common Equity, Related Stockholder Matters and Issuer Purchases of Equity Securities</w:t>
              </w:r>
            </w:hyperlink>
            <w:hyperlink w:anchor="item5marketforregistrantscommonequityrel">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64</w:t>
            </w:r>
          </w:p>
        </w:tc>
      </w:tr>
      <w:tr>
        <w:trPr/>
        <w:tc>
          <w:tcPr>
            <w:tcW w:w="92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pPr>
            <w:hyperlink w:anchor="item6selectedfinancialdata_540295">
              <w:r>
                <w:rPr>
                  <w:rStyle w:val="InternetLink"/>
                  <w:rFonts w:ascii="Times New Roman" w:hAnsi="Times New Roman"/>
                  <w:color w:val="000000"/>
                  <w:sz w:val="20"/>
                </w:rPr>
                <w:t>Item 6.</w:t>
              </w:r>
            </w:hyperlink>
          </w:p>
        </w:tc>
        <w:tc>
          <w:tcPr>
            <w:tcW w:w="838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6selectedfinancialdata_540295">
              <w:r>
                <w:rPr>
                  <w:rStyle w:val="InternetLink"/>
                  <w:rFonts w:ascii="Times New Roman" w:hAnsi="Times New Roman"/>
                  <w:color w:val="0000FF"/>
                  <w:sz w:val="20"/>
                </w:rPr>
                <w:t xml:space="preserve">Reserved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66</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7managementsdiscussionandanalysisoff">
              <w:r>
                <w:rPr>
                  <w:rStyle w:val="InternetLink"/>
                  <w:rFonts w:ascii="Times New Roman" w:hAnsi="Times New Roman"/>
                  <w:color w:val="000000"/>
                  <w:sz w:val="20"/>
                </w:rPr>
                <w:t>Item 7.</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7managementsdiscussionandanalysisoff">
              <w:r>
                <w:rPr>
                  <w:rStyle w:val="InternetLink"/>
                  <w:rFonts w:ascii="Times New Roman" w:hAnsi="Times New Roman"/>
                  <w:color w:val="0000FF"/>
                  <w:sz w:val="20"/>
                  <w:u w:val="single"/>
                </w:rPr>
                <w:t>Management’s Discussion and Analysis of Financial Condition and Results of Operations</w:t>
              </w:r>
            </w:hyperlink>
            <w:hyperlink w:anchor="item7managementsdiscussionandanalysisoff">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67</w:t>
            </w:r>
          </w:p>
        </w:tc>
      </w:tr>
      <w:tr>
        <w:trPr/>
        <w:tc>
          <w:tcPr>
            <w:tcW w:w="92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pPr>
            <w:hyperlink w:anchor="item7aquantitativeandqualitativedisclosu">
              <w:r>
                <w:rPr>
                  <w:rStyle w:val="InternetLink"/>
                  <w:rFonts w:ascii="Times New Roman" w:hAnsi="Times New Roman"/>
                  <w:color w:val="000000"/>
                  <w:sz w:val="20"/>
                </w:rPr>
                <w:t>Item 7A.</w:t>
              </w:r>
            </w:hyperlink>
          </w:p>
        </w:tc>
        <w:tc>
          <w:tcPr>
            <w:tcW w:w="838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7aquantitativeandqualitativedisclosu">
              <w:r>
                <w:rPr>
                  <w:rStyle w:val="InternetLink"/>
                  <w:rFonts w:ascii="Times New Roman" w:hAnsi="Times New Roman"/>
                  <w:color w:val="0000FF"/>
                  <w:sz w:val="20"/>
                  <w:u w:val="single"/>
                </w:rPr>
                <w:t>Quantitative and Qualitative Disclosures About Market Risk</w:t>
              </w:r>
            </w:hyperlink>
            <w:hyperlink w:anchor="item7aquantitativeandqualitativedisclosu">
              <w:r>
                <w:rPr>
                  <w:rStyle w:val="InternetLink"/>
                  <w:rFonts w:ascii="Times New Roman" w:hAnsi="Times New Roman"/>
                  <w:color w:val="0000FF"/>
                  <w:sz w:val="20"/>
                </w:rPr>
                <w:t xml:space="preserve">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81</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8financialstatementsandsupplementary">
              <w:r>
                <w:rPr>
                  <w:rStyle w:val="InternetLink"/>
                  <w:rFonts w:ascii="Times New Roman" w:hAnsi="Times New Roman"/>
                  <w:color w:val="000000"/>
                  <w:sz w:val="20"/>
                </w:rPr>
                <w:t>Item 8.</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8financialstatementsandsupplementary">
              <w:r>
                <w:rPr>
                  <w:rStyle w:val="InternetLink"/>
                  <w:rFonts w:ascii="Times New Roman" w:hAnsi="Times New Roman"/>
                  <w:color w:val="0000FF"/>
                  <w:sz w:val="20"/>
                  <w:u w:val="single"/>
                </w:rPr>
                <w:t>Consolidated Financial Statements and Supplementary Data</w:t>
              </w:r>
            </w:hyperlink>
            <w:hyperlink w:anchor="item8financialstatementsandsupplementary">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83</w:t>
            </w:r>
          </w:p>
        </w:tc>
      </w:tr>
      <w:tr>
        <w:trPr/>
        <w:tc>
          <w:tcPr>
            <w:tcW w:w="92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pPr>
            <w:hyperlink w:anchor="item9changesinanddisagreementswithaccoun">
              <w:r>
                <w:rPr>
                  <w:rStyle w:val="InternetLink"/>
                  <w:rFonts w:ascii="Times New Roman" w:hAnsi="Times New Roman"/>
                  <w:color w:val="000000"/>
                  <w:sz w:val="20"/>
                </w:rPr>
                <w:t>Item 9.</w:t>
              </w:r>
            </w:hyperlink>
          </w:p>
        </w:tc>
        <w:tc>
          <w:tcPr>
            <w:tcW w:w="838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9changesinanddisagreementswithaccoun">
              <w:r>
                <w:rPr>
                  <w:rStyle w:val="InternetLink"/>
                  <w:rFonts w:ascii="Times New Roman" w:hAnsi="Times New Roman"/>
                  <w:color w:val="0000FF"/>
                  <w:sz w:val="20"/>
                  <w:u w:val="single"/>
                </w:rPr>
                <w:t>Changes in and Disagreements with Accountants on Accounting and Financial Disclosure</w:t>
              </w:r>
            </w:hyperlink>
            <w:hyperlink w:anchor="item9changesinanddisagreementswithaccoun">
              <w:r>
                <w:rPr>
                  <w:rStyle w:val="InternetLink"/>
                  <w:rFonts w:ascii="Times New Roman" w:hAnsi="Times New Roman"/>
                  <w:color w:val="0000FF"/>
                  <w:sz w:val="20"/>
                </w:rPr>
                <w:t xml:space="preserve">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144</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9acontrolsandprocedures_793054">
              <w:r>
                <w:rPr>
                  <w:rStyle w:val="InternetLink"/>
                  <w:rFonts w:ascii="Times New Roman" w:hAnsi="Times New Roman"/>
                  <w:color w:val="000000"/>
                  <w:sz w:val="20"/>
                </w:rPr>
                <w:t>Item 9A.</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9acontrolsandprocedures_793054">
              <w:r>
                <w:rPr>
                  <w:rStyle w:val="InternetLink"/>
                  <w:rFonts w:ascii="Times New Roman" w:hAnsi="Times New Roman"/>
                  <w:color w:val="0000FF"/>
                  <w:sz w:val="20"/>
                  <w:u w:val="single"/>
                </w:rPr>
                <w:t>Controls and Procedures</w:t>
              </w:r>
            </w:hyperlink>
            <w:hyperlink w:anchor="item9acontrolsandprocedures_793054">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144</w:t>
            </w:r>
          </w:p>
        </w:tc>
      </w:tr>
      <w:tr>
        <w:trPr/>
        <w:tc>
          <w:tcPr>
            <w:tcW w:w="92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pPr>
            <w:hyperlink w:anchor="item9botherinformation_645796">
              <w:r>
                <w:rPr>
                  <w:rStyle w:val="InternetLink"/>
                  <w:rFonts w:ascii="Times New Roman" w:hAnsi="Times New Roman"/>
                  <w:color w:val="000000"/>
                  <w:sz w:val="20"/>
                </w:rPr>
                <w:t>Item 9B.</w:t>
              </w:r>
            </w:hyperlink>
          </w:p>
        </w:tc>
        <w:tc>
          <w:tcPr>
            <w:tcW w:w="838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9botherinformation_645796">
              <w:r>
                <w:rPr>
                  <w:rStyle w:val="InternetLink"/>
                  <w:rFonts w:ascii="Times New Roman" w:hAnsi="Times New Roman"/>
                  <w:color w:val="0000FF"/>
                  <w:sz w:val="20"/>
                  <w:u w:val="single"/>
                </w:rPr>
                <w:t>Other Information</w:t>
              </w:r>
            </w:hyperlink>
            <w:hyperlink w:anchor="item9botherinformation_645796">
              <w:r>
                <w:rPr>
                  <w:rStyle w:val="InternetLink"/>
                  <w:rFonts w:ascii="Times New Roman" w:hAnsi="Times New Roman"/>
                  <w:color w:val="0000FF"/>
                  <w:sz w:val="20"/>
                </w:rPr>
                <w:t xml:space="preserve">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145</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9cdisclosureregardingforeignjurisdic">
              <w:r>
                <w:rPr>
                  <w:rStyle w:val="InternetLink"/>
                  <w:rFonts w:ascii="Times New Roman" w:hAnsi="Times New Roman"/>
                  <w:color w:val="000000"/>
                  <w:sz w:val="20"/>
                </w:rPr>
                <w:t>Item 9C</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9cdisclosureregardingforeignjurisdic">
              <w:r>
                <w:rPr>
                  <w:rStyle w:val="InternetLink"/>
                  <w:rFonts w:ascii="Times New Roman" w:hAnsi="Times New Roman"/>
                  <w:color w:val="0000FF"/>
                  <w:sz w:val="20"/>
                  <w:u w:val="single"/>
                </w:rPr>
                <w:t>Disclosure Regarding Foreign Jurisdictions that Prevent Inspection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r>
      <w:tr>
        <w:trPr/>
        <w:tc>
          <w:tcPr>
            <w:tcW w:w="9307"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10directors_officers_corp_gov">
              <w:r>
                <w:rPr>
                  <w:rStyle w:val="InternetLink"/>
                  <w:rFonts w:ascii="Times New Roman" w:hAnsi="Times New Roman"/>
                  <w:color w:val="000000"/>
                  <w:sz w:val="20"/>
                </w:rPr>
                <w:t>Item 10.</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10directors_officers_corp_gov">
              <w:r>
                <w:rPr>
                  <w:rStyle w:val="InternetLink"/>
                  <w:rFonts w:ascii="Times New Roman" w:hAnsi="Times New Roman"/>
                  <w:color w:val="0000FF"/>
                  <w:sz w:val="20"/>
                  <w:u w:val="single"/>
                </w:rPr>
                <w:t>Directors, Executive Officers and Corporate Governance</w:t>
              </w:r>
            </w:hyperlink>
            <w:hyperlink w:anchor="item10directors_officers_corp_gov">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146</w:t>
            </w:r>
          </w:p>
        </w:tc>
      </w:tr>
      <w:tr>
        <w:trPr/>
        <w:tc>
          <w:tcPr>
            <w:tcW w:w="92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pPr>
            <w:hyperlink w:anchor="item11executive_compensation">
              <w:r>
                <w:rPr>
                  <w:rStyle w:val="InternetLink"/>
                  <w:rFonts w:ascii="Times New Roman" w:hAnsi="Times New Roman"/>
                  <w:color w:val="000000"/>
                  <w:sz w:val="20"/>
                </w:rPr>
                <w:t>Item 11.</w:t>
              </w:r>
            </w:hyperlink>
          </w:p>
        </w:tc>
        <w:tc>
          <w:tcPr>
            <w:tcW w:w="838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1executive_compensation">
              <w:r>
                <w:rPr>
                  <w:rStyle w:val="InternetLink"/>
                  <w:rFonts w:ascii="Times New Roman" w:hAnsi="Times New Roman"/>
                  <w:color w:val="0000FF"/>
                  <w:sz w:val="20"/>
                  <w:u w:val="single"/>
                </w:rPr>
                <w:t>Executive Compensation</w:t>
              </w:r>
            </w:hyperlink>
            <w:hyperlink w:anchor="item11executive_compensation">
              <w:r>
                <w:rPr>
                  <w:rStyle w:val="InternetLink"/>
                  <w:rFonts w:ascii="Times New Roman" w:hAnsi="Times New Roman"/>
                  <w:color w:val="0000FF"/>
                  <w:sz w:val="20"/>
                </w:rPr>
                <w:t xml:space="preserve">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146</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12security_ownership">
              <w:r>
                <w:rPr>
                  <w:rStyle w:val="InternetLink"/>
                  <w:rFonts w:ascii="Times New Roman" w:hAnsi="Times New Roman"/>
                  <w:color w:val="000000"/>
                  <w:sz w:val="20"/>
                </w:rPr>
                <w:t>Item 12.</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12security_ownership">
              <w:r>
                <w:rPr>
                  <w:rStyle w:val="InternetLink"/>
                  <w:rFonts w:ascii="Times New Roman" w:hAnsi="Times New Roman"/>
                  <w:color w:val="0000FF"/>
                  <w:sz w:val="20"/>
                  <w:u w:val="single"/>
                </w:rPr>
                <w:t>Security Ownership of Certain Beneficial Owners and Management and Related Stockholder Matters</w:t>
              </w:r>
            </w:hyperlink>
            <w:hyperlink w:anchor="item12security_ownership">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146</w:t>
            </w:r>
          </w:p>
        </w:tc>
      </w:tr>
      <w:tr>
        <w:trPr/>
        <w:tc>
          <w:tcPr>
            <w:tcW w:w="92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pPr>
            <w:hyperlink w:anchor="item13relationships_related_transactions">
              <w:r>
                <w:rPr>
                  <w:rStyle w:val="InternetLink"/>
                  <w:rFonts w:ascii="Times New Roman" w:hAnsi="Times New Roman"/>
                  <w:color w:val="000000"/>
                  <w:sz w:val="20"/>
                </w:rPr>
                <w:t>Item 13.</w:t>
              </w:r>
            </w:hyperlink>
          </w:p>
        </w:tc>
        <w:tc>
          <w:tcPr>
            <w:tcW w:w="838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3relationships_related_transactions">
              <w:r>
                <w:rPr>
                  <w:rStyle w:val="InternetLink"/>
                  <w:rFonts w:ascii="Times New Roman" w:hAnsi="Times New Roman"/>
                  <w:color w:val="0000FF"/>
                  <w:sz w:val="20"/>
                  <w:u w:val="single"/>
                </w:rPr>
                <w:t>Certain Relationships and Related Transactions, and Director Independence</w:t>
              </w:r>
            </w:hyperlink>
            <w:hyperlink w:anchor="item13relationships_related_transactions">
              <w:r>
                <w:rPr>
                  <w:rStyle w:val="InternetLink"/>
                  <w:rFonts w:ascii="Times New Roman" w:hAnsi="Times New Roman"/>
                  <w:color w:val="0000FF"/>
                  <w:sz w:val="20"/>
                </w:rPr>
                <w:t xml:space="preserve">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146</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14principal_accountant_fees">
              <w:r>
                <w:rPr>
                  <w:rStyle w:val="InternetLink"/>
                  <w:rFonts w:ascii="Times New Roman" w:hAnsi="Times New Roman"/>
                  <w:color w:val="000000"/>
                  <w:sz w:val="20"/>
                </w:rPr>
                <w:t>Item 14.</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14principal_accountant_fees">
              <w:r>
                <w:rPr>
                  <w:rStyle w:val="InternetLink"/>
                  <w:rFonts w:ascii="Times New Roman" w:hAnsi="Times New Roman"/>
                  <w:color w:val="0000FF"/>
                  <w:sz w:val="20"/>
                  <w:u w:val="single"/>
                </w:rPr>
                <w:t>Principal Accounting Fees and Services</w:t>
              </w:r>
            </w:hyperlink>
            <w:hyperlink w:anchor="item14principal_accountant_fee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r>
      <w:tr>
        <w:trPr/>
        <w:tc>
          <w:tcPr>
            <w:tcW w:w="9307" w:type="dxa"/>
            <w:gridSpan w:val="2"/>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item15exhibitsandfinancialstatementsched">
              <w:r>
                <w:rPr>
                  <w:rStyle w:val="InternetLink"/>
                  <w:rFonts w:ascii="Times New Roman" w:hAnsi="Times New Roman"/>
                  <w:color w:val="000000"/>
                  <w:sz w:val="20"/>
                </w:rPr>
                <w:t>Item 15.</w:t>
              </w:r>
            </w:hyperlink>
          </w:p>
        </w:tc>
        <w:tc>
          <w:tcPr>
            <w:tcW w:w="8386" w:type="dxa"/>
            <w:tcBorders/>
            <w:tcMar>
              <w:top w:w="0" w:type="dxa"/>
              <w:left w:w="0" w:type="dxa"/>
              <w:bottom w:w="0" w:type="dxa"/>
              <w:right w:w="0" w:type="dxa"/>
            </w:tcMar>
            <w:vAlign w:val="center"/>
          </w:tcPr>
          <w:p>
            <w:pPr>
              <w:pStyle w:val="TableContents"/>
              <w:bidi w:val="0"/>
              <w:spacing w:before="0" w:after="283"/>
              <w:jc w:val="left"/>
              <w:rPr/>
            </w:pPr>
            <w:hyperlink w:anchor="item15exhibitsandfinancialstatementsched">
              <w:r>
                <w:rPr>
                  <w:rStyle w:val="InternetLink"/>
                  <w:rFonts w:ascii="Times New Roman" w:hAnsi="Times New Roman"/>
                  <w:color w:val="0000FF"/>
                  <w:sz w:val="20"/>
                  <w:u w:val="single"/>
                </w:rPr>
                <w:t>Exhibits and Financial Statement Schedules</w:t>
              </w:r>
            </w:hyperlink>
            <w:hyperlink w:anchor="item15exhibitsandfinancialstatementsched">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147</w:t>
            </w:r>
          </w:p>
        </w:tc>
      </w:tr>
      <w:tr>
        <w:trPr/>
        <w:tc>
          <w:tcPr>
            <w:tcW w:w="921"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pPr>
            <w:hyperlink w:anchor="item1610k_summary">
              <w:r>
                <w:rPr>
                  <w:rStyle w:val="InternetLink"/>
                  <w:rFonts w:ascii="Times New Roman" w:hAnsi="Times New Roman"/>
                  <w:color w:val="000000"/>
                  <w:sz w:val="20"/>
                </w:rPr>
                <w:t>Item 16.</w:t>
              </w:r>
            </w:hyperlink>
          </w:p>
        </w:tc>
        <w:tc>
          <w:tcPr>
            <w:tcW w:w="838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610k_summary">
              <w:r>
                <w:rPr>
                  <w:rStyle w:val="InternetLink"/>
                  <w:rFonts w:ascii="Times New Roman" w:hAnsi="Times New Roman"/>
                  <w:color w:val="0000FF"/>
                  <w:sz w:val="20"/>
                  <w:u w:val="single"/>
                </w:rPr>
                <w:t>Form 10-K Summary</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151</w:t>
            </w:r>
          </w:p>
        </w:tc>
      </w:tr>
      <w:tr>
        <w:trPr/>
        <w:tc>
          <w:tcPr>
            <w:tcW w:w="92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8386"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ignatures_215282">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r>
    </w:tbl>
    <w:p>
      <w:pPr>
        <w:pStyle w:val="TextBody"/>
        <w:bidi w:val="0"/>
        <w:jc w:val="left"/>
        <w:rPr/>
      </w:pPr>
      <w:r>
        <w:rPr/>
        <w:t> </w:t>
      </w:r>
    </w:p>
    <w:p>
      <w:pPr>
        <w:pStyle w:val="TextBody"/>
        <w:bidi w:val="0"/>
        <w:spacing w:before="48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Heading1"/>
        <w:bidi w:val="0"/>
        <w:spacing w:before="240" w:after="240"/>
        <w:jc w:val="left"/>
        <w:rPr>
          <w:rFonts w:ascii="Times New Roman" w:hAnsi="Times New Roman"/>
          <w:color w:val="000000"/>
          <w:sz w:val="20"/>
        </w:rPr>
      </w:pPr>
      <w:bookmarkStart w:id="4" w:name="item1business_632152"/>
      <w:bookmarkEnd w:id="4"/>
      <w:r>
        <w:rPr>
          <w:rFonts w:ascii="Times New Roman" w:hAnsi="Times New Roman"/>
          <w:color w:val="000000"/>
          <w:sz w:val="20"/>
        </w:rPr>
        <w:t>Item 1. Business</w:t>
      </w:r>
    </w:p>
    <w:p>
      <w:pPr>
        <w:pStyle w:val="Heading2"/>
        <w:bidi w:val="0"/>
        <w:spacing w:before="0" w:after="240"/>
        <w:jc w:val="left"/>
        <w:rPr>
          <w:rFonts w:ascii="Times New Roman" w:hAnsi="Times New Roman"/>
          <w:color w:val="000000"/>
          <w:sz w:val="20"/>
        </w:rPr>
      </w:pPr>
      <w:r>
        <w:rPr>
          <w:rFonts w:ascii="Times New Roman" w:hAnsi="Times New Roman"/>
          <w:color w:val="000000"/>
          <w:sz w:val="20"/>
        </w:rPr>
        <w:t>Runway Growth Finance Corp.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Runway Growth Finance Corp. ("we," "us," "our," or the "Company"),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We are managed by Runway Growth Capital, an experienced provider of growth financing for dynamic, late- and growth-stage companies. As of December 31, 2025, we had an investment portfolio of $927.4 million at fair value, and a net asset value of $485.0 million. Our offices are in Chicago, Illinois; Menlo Park, California; and New York, New York.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elected to be regulated as a business development company ("BDC") under the Investment Company Act of 1940, as amended (together with the rules and regulations promulgated thereunder,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the regular corporate rate on any net taxable income for such year and may also be subject to applicable state and local taxes.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an "emerging growth company," as defined in the Jumpstart Our Business Startups Act of 2012 (the "JOBS Act"). We expect to remain an emerging growth company until December 31, 2026,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During the time that we are an emerging growth company under the JOBS Act, we will be subject to reduced public company reporting requirements. When we are no longer an emerging growth company, we will be subject to additional public company reporting requirements, including auditor attestation requirements of Section 404(b) of the Sarbanes-Oxley Act, and we will no longer be able to take advantage of the extended transition periods available to emerging growth companies for complying with new or revised accounting standards.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the commencement of investment operations on December 16, 2016, through December 31, 2025, we funded 98 transactions and funded $2.7 billion in investments. As of December 31, 2025, our equity investment portfolio had an aggregate fair value of $67.1 million. Our debt investment portfolio, excluding U.S. Treasury bills, consisted of 31 portfolio companies with an aggregate fair value of $860.3 million. Our equity portfolio consisted of 60 warrant positions, five preferred stock positions, one preferred unit position, four common stock positions, and two equity interest positions across 48 companies, including one joint venture investment in Runway-Cadma I LLC. As of December 31, 2025, 99.3%, or $853.9 million, of our debt investment portfolio at fair value consisted of senior secured loans. As of December 31, 2025, our net assets were $485.0 million, and all of our debt investments were secured by all or a portion 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 referred to as "junk bonds" and have predominantly speculative characteristics with respect to the issuer’s capacity to pay interest and repay principal.</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color w:val="231F20"/>
          <w:sz w:val="20"/>
        </w:rPr>
      </w:pPr>
      <w:r>
        <w:rPr>
          <w:rFonts w:ascii="Times New Roman" w:hAnsi="Times New Roman"/>
          <w:color w:val="231F20"/>
          <w:sz w:val="20"/>
        </w:rPr>
        <w:t>For the year ended December 31, 2025, our debt investment portfolio had a dollar-weighted annualized yield of 14.6%. For the years ended December 31, 2024 and 2023, our debt investment portfolio had a dollar-weighted annualized yield of 14.9% and 15.8%,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December 31, 2025, our debt investments had a dollar-weighted average outstanding term of 53 months at origination and a dollar-weighted average remaining term of 31 months, or approximately 2.6 years. As of December 31, 2025, substantially all of our debt investments had a committed principal amount of between $2.0 million and $68.5 million and pay cash interest at annual interest rates between 6.3% and 14.3%, exclusive of PIK loans.</w:t>
      </w:r>
    </w:p>
    <w:p>
      <w:pPr>
        <w:pStyle w:val="TextBody"/>
        <w:bidi w:val="0"/>
        <w:spacing w:before="0" w:after="240"/>
        <w:jc w:val="both"/>
        <w:rPr>
          <w:rFonts w:ascii="Times New Roman" w:hAnsi="Times New Roman"/>
          <w:color w:val="231F20"/>
          <w:sz w:val="20"/>
        </w:rPr>
      </w:pPr>
      <w:r>
        <w:rPr>
          <w:rFonts w:ascii="Times New Roman" w:hAnsi="Times New Roman"/>
          <w:color w:val="231F20"/>
          <w:sz w:val="20"/>
        </w:rPr>
        <w:t>The following table shows our dollar-weighted annualized yield by investment type for the years ended December 31, 2025, and December 31, 2024, and December 31, 2023:</w:t>
      </w:r>
    </w:p>
    <w:tbl>
      <w:tblPr>
        <w:tblW w:w="9275" w:type="dxa"/>
        <w:jc w:val="left"/>
        <w:tblInd w:w="0" w:type="dxa"/>
        <w:tblLayout w:type="fixed"/>
        <w:tblCellMar>
          <w:top w:w="28" w:type="dxa"/>
          <w:left w:w="28" w:type="dxa"/>
          <w:bottom w:w="28" w:type="dxa"/>
          <w:right w:w="28" w:type="dxa"/>
        </w:tblCellMar>
      </w:tblPr>
      <w:tblGrid>
        <w:gridCol w:w="1406"/>
        <w:gridCol w:w="146"/>
        <w:gridCol w:w="146"/>
        <w:gridCol w:w="511"/>
        <w:gridCol w:w="146"/>
        <w:gridCol w:w="241"/>
        <w:gridCol w:w="146"/>
        <w:gridCol w:w="146"/>
        <w:gridCol w:w="146"/>
        <w:gridCol w:w="511"/>
        <w:gridCol w:w="146"/>
        <w:gridCol w:w="241"/>
        <w:gridCol w:w="146"/>
        <w:gridCol w:w="146"/>
        <w:gridCol w:w="146"/>
        <w:gridCol w:w="511"/>
        <w:gridCol w:w="146"/>
        <w:gridCol w:w="241"/>
        <w:gridCol w:w="146"/>
        <w:gridCol w:w="146"/>
        <w:gridCol w:w="511"/>
        <w:gridCol w:w="146"/>
        <w:gridCol w:w="241"/>
        <w:gridCol w:w="146"/>
        <w:gridCol w:w="146"/>
        <w:gridCol w:w="146"/>
        <w:gridCol w:w="511"/>
        <w:gridCol w:w="146"/>
        <w:gridCol w:w="241"/>
        <w:gridCol w:w="146"/>
        <w:gridCol w:w="146"/>
        <w:gridCol w:w="146"/>
        <w:gridCol w:w="511"/>
        <w:gridCol w:w="146"/>
        <w:gridCol w:w="386"/>
      </w:tblGrid>
      <w:tr>
        <w:trPr/>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Cost</w:t>
            </w:r>
            <w:r>
              <w:rPr>
                <w:rFonts w:ascii="Times New Roman" w:hAnsi="Times New Roman"/>
                <w:b/>
                <w:color w:val="000000"/>
                <w:sz w:val="11"/>
              </w:rPr>
              <w:t>(2)</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amortized cost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About RGC</w:t>
      </w:r>
    </w:p>
    <w:p>
      <w:pPr>
        <w:pStyle w:val="TextBody"/>
        <w:bidi w:val="0"/>
        <w:jc w:val="both"/>
        <w:rPr>
          <w:rFonts w:ascii="Times New Roman" w:hAnsi="Times New Roman"/>
          <w:color w:val="000000"/>
          <w:sz w:val="20"/>
        </w:rPr>
      </w:pPr>
      <w:r>
        <w:rPr>
          <w:rFonts w:ascii="Times New Roman" w:hAnsi="Times New Roman"/>
          <w:color w:val="000000"/>
          <w:sz w:val="20"/>
        </w:rPr>
        <w:t>We are externally managed by Runway Growth Capital LLC ("RGC" or the "Adviser"), an investment adviser that has registered with the U.S. Securities and Exchange Commission ("SEC") under the Investment Advisers Act of 1940, as amended (together with the rules and regulations promulgated thereunder, the "Advisers Act"). Runway Administrator Services LLC (the "Administrator"), a wholly-owned subsidiary of RGC, provides all administrative services necessary for us to operate. Subject to the overall supervision of our board of directors ("Board of Directors"), RGC manages our day-to-day operations and provides us with investment advisory services pursuant to an investment advisory agreement (as amended and restated, the "Advisory Agreement"). Under the terms of the Advisory Agreement, RGC:</w:t>
      </w:r>
    </w:p>
    <w:p>
      <w:pPr>
        <w:pStyle w:val="TextBody"/>
        <w:bidi w:val="0"/>
        <w:spacing w:before="240" w:after="120"/>
        <w:jc w:val="both"/>
        <w:rPr>
          <w:color w:val="000000"/>
        </w:rPr>
      </w:pPr>
      <w:r>
        <w:rPr>
          <w:color w:val="000000"/>
        </w:rPr>
        <w:t>•</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determines the composition of our portfolio, the nature and timing of the changes to the portfolio and the manner of implementing such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identifies, evaluates and negotiates the structure of the investments we make;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executes, closes and monitors the investments we make;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determines the securities and other assets that we will purchase, retain or sell;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performs due diligence on prospective investments;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provides us with other such investment advisory, research and related services as we may, from time to time, reasonably require for the investment of our funds.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Advisory Agreement, we pay RGC a fee for its investment advisory and management services consisting of two components: a base management fee and an incentive fee. The cost of both the base management fee and incentive fee are ultimately borne by our stockholders. See "Note 3 – Related Party Agreements and Transactions" to our consolidated financial statements in Part II, Item 8 of this Form 10</w:t>
        <w:noBreakHyphen/>
        <w:t>K for more information on the Advisory Agreement and the fee structure thereunder.</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January 2025, RGC was acquired by certain affiliates of BC Partners Advisors L.P. ("BC Partners Credit"), including Mount Logan Capital Inc. ("MLCI"). BC Partners Credit, an affiliate of BC Partners LLP ("BC Partners"),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the business services, industrials, healthcare and other select sectors. MLCI is an alternative asset management and insurance solutions company that is focused on public and private debt securities in the North American market and the reinsurance of annuity products, primarily through its wholly owned subsidiaries Mount Logan Management LLC and Ability Insurance Company, respectively. MLCI also actively sources, evaluates, underwrites, manages, monitors and primarily invests in loans, debt securities, and other credit-oriented instruments that present attractive risk-adjusted returns and present low risk of principal impairment through the credit cycle.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RGC's senior executive team has on average more than 35 years of experience, and its investment professionals, including origination and underwriting, have on average 21 years of experience. RGC has built its team with investment professionals who have deep industry experience, a track record of successful originations and outcomes across the venture debt and venture and private equity spectrum, along with rich experience in working with and understanding high-growth companies from both an investor's and an operator's perspective.</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Payment of Our Expenses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professionals of RGC, when and to the extent engaged in providing investment advisory and management services to us, and the compensation and routine overhead expenses of personnel allocable to these services to us, are provided and paid for by RGC and not by us. We bear all other out-of-pocket costs and expenses of our operations and transactions, including, without limitation, those relating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pro-rata portion of fees and expenses related to an initial public offering in connection with a spin-off transaction;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fees and expenses related to public and private offerings, sales and repurchases of our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payable on debt incurred to finance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sales and purchases of our common stock and other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investment advisory and management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administration fees payable under the administration agreement with the Administrator (the "Administration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transfer agent and custodial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costs of registration and listing our securities on any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of preparing and filing reports or other documents required by the SEC, the Financial Industry Regulatory Authority or other regulators;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costs;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allocable portion of any fidelity bond, directors’ and officers’ errors and omissions liability insurance, and any other insurance premiums;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80" w:after="120"/>
        <w:jc w:val="both"/>
        <w:rPr>
          <w:color w:val="000000"/>
        </w:rPr>
      </w:pPr>
      <w:r>
        <w:rPr>
          <w:color w:val="000000"/>
        </w:rPr>
        <w: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Investment Committee</w:t>
      </w:r>
    </w:p>
    <w:p>
      <w:pPr>
        <w:pStyle w:val="TextBody"/>
        <w:bidi w:val="0"/>
        <w:jc w:val="both"/>
        <w:rPr>
          <w:rFonts w:ascii="Times New Roman" w:hAnsi="Times New Roman"/>
          <w:color w:val="000000"/>
          <w:sz w:val="20"/>
        </w:rPr>
      </w:pPr>
      <w:r>
        <w:rPr>
          <w:rFonts w:ascii="Times New Roman" w:hAnsi="Times New Roman"/>
          <w:color w:val="000000"/>
          <w:sz w:val="20"/>
        </w:rPr>
        <w:t>RGC’s investment committee (the "Investment Committee") consists of R. David Spreng, our President and Chief Executive Officer and RGC's founder and Chief Executive Officer, Thomas B. Raterman, our Chief Financial Officer, Chief Operating Officer, Treasurer and Secretary, and RGC's Chief Financial Officer and Chief Operating Officer, Greg Greifeld, RGC's Chief Investment Officer, and Patrick Schafer, a Partner at BC Partners. The Investment Committee meets regularly to consider our investments, review our strategic initiatives and supervise the actions taken by RGC on our behalf. In addition, the Investment Committee reviews and monitors the performance of our investment portfolio. Each investment must be approved by a majority of the Investment Committee.</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Board Approval of the Advisory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Board of Directors, including a majority of the directors who were not "interested persons," as defined in Section 2(a)(19) of the 1940 Act, of us or RGC ("the Independent Directors"), approved the Advisory Agreement at an in-person meeting on October 29, 2024 and recommended that our stockholders approve the Advisory Agreement. On January 23, 2025, our stockholders approved the Advisory Agreement at a special meeting of stockholders of the Company, and the Advisory Agreement became effective on January 30, 2025. In its consideration of the approval of the Advisory Agreement, our Board of Directors focused on information it had received relating to,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nature, quality and extent of the advisory and other services provided to us by RGC under the terms of the Advisory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investment performance and the investment performance of RGC;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comparative data with respect to advisory fees or similar expenses paid by other BDCs with similar investment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about the services being performed and the personnel performing such services under the Advisory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projected operating expenses and expense ratio compared to BDCs with similar investment objectives, including expenses related to investment due diligence, travel and investigating and monitoring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existing and potential sources of indirect income to RGC from its relationship with us and RGC’s profitability;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economies of scale would be realized as we grow and whether fee levels reflect these economies of scale for the benefit of our stockholders.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Our Board of Directors did not quantify, rank or otherwise assign relative weights to the specific factors it considered in reaching its decision. Our Board of Directors did not undertake to make any specific determination as to whether any particular factor, or any aspect of any particular factor, was favorable or unfavorable to its ultimate determination. Rather, our Board of Directors based its approval on the totality of information presented to, and the investigation conducted by, it. In considering the factors discussed above, individual directors may have given different weights to different factors. Based on its review of the above-mentioned factors and discussion of the Advisory Agreement, our Board of Directors approved the Advisory Agreement as being in our and our stockholders’ best interests and recommended that our stockholders approve the Advisory Agreement as well.</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Duration and Termination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Advisory Agreement will remain in full force and effect for an initial period of two years from its effective date, and thereafter, unless terminated earlier as described below. The Advisory Agreement will continue automatically for successive annual periods provided that such continuance is specifically approved at least annually by (i) (A) the affirmative vote of a majority of our Board of Directors or (B) the affirmative vote of a majority of our outstanding voting securities, and (ii) the affirmative vote of a majority of our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Independent Directors. The Advisory Agreement automatically terminates in the event of its assignment, as defined in the 1940 Act, and may be terminated, without penalty, upon not more than 60 days’ written notice, by (i) the affirmative vote of a majority of our outstanding voting securities, (ii) the affirmative vote of a majority of our Board of Directors, including a majority of our Independent Directors, or (iii) RGC. See "Risk Factors – Risks Related to our Business and Structure – 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 in Part I, Item 1A of this Form 10</w:t>
        <w:noBreakHyphen/>
        <w:t>K.</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About Our Administrator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entered into the Administration Agreement with our Administrator, a wholly-owned subsidiary of RGC,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Directors) of our Administrator’s overhead resulting from its obligations under the Administration Agreement, including rent and the allocable portion of the cost of our Chief Compliance Officer and Chief Financial Officer and their respective staffs associated with performing compliance functions.</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Runway-Cadma I LLC Joint Venture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March 6, 2024, the Company entered into a joint venture agreement with Cadma Capital Partners LLC ("Cadma") to create and co-manage Runway-Cadma I LLC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in respect of the JV must be approved by the board of managers of the JV, consisting of an equal number of representatives of the Company and Cadma. Capital contributions are called from the Company and Cadma on a pro-rata basis based on their total capital commitments.</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Relationship with Oaktree Capital Management, L.P. and OCM Growth Holdings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December 2016, the Company and RGC entered into a strategic relationship with Oaktree Capital Management, L.P ("Oaktree"). In connection with the relationship, OCM Growth Holdings ("OCM Growth"), an affiliate of Oaktree, purchased an aggregate of 14,571,334 shares of the Company's common stock for an aggregate purchase price of $219.3 million in the Company's initial private offering and second private offering (each as defined in "Note 9 – Net Assets" in Part II, Item 8 of this Form 10-K). Oaktree Opportunities Fund Xb Holdings (Delaware), L.P. purchased 24,100 shares of our common stock in secondary transactions in 2020 and 2022. As of December 31, 2025, OCM Growth owns approximately 7,029,668 shares of our common stock, or approximately 19.5% of our outstanding shares.</w:t>
      </w:r>
    </w:p>
    <w:p>
      <w:pPr>
        <w:pStyle w:val="TextBody"/>
        <w:bidi w:val="0"/>
        <w:jc w:val="both"/>
        <w:rPr>
          <w:rFonts w:ascii="Times New Roman" w:hAnsi="Times New Roman"/>
          <w:color w:val="000000"/>
          <w:sz w:val="20"/>
        </w:rPr>
      </w:pPr>
      <w:r>
        <w:rPr>
          <w:rFonts w:ascii="Times New Roman" w:hAnsi="Times New Roman"/>
          <w:color w:val="000000"/>
          <w:sz w:val="20"/>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or 2,763,810 shares. Catherine Frey serves on our Board of Directors as OCM Growth’s director nominee and is considered an Independent Director. Further, to the extent OCM Growth’s share ownership falls below one-third of its initial $125.0 million capital commitment under any circumstances, OCM Growth will no longer have the right to appoint a director nominee and will use reasonable efforts to cause such nominee to resign immediately (subject to his or her existing fiduciary duties).</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Investment Strategy and Approach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investment objective is to maximize our total return to our stockholders primarily through current income on our loan portfolio, and secondarily through capital gains on our warrants and other equity positions. We invest in senior secured term loans and other senior debt obligations and may on occasion invest in second lien loans. We have and expect to continue to acquire warrants and other equity securities from portfolio companies in connection with our investments in loans to these companies.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focus on lending to high growth-potential companies in technology, healthcare, business services, financial services, select consumer services and products and other high-growth industries.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originate our investments through two strategies: Sponsored Growth Lending and Non-Sponsored Growth Lending. In addition to our core strategies of providing Sponsored Growth Lending and Non-Sponsored Growth Lending, we may also opportunistically participate in the secondary markets for investments that are consistent with our broader investment strategy.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view acquisitions as a complement to, rather than a substitute for, organic growth. We remain committed to investing in our core business while simultaneously pursuing acquisitions that we believe will enhance our competitive position and our long-term growth.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 adjusted return for the portfolio viewed as a whole. Borrowers tend to use the proceeds of our financings to invest in sales and marketing, expand capacity of the overall business or refinance existing debt. Certain of the loans in which we may invest or obtain exposure to through our investments may be deemed "covenant-lite" loans, which means the loans contain fewer or no maintenance covenants compared to other loans and do not include terms which allow the lender to monitor the performance of the borrower and declare a default if certain criteria are breached. See "Risk Factors – Risks Related to our Investments – We may be subject to risks associated with our investments in covenant-lite loans" in Part I, Item 1A of this Form 10-K.</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Sponsored Growth Lending. </w:t>
      </w:r>
      <w:r>
        <w:rPr>
          <w:rFonts w:ascii="Times New Roman" w:hAnsi="Times New Roman"/>
          <w:color w:val="000000"/>
          <w:sz w:val="20"/>
        </w:rPr>
        <w:t xml:space="preserve">Our Sponsored Growth Lending strategy generally includes loans to late and growth stage companies that are already backed by established venture capital and private equity firms. Our Sponsored Growth Lending strategy typically includes the receipt of warrants and/or other equity from these venture-backed companies.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provides us access to many high-quality companies backed by top-tier venture capital and private equity investors;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delivers consistent returns through double-digit loan yields;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often offers us the ability to participate in equity upside of portfolio companies through the acquisition of warrants or success fees.</w:t>
      </w:r>
    </w:p>
    <w:p>
      <w:pPr>
        <w:pStyle w:val="TextBody"/>
        <w:bidi w:val="0"/>
        <w:spacing w:before="240" w:after="240"/>
        <w:jc w:val="both"/>
        <w:rPr>
          <w:rFonts w:ascii="Times New Roman" w:hAnsi="Times New Roman"/>
          <w:sz w:val="20"/>
        </w:rPr>
      </w:pPr>
      <w:r>
        <w:rPr>
          <w:rFonts w:ascii="Times New Roman" w:hAnsi="Times New Roman"/>
          <w:i/>
          <w:color w:val="000000"/>
          <w:sz w:val="20"/>
        </w:rPr>
        <w:t>Non-Sponsored Growth Lending</w:t>
      </w:r>
      <w:r>
        <w:rPr>
          <w:rFonts w:ascii="Times New Roman" w:hAnsi="Times New Roman"/>
          <w:color w:val="000000"/>
          <w:sz w:val="20"/>
        </w:rPr>
        <w:t>. Our Non-Sponsored Growth Lending strategy generally includes loans to late and growth stage, private companies that are funded directly by entrepreneurs and founders, or companies that no longer require institutional equity investment (which may selectively include publicly traded companies). We refer to these target borrowers as "non-sponsored growth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Generally, financing available to these non-sponsored growth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w:t>
      </w:r>
    </w:p>
    <w:p>
      <w:pPr>
        <w:pStyle w:val="TextBody"/>
        <w:bidi w:val="0"/>
        <w:spacing w:before="120" w:after="240"/>
        <w:jc w:val="both"/>
        <w:rPr>
          <w:rFonts w:ascii="Times New Roman" w:hAnsi="Times New Roman"/>
          <w:sz w:val="20"/>
        </w:rPr>
      </w:pPr>
      <w:r>
        <w:rPr>
          <w:rFonts w:ascii="Times New Roman" w:hAnsi="Times New Roman"/>
          <w:b/>
          <w:color w:val="000000"/>
          <w:sz w:val="20"/>
        </w:rPr>
        <w:t>Exemptive Relief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a BDC, we are generally limited in our ability to invest in any portfolio company in which RGC or any of its affiliates currently has an investment or to make any co-investments with RGC or its affiliates without an exemptive order from the SEC, subject to certain exceptions. On August 10, 2020, as amended on August 30, 2022, we, RGC, and certain other funds and accounts sponsored or managed by RGC were granted an exemptive order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September 12, 2025, we, RGC and certain affiliates applied for a new co-investment exemptive order from the SEC, which would permit us to enter into certain negotiated co-investment transactions alongside certain affiliates in a manner consistent with our investment objective, positions, policies, strategies, and restrictions, as well as regulatory requirements and other pertinent factors, subject to compliance with such order. If granted by the SEC, this order would contain certain conditions and require the Board to maintain oversight of our participation in the co-investment program. This order would also require a “required majority” (as defined in Section 57(o) of the 1940 Act) of our eligible directors to make certain conclusions pursuant to Section 57(f) of the 1940 Act in connection with certain co-investment transactions, including co-investment transactions in which an affiliate of the Company is an existing investor in the portfolio company, non-pro rata follow on investments and non-pro rata dispositions of investments. There can be no assurances that the SEC will grant this new co-investment exemptive relief.</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Market Opportunity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believe that the market environment is favorable for us to continue to pursue an investment strategy primarily focused on late stage and high-growth companies in technology, healthcare, business services, financial services, and select consumer services and products in other high-growth industries.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Focus on Innovative Companies Across a Variety of High-Growth Industries</w:t>
      </w:r>
    </w:p>
    <w:p>
      <w:pPr>
        <w:pStyle w:val="TextBody"/>
        <w:bidi w:val="0"/>
        <w:spacing w:before="0" w:after="240"/>
        <w:jc w:val="both"/>
        <w:rPr>
          <w:rFonts w:ascii="Times New Roman" w:hAnsi="Times New Roman"/>
          <w:sz w:val="20"/>
        </w:rPr>
      </w:pPr>
      <w:r>
        <w:rPr>
          <w:rFonts w:ascii="Times New Roman" w:hAnsi="Times New Roman"/>
          <w:i/>
          <w:color w:val="000000"/>
          <w:sz w:val="20"/>
        </w:rPr>
        <w:t>Diversified high growth-potential industries:</w:t>
      </w:r>
      <w:r>
        <w:rPr>
          <w:rFonts w:ascii="Times New Roman" w:hAnsi="Times New Roman"/>
          <w:color w:val="000000"/>
          <w:sz w:val="20"/>
        </w:rPr>
        <w:t xml:space="preserve"> We target companies active in industries that support high-growth potential. Our Sponsored Growth Lending strategy is focused on the largest industry sectors where venture capital investors are active, primarily technology, healthcare, business services, financial services, and select consumer services and products in other high-growth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Sponsored and Non-Sponsored Growth Lending Represents an Attractive Source of Funding</w:t>
      </w:r>
    </w:p>
    <w:p>
      <w:pPr>
        <w:pStyle w:val="TextBody"/>
        <w:bidi w:val="0"/>
        <w:spacing w:before="0" w:after="240"/>
        <w:jc w:val="both"/>
        <w:rPr>
          <w:rFonts w:ascii="Times New Roman" w:hAnsi="Times New Roman"/>
          <w:sz w:val="20"/>
        </w:rPr>
      </w:pPr>
      <w:r>
        <w:rPr>
          <w:rFonts w:ascii="Times New Roman" w:hAnsi="Times New Roman"/>
          <w:i/>
          <w:color w:val="000000"/>
          <w:sz w:val="20"/>
        </w:rPr>
        <w:t>Sponsored Growth Lending:</w:t>
      </w:r>
      <w:r>
        <w:rPr>
          <w:rFonts w:ascii="Times New Roman" w:hAnsi="Times New Roman"/>
          <w:color w:val="000000"/>
          <w:sz w:val="20"/>
        </w:rPr>
        <w:t xml:space="preserve"> An attractive market opportunity exists for a lender that invests in secured loans to late and growth stage companies that have not yet achieved profitability, but often times have sustainable cash flow positive operations. Sponsored growth lending provides an attractive source of funds for venture-backed companies, their management teams, and their equity capital investors, as it: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is typically less dilutive and complements equity financing from venture capital and private equity funds;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often extends the time period during which a company can operate before seeking additional equity capital or pursuing a sale transaction or other liquidity event;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generally allows companies to better match cash sources with uses.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sz w:val="20"/>
        </w:rPr>
      </w:pPr>
      <w:r>
        <w:rPr>
          <w:rFonts w:ascii="Times New Roman" w:hAnsi="Times New Roman"/>
          <w:i/>
          <w:color w:val="000000"/>
          <w:sz w:val="20"/>
        </w:rPr>
        <w:t>Non-Sponsored Growth Lending:</w:t>
      </w:r>
      <w:r>
        <w:rPr>
          <w:rFonts w:ascii="Times New Roman" w:hAnsi="Times New Roman"/>
          <w:color w:val="000000"/>
          <w:sz w:val="20"/>
        </w:rPr>
        <w:t xml:space="preserve"> An attractive market opportunity exists for a lender that invests in secured loans to late and growth stage companies that have reached profitability and need long-term growth capital but do not want the challenges that come with selling equity to venture capital or private equity firms. Non-Sponsored Growth Lending often provides all or some of the following benefits to our borrowers: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access to growth capital without the requirement to take on institutional-size investments that may exceed the company’s capital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tax deductible interest payments;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 significant operational involvement;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 personal guarantees;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very modest dilution, if any;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 loss of managerial control or forced redemption.</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Large and Growing Market for Debt Financing to Venture Capital-Backed Companies</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Healthy, stable venture environment: </w:t>
      </w:r>
      <w:r>
        <w:rPr>
          <w:rFonts w:ascii="Times New Roman" w:hAnsi="Times New Roman"/>
          <w:color w:val="000000"/>
          <w:sz w:val="20"/>
        </w:rPr>
        <w:t>Approximately 14,716 companies received venture capital financing in 2025, according to the Pitchbook-NVCA Venture Monitor, a quarterly report published jointly by NVCA and Pitchbook on venture capital activity ("Pitchbook-NVCA"). Despite the broader economic challenges of 2025, we anticipate that the market for borrowers will gradually improve over the coming quarters. The venture debt lending market, as defined in the Q4 2025 Pitchbook-NVCA Venture Monitor, is estimated at $62.4 billion, or roughly 18.4% of total U.S. venture capital deal value.</w:t>
      </w:r>
    </w:p>
    <w:p>
      <w:pPr>
        <w:pStyle w:val="TextBody"/>
        <w:bidi w:val="0"/>
        <w:spacing w:before="0" w:after="240"/>
        <w:jc w:val="both"/>
        <w:rPr>
          <w:rFonts w:ascii="Times New Roman" w:hAnsi="Times New Roman"/>
          <w:sz w:val="20"/>
        </w:rPr>
      </w:pPr>
      <w:r>
        <w:rPr>
          <w:rFonts w:ascii="Times New Roman" w:hAnsi="Times New Roman"/>
          <w:i/>
          <w:color w:val="000000"/>
          <w:sz w:val="20"/>
        </w:rPr>
        <w:t>Growing pool of target companies:</w:t>
      </w:r>
      <w:r>
        <w:rPr>
          <w:rFonts w:ascii="Times New Roman" w:hAnsi="Times New Roman"/>
          <w:color w:val="000000"/>
          <w:sz w:val="20"/>
        </w:rPr>
        <w:t xml:space="preserve"> The time from initial venture capital investment to transaction exit of such investment, either by an initial public offering or merger and acquisition transaction, compressed slightly over the last couple of years but increased slightly in 2025 to an average of 6.2 years. According to the Pitchbook-NVCA Q4 2025 Venture Monitor, in 2025, the median number of years from initial venture investment to initial public offering of a U.S. venture capital-backed company was 7.4 years, and the median number of years from initial venture investment to merger and acquisition transaction was 4.7 years. Exit transactions are a small proportion of companies financed by venture capital each year. As a result, the pool of target companies has grown larger with increased demand for private capital.</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Highly Fragmented, Underserved Market with High Barriers to Entry</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Unfulfilled demand and limited competition: </w:t>
      </w:r>
      <w:r>
        <w:rPr>
          <w:rFonts w:ascii="Times New Roman" w:hAnsi="Times New Roman"/>
          <w:color w:val="000000"/>
          <w:sz w:val="20"/>
        </w:rPr>
        <w:t>Many viable venture-backed companies have been unable to obtain sufficient growth financing from traditional lenders, 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Competitive Advantages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we are well positioned to address the market for growth lending in a manner that will result in a competitive advantage over other established sponsored growth lenders. We believe our competitive strengths and key differentiators include: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sz w:val="20"/>
        </w:rPr>
      </w:pPr>
      <w:r>
        <w:rPr>
          <w:rFonts w:ascii="Times New Roman" w:hAnsi="Times New Roman"/>
          <w:b/>
          <w:i/>
          <w:color w:val="000000"/>
          <w:sz w:val="20"/>
        </w:rPr>
        <w:t>Experienced, Proven Management Team Supported by a Deep Bench of Dedicated Investment Professionals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RGC’s senior executive team, with an average of more than 35 years of experience, and our senior investment professionals, including origination and underwriting, with an average 21 years of experience, have developed a disciplined and repeatable approach to investing and managing investments in high-growth potential businesses. We believe that the experience, relationships and disciplined investment and risk management processes of RGC’s investment professionals are a competitive advantage for us.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President and Chief Executive Officer, David Spreng, who is also the founder and Chief Executive Officer of RGC,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Our Chief Financial Officer, Chief Operating Officer, Treasurer and Secretary, Thomas Raterman, has more than 30 years of corporate finance, investment banking, private equity and financial executive management experience with rapidly growing entrepreneurial companies. Greg Greifeld, Chief Investment Officer at RGC, has over 16 years of lending, venture capital, and investment management experience.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 has a broad team of professionals focused on every aspect of the investment lifecycle. RGC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 This team of experienced professionals is also complemented by our access to the teams of investment professionals at BC Partners Credit and across BC Partners’ integrated platform.</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Access to BC Partners Credit Platform</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We believe that access to BC Partners Credit and BC Partners’ credit investment platform (the "BC Partners Credit Platform") provides us with a strong competitive advantage. The BC Partners Credit Platform functions as an integrated business within the BC Partners organization, utilizing and benefiting from BC Partners’ existing infrastructure and other platforms, including its private equity investment platform. We believe that the BC Partners Credit Platform is synergistic and complementary to our business and will enable us to leverage its deal flow and sector knowledge, creating attractive new investment opportunities. BC Partners Credit’s ability to leverage scale and enhance sourcing capabilities throughout the credit cycle is anticipated to be supported by the resources and expertise available to it from its integration within the broader BC Partners organization, which allows BC Partners Credit to leverage a team of investment professionals across BC Partners’ private equity and other platforms, including operations teams, to which we have access.</w:t>
      </w:r>
    </w:p>
    <w:p>
      <w:pPr>
        <w:pStyle w:val="TextBody"/>
        <w:bidi w:val="0"/>
        <w:spacing w:before="120" w:after="240"/>
        <w:jc w:val="both"/>
        <w:rPr>
          <w:rFonts w:ascii="Times New Roman" w:hAnsi="Times New Roman"/>
          <w:sz w:val="20"/>
        </w:rPr>
      </w:pPr>
      <w:r>
        <w:rPr>
          <w:rFonts w:ascii="Times New Roman" w:hAnsi="Times New Roman"/>
          <w:b/>
          <w:i/>
          <w:color w:val="000000"/>
          <w:sz w:val="20"/>
        </w:rPr>
        <w:t>Provide Capital to Robust, High-Growth Venture-backed Companies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we are favorably positioned within the venture lending ecosystem, targeting primarily growth focused technology and healthcare companies. We believe the technology and healthcare industries are among the most attractive industries within the venture lending space, primarily representing large, addressable markets with strong and consistent growth. According to the Q4 2025 Pitchbook-NVCA Venture Monitor and Pitchbook-NVCA industry classifications, venture capital deal volume in the technology industry totaled approximately $313.8 billion in 2025, representing a 16.2% CAGR from 2015 to 2025. Venture capital deal volume in the life sciences industry totaled approximately $36.3 billion in 2025, representing an 8.0% CAGR from 2015 to 2025. We believe companies within these industries can often be characterized as having asset-light business models, attractive recurring revenue streams and strong growth trajectories.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invest across industries to diversify risk and deliver more stable returns. The investment professionals at RGC have extensive experience investing in the industries on which we focus, including technology, healthcare, business services, financial services, and select consumer services and products in other high-growth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w:t>
      </w:r>
    </w:p>
    <w:p>
      <w:pPr>
        <w:pStyle w:val="TextBody"/>
        <w:bidi w:val="0"/>
        <w:spacing w:before="120" w:after="240"/>
        <w:jc w:val="both"/>
        <w:rPr>
          <w:rFonts w:ascii="Times New Roman" w:hAnsi="Times New Roman"/>
          <w:sz w:val="20"/>
        </w:rPr>
      </w:pPr>
      <w:r>
        <w:rPr>
          <w:rFonts w:ascii="Times New Roman" w:hAnsi="Times New Roman"/>
          <w:b/>
          <w:i/>
          <w:color w:val="000000"/>
          <w:sz w:val="20"/>
        </w:rPr>
        <w:t>Robust, Disciplined Investment Process and Credit Analysis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believe the focused and disciplined approach that RGC applies to our lending strategy enables us to deliver strong, consistent returns to our investors. As of December 31, 2025, our debt portfolio is 99.3% first lien senior secured. Of our $3.3 billion total commitments since inception, our cumulative gross loss rate, as a percentage of total commitments since inception, has been 0.89% and our net losses, as a percentage of total commitments since inception, has been 0.61%. At the point of origination, our current portfolio companies have raised on average $156.8 million of equity proceeds relative to our average commitment size of $33.0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w:t>
      </w:r>
    </w:p>
    <w:p>
      <w:pPr>
        <w:pStyle w:val="TextBody"/>
        <w:bidi w:val="0"/>
        <w:spacing w:before="120" w:after="240"/>
        <w:jc w:val="both"/>
        <w:rPr>
          <w:rFonts w:ascii="Times New Roman" w:hAnsi="Times New Roman"/>
          <w:sz w:val="20"/>
        </w:rPr>
      </w:pPr>
      <w:r>
        <w:rPr>
          <w:rFonts w:ascii="Times New Roman" w:hAnsi="Times New Roman"/>
          <w:b/>
          <w:i/>
          <w:color w:val="000000"/>
          <w:sz w:val="20"/>
        </w:rPr>
        <w:t>Proprietary Risk Analytics and Return Optimization.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Over the past 20 years, RGC’s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w:t>
      </w:r>
    </w:p>
    <w:p>
      <w:pPr>
        <w:pStyle w:val="TextBody"/>
        <w:bidi w:val="0"/>
        <w:spacing w:before="120" w:after="240"/>
        <w:jc w:val="both"/>
        <w:rPr>
          <w:rFonts w:ascii="Times New Roman" w:hAnsi="Times New Roman"/>
          <w:sz w:val="20"/>
        </w:rPr>
      </w:pPr>
      <w:r>
        <w:rPr>
          <w:rFonts w:ascii="Times New Roman" w:hAnsi="Times New Roman"/>
          <w:b/>
          <w:i/>
          <w:color w:val="000000"/>
          <w:sz w:val="20"/>
        </w:rPr>
        <w:t>Flexible, Opportunity-Specific Pricing and Structure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("EBITDA") but have been unable to access sufficient capital to fund current growth opportunities. We believe that gaining a comprehensive picture of an opportunity based on RGC’s defined assessment factors allows us to be more flexible, to identify price and structure inefficiencies in the debt market, better support our portfolio companies, and to maximize loan and warrant returns, while minimizing losses. In our Sponsored Growth Lending and Non-Sponsored Growth Lending strategies, we target our loan to be less than 25% of enterprise value at inception.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sz w:val="20"/>
        </w:rPr>
      </w:pPr>
      <w:r>
        <w:rPr>
          <w:rFonts w:ascii="Times New Roman" w:hAnsi="Times New Roman"/>
          <w:b/>
          <w:i/>
          <w:color w:val="000000"/>
          <w:sz w:val="20"/>
        </w:rPr>
        <w:t>Strong Reputation and Deep Relationships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RGC’s senior investment professionals enjoy reputations as innovative thought leaders, ingrained in the fabric of the venture community. RGC’s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RGC’s senior investment professionals also have established a network of relationships over two decades with various venture capital firms, venture banks, institutional investors, entrepreneurs and other venture capital market participants, which has allowed RGC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Competition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primary competitors for investments include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qualify and maintain our qualification as a RIC. We do not compete primarily on the financing terms we offer and believe that some competitors make loans with rates that are comparable to or lower than our rates. For additional information concerning the competitive risks we face, see "Risk Factors – Risks Related to Our Business and Structure – We operate in a highly competitive market for investment opportunities and we may not be able to compete effectively." in Part I, Item 1A of this Form 10 K.</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Staffing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do not currently have any employees. R. David Spreng, our President and Chief Executive Officer, is also the founder, President and Chief Executive Officer of RGC. Thomas B. Raterman is our Chief Financial Officer, Chief Operating Officer, Treasurer, and Secretary, and serves as the Chief Financial Officer and Chief Operating Officer of RGC. Mr. Raterman performs his functions for us under the terms of our Administration Agreement. Our Board of Directors has appointed Colleen Corwell of Kroll Associates, Inc. to serve as our Chief Compliance Officer pursuant to an agreement between the Company and Kroll Associates, Inc. Ms. Corwell also serves as the Chief Compliance Officer for RGC pursuant to an agreement between RGC and Kroll Associates, Inc.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day-to-day investment and administrative operations are managed by RGC and our Administrator. The Investment Committee is supported by a team of additional experienced investment professionals. RGC and our Administrator may hire additional investment and administrative professionals in the future to provide services to us, based upon our needs.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we reimburse the Administrator for its costs and expenses and our allocable portion of overhead incurred by it in performing its obligations under the Administration Agreement, including rent and the allocable portion of the compensation paid to our Chief Compliance Officer and Chief Financial Officer and their respective staffs.</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Implications of Being an Emerging Growth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currently are, and expect to remain, an "emerging growth company," as that term is used in the JOBS Act until the earliest of:</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December 31, 2026, the last day of our fiscal year following the fifth anniversary of the closing of our IPO, which occurred on October 25, 2021;</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last day of the first fiscal year in which our annual gross revenues are equal to or greater than $1.235 billion;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on which we have, during the preceding three-year period, issued more than $1.0 billion in non-convertible debt;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date that we become a "large accelerated filer" as defined in Rule 12b</w:t>
        <w:noBreakHyphen/>
        <w:t>2 under the Exchange Act, which would occur if the market value of our common stock that is held by non-affiliates exceeds $700.0 million as of any June 30.</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Under the JOBS Act, we are exempt from the provisions of Section 404(b) of the Sarbanes-Oxley Act, which would require that our independent registered public accounting firm provide an attestation report on the effectiveness of our internal control over financial reporting. This may increase the risk that material weaknesses or other deficiencies in our internal control over financial reporting go undetected. See Part I, Item 1A of this Form 10</w:t>
        <w:noBreakHyphen/>
        <w:t>K "Risk Factors – Risks Related to Our Business and Structure – 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Certain U.S. Federal Income Tax Considerations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discussion is a general summary of certain U.S. federal income tax considerations applicable to us and to an investment in shares of our common stock. This discussion is based on the provisions of the Code and the regulations of the U.S. Department of Treasury promulgated thereunder, or "Treasury regulations," each as in effect as of the date of this Form 10</w:t>
        <w:noBreakHyphen/>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provisions are subject to differing interpretations and change by legislative or administrative action, and any change may be retroactive.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Internal Revenue Service (the "IRS") regarding any matter discussed herein.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"U.S. stockholder" is a beneficial owner of shares of our common stock that is for U.S. federal income tax purposes: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individual who is a citizen or resident of the United States;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corporation (or another entity taxable as a corporation) created or organized in or under the laws of the United States, any state thereof or the District of Columbia;</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 estate, the income of which is subject to U.S. federal income taxation regardless of its source; or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trust if a court within the United States is able to exercise primary jurisdiction over the administration of the trust and one or more U.S. persons have authority to control all substantial decisions of the trust.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"non-U.S. stockholder" means a beneficial owner of shares of our common stock that is for U.S. federal income tax purposes neither a U.S. stockholder nor partnership.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 partnership or other entity classified as a partnership, for U.S. federal income tax purposes, holds our shares, the U.S. tax treatment of the partnership and each partner generally will depend on the status of the partner, the activities of the partnership and certain determinations made at the partner level. A partnership considering an investment in our common stock should consult its own tax advisers regarding the U.S. federal income tax consequences of the acquisition, ownership and disposition of shares by the partnership.</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Taxation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elected to be treated as a RIC under subchapter M of the Code, and currently qualify and intend to continue to qualify for treatment as a RIC. As a RIC, we generally will not be subject to U.S. federal income taxes on any ordinary income or capital gains that we timely distribute to our stockholders as dividends.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qualify as a RIC, we must, among other things: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meet the Annual Distribution Requirement (defined below);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diversify our holdings so that, at the end of each quarter of each taxable year;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not more than 25% of the value of our total assets is invested in the securities of any issuer (other than U.S. Government securities and the securities of other RICs), the securities of any two or more issuers that we control and that are determined to be engaged in the same business or similar or related trades or businesses (other than the securities of other RICs), or the securities of one or more QPTPs, or the "Diversification Tests."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("SEC Certification"). We have not sought SEC Certification, but it is possible that we may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RIC, we must distribute an amount equal to at least the sum of (i) 90% of our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90% of our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U.S. federal income tax, including any nondeductible 4% U.S. federal excise tax described below, if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a nondeductible 4% U.S. federal excise tax on certain of our undistributed income, unless we timely distribute (or are deemed to have timely distributed) an amount equal to the sum of:</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least 98% of our ordinary income (not taking into account any capital gains or losses) for the calendar year;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least 98.2% of our capital gain net income for a one-year period generally ending on October 31 of the calendar year (unless an election is made by us to use our taxable year);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net ordinary income and capital gain net income that we recognized for preceding years, but were not distributed during such years, and on which we paid no U.S. federal income tax.</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While we intend to distribute any income and capital gains in order to avoid imposition of this nondeductible 4% U.S. federal excise tax, we may not be successful in avoiding entirely the imposition of this tax. In that case, we will be liable for the tax only on the amount by which we do not meet the foregoing distribution requirement.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"Regulation as a Business Development Company – Senior Securities" in Part I, Item 1 of this Form 10-K.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Failure to Qualify as a RIC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While we have elected to be treated as a RIC and intend to qualify to be treated as a RIC annually, no assurance can be provided that we will qualify for tax treatment as a RIC for any taxable year. If we fail to satisfy the 90% Gross Income Test or the Diversification Tests for any taxable year, we may nevertheless continue to qualify as a RIC for such year if certain relief provisions are applicable (which may, among other things, require us to pay certain U.S. federal income tax at the regular corporate rate or to dispose of certain assets). If we were unable to qualify for treatment as a RIC and the foregoing relief provisions are not applicable, we would be subject to tax on all of our taxable income at the regular corporate rate, regardless of whether we make any distributions to our stockholders. Distributions would not be required, and any distributions would be taxable to our stockholders as ordinary dividend income that, may qualify as qualified dividends that are subject to U.S. federal income tax at a rate of 20% to the extent of our current and accumulated earnings and profits provided certain holding period and other requirements were met. Subject to certain limitations under the Code, corporate distributees may be eligible for the dividends-received deduction.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remainder of this discussion assumes that we qualify as a RIC for each taxable year.</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Company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Debt Instruments. </w:t>
      </w:r>
      <w:r>
        <w:rPr>
          <w:rFonts w:ascii="Times New Roman" w:hAnsi="Times New Roman"/>
          <w:color w:val="000000"/>
          <w:sz w:val="20"/>
        </w:rPr>
        <w:t>In certain circumstances, we may be required to recognize taxable income prior to the time at which we receive cash. For example, if we hold debt instruments that are treated under applicable tax rules as having original issue discount (such as debt instruments with an end-of-term payment and/or payment-in-kind ("PIK") interest payment or, in certain cases, increasing interest rates or issued with warrants), we must include in taxable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Warrants. </w:t>
      </w:r>
      <w:r>
        <w:rPr>
          <w:rFonts w:ascii="Times New Roman" w:hAnsi="Times New Roman"/>
          <w:color w:val="000000"/>
          <w:sz w:val="20"/>
        </w:rPr>
        <w:t>Gain or loss realized by us from the sale or exchange of warrants acquired by us as well as any loss attributable to the lapse of such warrants generally are treated as capital gain or loss. The treatment of such gain or loss as long-term or short-term generally depends on how long we held a particular warrant and on the nature of the disposition transaction.</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Foreign Investments. </w:t>
      </w:r>
      <w:r>
        <w:rPr>
          <w:rFonts w:ascii="Times New Roman" w:hAnsi="Times New Roman"/>
          <w:color w:val="000000"/>
          <w:sz w:val="20"/>
        </w:rPr>
        <w:t>In the event we invest in foreign securities, we may be subject to withholding and other foreign taxes with respect to those securities. We do not expect to satisfy the requirement to pass through to our stockholders their share of the foreign taxes paid by us.</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Passive Foreign Investment Companies. </w:t>
      </w:r>
      <w:r>
        <w:rPr>
          <w:rFonts w:ascii="Times New Roman" w:hAnsi="Times New Roman"/>
          <w:color w:val="000000"/>
          <w:sz w:val="20"/>
        </w:rPr>
        <w:t xml:space="preserve">We may invest in the stock of a foreign corporation which is classified as a "passive foreign investment company" (within the meaning of Section 1297 of the Code), or "PFIC." As a result, we may be subject to U.S. federal income tax on a portion of any "excess distribution" or gain from the disposition of such shares. Additional charges in the nature of interest may be imposed on us in respect of deferred taxes arising from such distributions or gains.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(a "QEF"), in lieu of the foregoing requirements, we will be required to include in income each year a portion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income. Under either election, we may be required to recognize in a year income in excess of our distributions from PFICs and our proceeds from dispositions of PFIC stock during that year, and such income will nevertheless be subject to the Annual Distribution Requirement and will be taken into account for purposes of the 4% U.S. federal excise tax. No assurances can be given that any such election will be available or that, if available, we will make such an election. </w:t>
      </w:r>
    </w:p>
    <w:p>
      <w:pPr>
        <w:pStyle w:val="TextBody"/>
        <w:bidi w:val="0"/>
        <w:spacing w:before="0" w:after="240"/>
        <w:jc w:val="both"/>
        <w:rPr>
          <w:rFonts w:ascii="Times New Roman" w:hAnsi="Times New Roman"/>
          <w:sz w:val="20"/>
        </w:rPr>
      </w:pPr>
      <w:r>
        <w:rPr>
          <w:rFonts w:ascii="Times New Roman" w:hAnsi="Times New Roman"/>
          <w:i/>
          <w:color w:val="000000"/>
          <w:sz w:val="20"/>
        </w:rPr>
        <w:t>Controlled Foreign Corporations</w:t>
      </w:r>
      <w:r>
        <w:rPr>
          <w:rFonts w:ascii="Times New Roman" w:hAnsi="Times New Roman"/>
          <w:color w:val="000000"/>
          <w:sz w:val="20"/>
        </w:rPr>
        <w:t>. If we hold 10% or more of the shares in a foreign corporation that is treated as a controlled foreign corporation (within the meaning of Section 957 of the Code), or "CFC," we may 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United States shareholders. A "United States shareholder," for this purpose, is any U.S. person that possesses (actually or constructively) 10% or more of the combined voting power or 10% or more of the total value of all classes of shares of a corporation. If we are treated as receiving a deemed distribution from a CFC, we will be required to include such distribution in our investment company taxable income regardless of whether we receive any actual distributions from such CFC, and we must distribute such income to satisfy the Annual Distribution Requirement and will the income be taken into account for purposes of the 4% excise tax.</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Income inclusions from a QEF or CFC will be "good income" for purposes of the 90% Gross Income Test provided that they are derived in connection with our business of investing in stocks and securities or the QEF or CFC distributes such income to us in the same taxable year to which the income is included in our income.</w:t>
      </w:r>
    </w:p>
    <w:p>
      <w:pPr>
        <w:pStyle w:val="TextBody"/>
        <w:bidi w:val="0"/>
        <w:spacing w:before="0" w:after="240"/>
        <w:jc w:val="both"/>
        <w:rPr>
          <w:rFonts w:ascii="Times New Roman" w:hAnsi="Times New Roman"/>
          <w:sz w:val="20"/>
        </w:rPr>
      </w:pPr>
      <w:r>
        <w:rPr>
          <w:rFonts w:ascii="Times New Roman" w:hAnsi="Times New Roman"/>
          <w:i/>
          <w:color w:val="000000"/>
          <w:sz w:val="20"/>
        </w:rPr>
        <w:t xml:space="preserve">Foreign Currency Transactions. </w:t>
      </w:r>
      <w:r>
        <w:rPr>
          <w:rFonts w:ascii="Times New Roman" w:hAnsi="Times New Roman"/>
          <w:color w:val="000000"/>
          <w:sz w:val="20"/>
        </w:rPr>
        <w:t>Under Section 988 of the Code, gains or losses attributable to fluctuations in exchange rates which occur between 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Regulation as a Business Development Company</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General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elected to be regulated as a BDC under the 1940 Act. A BDC must be organized in the United States for the purpose of investing in or lending to primarily private companies and offering significant managerial assistance to them. A BDC may use capital provided by stockholders and from other sources to make long-term, private investments in businesses. A BDC provides stockholders the ability to retain the liquidity of a publicly traded stock while sharing in the possible benefits, if any, of investing in primarily privately-owned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BDC, we are generally required to meet an asset coverage ratio, defined under the 1940 Act as the ratio of our gross assets (less all liabilities and indebtedness not represented by senior securities) to our outstanding senior securities, of at least 150% (at least 200% prior to June 16, 2022) after each issuance of senior securities if certain requirements are met. On June 16, 2022, our stockholders approved the reduced asset coverage ratio at our 2022 annual meeting of stockholders. The reduced asset coverage ratio of 150% became effective upon receiving stockholder approval.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also be prohibited under the 1940 Act from knowingly participating in certain transactions with our affiliates without the prior approval of our directors who are not "interested persons," as defined in Section 2(a)(19) of the 1940 Act, of us, RGC or our respective affiliates and, in some cases, prior approval by the SEC.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do not intend to acquire securities issued by any investment company that exceed the limits imposed by the 1940 Act and the rules and regulations thereunder. Under these limits, we generally cannot acquire more than 3% of the voting stock of any registered investment company (as defined in the 1940 Act), invest more than 5% of the value of our total assets in the securities of one investment company, or invest more than 10% of the value of our total assets in the securities of more than one investment company. The SEC rules permit us to exceed these limits without obtaining exemptive relief if we comply with certain conditions. If we invest in securities issued by investment companies, if any, it should be noted that such investments might subject our stockholders to additional expenses as they will be indirectly responsible for the costs and expenses of such companies. Our investment portfolio is also subject to diversification requirements by virtue of our election to be treated as a RIC for U.S. federal income tax purposes and our intention to continue to operate in a manner so as to qualify for the tax treatment applicable to RICs. See "Risk Factors – Risks Related to Our Business and Structure" in Part I, Item 1A of this Form 10-K for more information.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generally not able to issue and sell our common stock at a price below net asset value per share. See "Risk Factors – Risks Related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 in Part I, Item 1A of this Form 10</w:t>
        <w:noBreakHyphen/>
        <w:t>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On August 10, 2020, we, RGC, and certain other funds and accounts sponsored or managed by RGC were granted the Order, as amended on August 30, 2022,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 On September 12, 2025, we, RGC and certain Affiliates applied for a new co-investment exemptive order from the SEC. There can be no assurances that the SEC will grant such relief. See "Business – Exemptive Relief" in Part I, Item 1 of this Form 10-K for additional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periodic examination by the SEC for compliance with the 1940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BDC, we are subject to certain risks and uncertainties. See "Risk Factors – Risks Related to Our Business and Structure" in Part I, Item 1A of this Form 10</w:t>
        <w:noBreakHyphen/>
        <w:t>K.</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Qualifying Assets</w:t>
      </w:r>
    </w:p>
    <w:p>
      <w:pPr>
        <w:pStyle w:val="TextBody"/>
        <w:bidi w:val="0"/>
        <w:jc w:val="both"/>
        <w:rPr>
          <w:rFonts w:ascii="Times New Roman" w:hAnsi="Times New Roman"/>
          <w:color w:val="000000"/>
          <w:sz w:val="20"/>
        </w:rPr>
      </w:pPr>
      <w:r>
        <w:rPr>
          <w:rFonts w:ascii="Times New Roman" w:hAnsi="Times New Roman"/>
          <w:color w:val="000000"/>
          <w:sz w:val="20"/>
        </w:rPr>
        <w:t>Under the 1940 Act, a BDC may not acquire any asset other than assets of the type listed in Section 55(a) of the 1940 Act, which are referred to as qualifying assets, unless, at the time the acquisition is made, qualifying assets represent at least 70% of the Company’s total gross assets. The principal categories of qualifying assets relevant to our business are any of the following: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 organized under the laws of, and has its principal place of business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 not an investment company (other than a small business investment company wholly owned by the BDC) or a company that would be an investment company but for certain exclusions under the 1940 Act;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satisfies any of the following: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does not have any class of securities that is traded on a national securities exchange;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has a class of securities listed on a national securities exchange, but has an aggregate market value of outstanding voting and non-voting common equity of less than $250.0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 controlled by a BDC or a group of companies including a BDC and the BDC has an affiliated person who is a director of the eligible portfolio company; 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 a small and solvent company having total assets of not more than $4.0 million and capital and surplus of not less than $2.0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Securities of any eligible portfolio company which we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Securities of an eligible portfolio company purchased from any person in a private transaction if there is no ready market for such securities and the Company already owns 60% of the outstanding equity of the eligible portfolio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Securities received in exchange for or distributed on or with respect to securities described in (1) through (4) above, or pursuant to the exercise of warrants or rights relating to such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cash equivalents, U.S. government securities or high-quality debt securities maturing in one year or less from the time of investment.</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addition, a BDC must be operated for the purpose of making investments in the types of securities described in (1), (2) or (3) above. Control, as defined by the 1940 Act, is presumed to exist where a BDC beneficially owns more than 25% of the outstanding voting securities of the portfolio company but may exist in other circumstances based on the facts and circumstances. The regulations defining qualifying assets may change over time. The Company may adjust its investment focus as needed to comply with and/or take advantage of any regulatory, legislative, administrative, or judicial actions.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Managerial Assistance to Portfolio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 BDC must have been organized and have its principal place of business in the United States and must be operated for the purpose of making investments in the types of securities described above in Qualifying Assets categories (1), (2) or (3). However, in order to count portfolio securities as qualifying assets for the purpose of the 70% test, the BDC must either control the issuer of the securities or must offer to make available to the issuer of the securities (other than small and solvent companies described above in Qualifying Assets category (1)(c)(iv))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We may also receive fees for these services. RGC may provide, or arrange for the provision of, such managerial assistance on our behalf to portfolio companies that request this assistance, subject to reimbursement of any fees or expenses incurred on our behalf by RGC in accordance with our Advisory Agreement.</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Temporary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RGC monitors the creditworthiness of the counterparties with which we enter into repurchase agreement transactions.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1940 Act, a BDC is subject to restrictions on the issuance, terms and number of warrants, options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stockholders authorize the proposal to issue such warrants, and the Board of Directors approves such issuance on the basis that the issuance is in our best interests and the stockholders best interests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Senior Securities; Coverage Ratio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generally permitted, under specified conditions, to issue multiple classes of indebtedness and one class of stock senior to our common stock if our asset coverage, as defined in the 1940 Act, is at least equal to 150% immediately after each such issuance. On June 16, 2022, our stockholders approved the reduced asset coverage ratio at our 2022 annual meeting of stockholders. The reduced asset coverage ratio of 150% became effective upon receiving stockholder approval.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purposes without regard to asset coverage. For a discussion of the risks associated with leverage, see "Risk Factors – Risks Related to Our Business and Structure – We may borrow money, which would magnify the potential for gain or loss on amounts invested and may increase the risk of investing in us." in Part I, Item 1A of this Form 10</w:t>
        <w:noBreakHyphen/>
        <w:t>K.</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Compliance Policies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 RGC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Colleen Corwell currently serves as our Chief Compliance Officer and is responsible for administering the policies and procedures.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Sarbanes-Oxley Act of 2002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Sarbanes-Oxley Act imposes a wide variety of regulatory requirements on publicly held companies and their insiders. Many of these requirements affect us.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Rule 13a</w:t>
        <w:noBreakHyphen/>
        <w:t>14 of the Exchange Act, our Chief Executive Officer and Chief Financial Officer must certify the accuracy of the consolidated financial statements contained in our periodic reports;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Item 307 of Regulation S-K, our periodic reports must disclose our conclusions about the effectiveness of our disclosure controls and procedures;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Rule 13a</w:t>
        <w:noBreakHyphen/>
        <w:t>15 of the Exchange Act, our management must prepare a report regarding its assessment of our internal control over financial reporting and, starting from the date on which we cease to be an emerging growth company under the JOBS Act, must obtain an audit of the effectiveness of internal control over financial reporting performed by our independent registered public accounting firm should we become an accelerated filer;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Item 308 of Regulation S-K and Rule 13a</w:t>
        <w:noBreakHyphen/>
        <w:t>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Proxy Voting Policies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delegated our proxy voting responsibility to RGC. The proxy voting policies and procedures of RGC are set forth below. The guidelines will be reviewed periodically by RGC and our independent directors, and, accordingly, are subject to change. For purposes of the Proxy Voting Policies and Procedures described below, "we," "our" and "us" refers to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an investment adviser registered under the Advisers Act, RGC has a fiduciary duty to act solely in the best interests of its clients. As part of this duty, RGC recognizes that it must vote client securities in a timely manner, free of conflicts of interest and in the best interests of our clients.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policies and procedures for voting proxies for RGC's investment advisory clients are intended to comply with Section 206 of, and Rule 206(4)</w:t>
        <w:noBreakHyphen/>
        <w:t>6 under, the Advisers Act.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Proxy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 will vote proxies relating to our portfolio securities in the best interest of its clients’ stockholders. RGC will review on a case-by-case basis each proposal submitted to a stockholder vote to determine its impact on the portfolio securities held by us. Although RGC will generally vote against proposals that may have a negative impact on its clients’ portfolio securities, RGC may vote for such a proposal if there exist compelling long-term reasons to do so.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RGC's proxy-voting decisions will be made by the senior officers who are responsible for monitoring each of its clients’ investments. To ensure that its vote is not the product of a conflict of interest, RGC will require that: (1) anyone involved in the decision-making process disclose to its management any potential conflict that he or she is aware of and any contact that he or she has had with any interested party regarding a proxy vote; and (2) employees involved in the decision-making process or vote administration are prohibited from revealing how RGC intend to vote on a proposal in order to reduce any attempted influence from interested parties.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Proxy Voting Records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You may obtain information about how we voted proxies by making a written request for proxy voting information to: Runway Growth Capital LLC, 205 N. Michigan Ave., Suite 4200, Chicago, IL 60601.</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Privacy Principles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our privacy policy, we do not disclose any non-public personal information about our stockholders or former stockholders to anyone, except as permitted by law, or as is necessary in order to service stockholder accounts (for example, to a transfer agent or third-party administrator).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collect non-public information about investors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information that we collect from our stockholders or former stockholders, as described above, only to our affiliates and service providers and only as allowed by applicable law or regulation. Any party that receives this information uses it only for the services required by us and as allowed by applicable law or regulation and is not permitted to share or use this information for any other purpose. To protect the non-public personal information of individuals, we restrict access to non-public personal information about our stockholders to employees of RGC and its affiliates with a legitimate business need for the information. In order to guard our stockholders’ non-public personal information, we maintain physical, electronic and procedural safeguards that are designed to comply with applicable law. Non-public personal information that we collect about our stockholders is generally stored on secured servers located in the United States. An individual stockholder’s right to privacy extends to all forms of contact with us, including telephone, written correspondence, and electronic media, such as the Internet.</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Reporting Obligations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furnish our stockholders with annual reports containing audited consolidated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annual reports on Form 10</w:t>
        <w:noBreakHyphen/>
        <w:t>K, quarterly reports on Form 10</w:t>
        <w:noBreakHyphen/>
        <w:t>Q, current reports on Form 8</w:t>
        <w:noBreakHyphen/>
        <w:t>K, as well as reports on Forms 3, 4 and 5 regarding directors, officers, or our 10% beneficial owners, filed or furnished pursuant to section 13(a), 15(d) or 16(a) of the Exchange Act, are available on our website free of charge (https://investors.runwaygrowth.com/financial-information/sec-filings).</w:t>
      </w:r>
    </w:p>
    <w:p>
      <w:pPr>
        <w:pStyle w:val="TextBody"/>
        <w:bidi w:val="0"/>
        <w:jc w:val="both"/>
        <w:rPr>
          <w:rFonts w:ascii="Times New Roman" w:hAnsi="Times New Roman"/>
          <w:sz w:val="20"/>
        </w:rPr>
      </w:pPr>
      <w:r>
        <w:rPr>
          <w:rFonts w:ascii="Times New Roman" w:hAnsi="Times New Roman"/>
          <w:color w:val="000000"/>
          <w:sz w:val="20"/>
        </w:rPr>
        <w:t>Stockholders and the public may also view any materials we file with the SEC on the SEC’s website (</w:t>
      </w:r>
      <w:r>
        <w:rPr>
          <w:rFonts w:ascii="Times New Roman" w:hAnsi="Times New Roman"/>
          <w:sz w:val="20"/>
        </w:rPr>
        <w:t>http://www.sec.gov</w:t>
      </w:r>
      <w:r>
        <w:rPr>
          <w:rFonts w:ascii="Times New Roman" w:hAnsi="Times New Roman"/>
          <w:color w:val="000000"/>
          <w:sz w:val="20"/>
        </w:rPr>
        <w: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0" w:after="240"/>
        <w:jc w:val="left"/>
        <w:rPr>
          <w:rFonts w:ascii="Times New Roman" w:hAnsi="Times New Roman"/>
          <w:color w:val="000000"/>
          <w:sz w:val="20"/>
        </w:rPr>
      </w:pPr>
      <w:bookmarkStart w:id="5" w:name="risk_factors"/>
      <w:bookmarkEnd w:id="5"/>
      <w:r>
        <w:rPr>
          <w:rFonts w:ascii="Times New Roman" w:hAnsi="Times New Roman"/>
          <w:color w:val="000000"/>
          <w:sz w:val="20"/>
        </w:rPr>
        <w:t>Item 1A. Risk Factors.</w:t>
      </w:r>
      <w:bookmarkStart w:id="6" w:name="item1ariskfactors_767097"/>
      <w:bookmarkEnd w:id="6"/>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risk factors described below are a summary of the principal risk factors associated with an investment in us. These are not the only risks we face. You should carefully consider these risk factors, together with the risk factors set forth in the following section, Item 1A. of this Annual Report on Form 10-K, and the other reports and documents filed by us with the SEC.</w:t>
      </w:r>
    </w:p>
    <w:p>
      <w:pPr>
        <w:pStyle w:val="TextBody"/>
        <w:bidi w:val="0"/>
        <w:spacing w:before="120" w:after="240"/>
        <w:jc w:val="both"/>
        <w:rPr>
          <w:rFonts w:ascii="Times New Roman" w:hAnsi="Times New Roman"/>
          <w:color w:val="000000"/>
          <w:sz w:val="20"/>
          <w:u w:val="single"/>
        </w:rPr>
      </w:pPr>
      <w:r>
        <w:rPr>
          <w:rFonts w:ascii="Times New Roman" w:hAnsi="Times New Roman"/>
          <w:color w:val="000000"/>
          <w:sz w:val="20"/>
          <w:u w:val="single"/>
        </w:rPr>
        <w:t>Risks Related to the Economy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Political, social and economic uncertainty creates and exacerbates risks.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 in the capital markets may cause unstable economic conditions. Such market conditions may materially and adversely affect debt and equity capital markets, which may have a negative impact on our business and operations.</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Economic recessions or downturns could impair our portfolio companies and harm our operating results.</w:t>
      </w:r>
    </w:p>
    <w:p>
      <w:pPr>
        <w:pStyle w:val="TextBody"/>
        <w:bidi w:val="0"/>
        <w:spacing w:before="240" w:after="240"/>
        <w:jc w:val="both"/>
        <w:rPr>
          <w:rFonts w:ascii="Times New Roman" w:hAnsi="Times New Roman"/>
          <w:color w:val="000000"/>
          <w:sz w:val="20"/>
          <w:u w:val="single"/>
        </w:rPr>
      </w:pPr>
      <w:r>
        <w:rPr>
          <w:rFonts w:ascii="Times New Roman" w:hAnsi="Times New Roman"/>
          <w:color w:val="000000"/>
          <w:sz w:val="20"/>
          <w:u w:val="single"/>
        </w:rPr>
        <w:t>Risks Related to Our Business and Structure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investment portfolio is recorded at fair value, with our Board of Directors determining, in good faith, the fair value of our investment portfolio and, as a result, there is uncertainty as to the value of our portfolio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condition and results of operations depend on our ability to effectively manage and deploy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highly competitive market for investment opportunities and we may not be able to compete effectively.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need to raise additional capital to grow because we must distribute most of our income.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defaults under our Credit Facility or other borrowings, including the July 2027, April 2028 or February 2031 Notes, could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to risks associated with our investments in senior loans, junior debt securities and covenant-lite loans.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risks associated with artificial intelligence and machine learning technology.</w:t>
      </w:r>
    </w:p>
    <w:p>
      <w:pPr>
        <w:pStyle w:val="TextBody"/>
        <w:bidi w:val="0"/>
        <w:spacing w:before="360" w:after="240"/>
        <w:jc w:val="both"/>
        <w:rPr>
          <w:rFonts w:ascii="Times New Roman" w:hAnsi="Times New Roman"/>
          <w:color w:val="000000"/>
          <w:sz w:val="20"/>
          <w:u w:val="single"/>
        </w:rPr>
      </w:pPr>
      <w:r>
        <w:rPr>
          <w:rFonts w:ascii="Times New Roman" w:hAnsi="Times New Roman"/>
          <w:color w:val="000000"/>
          <w:sz w:val="20"/>
          <w:u w:val="single"/>
        </w:rPr>
        <w:t>Risks Related to Our Investments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investments are very risky and highly speculative.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Investing in high growth-potential, private companies involves a high degree of risk, and our financial results may be affected adversely if one or more of our significant portfolio investments defaults on its loans or fails to perform as we expect.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strategy focused primarily on privately held companies presents certain challenges, including the lack of available information about these companies and a greater vulnerability to economic downturns.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Inflation may adversely affect our and our portfolio companies’ business, results of operations and financial condition.</w:t>
      </w:r>
    </w:p>
    <w:p>
      <w:pPr>
        <w:pStyle w:val="TextBody"/>
        <w:bidi w:val="0"/>
        <w:spacing w:before="360" w:after="240"/>
        <w:jc w:val="both"/>
        <w:rPr>
          <w:rFonts w:ascii="Times New Roman" w:hAnsi="Times New Roman"/>
          <w:color w:val="000000"/>
          <w:sz w:val="20"/>
          <w:u w:val="single"/>
        </w:rPr>
      </w:pPr>
      <w:r>
        <w:rPr>
          <w:rFonts w:ascii="Times New Roman" w:hAnsi="Times New Roman"/>
          <w:color w:val="000000"/>
          <w:sz w:val="20"/>
          <w:u w:val="single"/>
        </w:rPr>
        <w:t>Risks Related to Our Conflicts of Interest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are significant potential conflicts of interest which could impact our investment returns.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RGC’s liability is limited under the Advisory Agreement and we have agreed to indemnify RGC against certain liabilities, which may lead RGC to act in a riskier manner on our behalf than it would when acting for its own account.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color w:val="000000"/>
          <w:sz w:val="20"/>
          <w:u w:val="single"/>
        </w:rPr>
      </w:pPr>
      <w:r>
        <w:rPr>
          <w:rFonts w:ascii="Times New Roman" w:hAnsi="Times New Roman"/>
          <w:color w:val="000000"/>
          <w:sz w:val="20"/>
          <w:u w:val="single"/>
        </w:rPr>
        <w:t>Risks Related to Our Common Stock</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Shares of our common stock have traded at a discount from net asset value and may do so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stockholder’s interest in us will be diluted if we issue additional shares, which could reduce the overall value of an investment in us. </w:t>
      </w:r>
    </w:p>
    <w:p>
      <w:pPr>
        <w:pStyle w:val="TextBody"/>
        <w:bidi w:val="0"/>
        <w:spacing w:before="120" w:after="240"/>
        <w:jc w:val="both"/>
        <w:rPr>
          <w:color w:val="000000"/>
        </w:rPr>
      </w:pPr>
      <w:r>
        <w:rPr>
          <w:color w:val="000000"/>
        </w:rPr>
        <w: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Sales of substantial amounts of our common stock in the public market may have an adverse effect on the market price of our common stock.</w:t>
      </w:r>
    </w:p>
    <w:p>
      <w:pPr>
        <w:pStyle w:val="TextBody"/>
        <w:bidi w:val="0"/>
        <w:spacing w:before="120" w:after="240"/>
        <w:jc w:val="both"/>
        <w:rPr>
          <w:rFonts w:ascii="Times New Roman" w:hAnsi="Times New Roman"/>
          <w:color w:val="000000"/>
          <w:sz w:val="20"/>
          <w:u w:val="single"/>
        </w:rPr>
      </w:pPr>
      <w:r>
        <w:rPr>
          <w:rFonts w:ascii="Times New Roman" w:hAnsi="Times New Roman"/>
          <w:color w:val="000000"/>
          <w:sz w:val="20"/>
          <w:u w:val="single"/>
        </w:rPr>
        <w:t>Risks Related to RIC Tax Treatment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will be subject to U.S. federal income tax at the regular corporate rate if we are unable to qualify as a RIC.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have difficulty paying our required distributions if we recognize income before or without receiving cash representing such income.</w:t>
      </w:r>
    </w:p>
    <w:p>
      <w:pPr>
        <w:pStyle w:val="TextBody"/>
        <w:bidi w:val="0"/>
        <w:spacing w:before="360" w:after="240"/>
        <w:jc w:val="both"/>
        <w:rPr>
          <w:rFonts w:ascii="Times New Roman" w:hAnsi="Times New Roman"/>
          <w:color w:val="000000"/>
          <w:sz w:val="20"/>
          <w:u w:val="single"/>
        </w:rPr>
      </w:pPr>
      <w:r>
        <w:rPr>
          <w:rFonts w:ascii="Times New Roman" w:hAnsi="Times New Roman"/>
          <w:color w:val="000000"/>
          <w:sz w:val="20"/>
          <w:u w:val="single"/>
        </w:rPr>
        <w:t>Risks Relating to the Mergers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Sales of shares of our common stock after the consummation of the proposed transactions that will result in SWK Holdings Corporation ("SWK") merging with and into us (the "Mergers") pursuant to an Agreement and Plan of Merger (the "Merger Agreement"), dated October 9, 2025 by and among us, RWAY Portfolio Holding Corp., RWAY Portfolio Corp., Runway Growth Capital LLC and SWK may cause the market price of our common stock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stockholders will experience a reduction in percentage ownership and voting power in the combined company as a result of the Mergers.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unable to realize the benefits anticipated by the Mergers, including estimated cost savings, or it may take longer than anticipated to achieve such benefits.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Mergers may trigger certain "change of control" provisions and other restrictions in our or SWK’s contracts or contracts of our respective affiliates, and the failure to obtain any required consents or waivers could adversely impact the combined company.</w:t>
      </w:r>
    </w:p>
    <w:p>
      <w:pPr>
        <w:pStyle w:val="TextBody"/>
        <w:bidi w:val="0"/>
        <w:spacing w:before="360" w:after="240"/>
        <w:jc w:val="both"/>
        <w:rPr>
          <w:rFonts w:ascii="Times New Roman" w:hAnsi="Times New Roman"/>
          <w:color w:val="000000"/>
          <w:sz w:val="20"/>
          <w:u w:val="single"/>
        </w:rPr>
      </w:pPr>
      <w:r>
        <w:rPr>
          <w:rFonts w:ascii="Times New Roman" w:hAnsi="Times New Roman"/>
          <w:color w:val="000000"/>
          <w:sz w:val="20"/>
          <w:u w:val="single"/>
        </w:rPr>
        <w:t>General Risks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experience fluctuations in our quarterly and annual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intervention in the credit markets could adversely affect our business.</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Risks Related to the Economy</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Political, social and economic uncertainty creates and exacerbates risks.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Social, political, economic and other conditions and events (such as natural disasters, epidemics and pandemics, terrorism, conflicts and social unrest) will occur that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Uncertainty can result in or coincide with, among other things: increased volatility in the financial markets for securities, derivatives, loans, credit and currency; a decrease in the reliability of market prices and difficulty in valuing assets (including portfolio company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 </w:t>
      </w:r>
    </w:p>
    <w:p>
      <w:pPr>
        <w:pStyle w:val="TextBody"/>
        <w:bidi w:val="0"/>
        <w:spacing w:before="120" w:after="240"/>
        <w:jc w:val="both"/>
        <w:rPr>
          <w:rFonts w:ascii="Times New Roman" w:hAnsi="Times New Roman"/>
          <w:sz w:val="20"/>
        </w:rPr>
      </w:pPr>
      <w:r>
        <w:rPr>
          <w:rFonts w:ascii="Times New Roman" w:hAnsi="Times New Roman"/>
          <w:b/>
          <w:i/>
          <w:color w:val="000000"/>
          <w:sz w:val="20"/>
        </w:rPr>
        <w:t>Disruption in the capital markets may cause unstable economic conditions. Such market conditions may materially and adversely affect debt and equity capital markets, which may have a negative impact on our business and operations.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capital markets have experienced extreme volatility in recent periods, and as a result, there has been and may continue to be uncertainty in the financial markets in general. Unpredictable general economic conditions may materially and adversely impact the broader financial and credit markets which could reduce the availability of debt and equity capital for the market as a whole. These conditions could continue for a prolonged period of time or worsen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It is difficult to predict the full impact that unstable market conditions may have on our business. The extent of such impact will depend on future developments, which are highly uncertain and current market conditions, and the related adverse local and national economic consequences, we could be subject to any of the following risks, any of which could have a material, adverse effect on our business, financial condition, liquidity, and results of operations: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Unstable market conditions may make it difficult to raise equity capital because, subject to some limited exceptions, as a BDC, we are generally not able to issue additional shares of our common stock at a price less than the NAV per share without first obtaining approval for such issuance from our stockholders and our independent directors. In addition, these market conditions may make it difficult to access or obtain new indebtedness with similar terms to our existing indebtedness.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Significant changes or volatility in the capital markets may also have a negative effect on the valuations of our investments. While most of our investments are not publicly traded, applicable accounting standards require us to assume as part of our valuation process that our investments are sold in a principal market to market participants (even if we plan on holding an investment through its maturity).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changes in the capital markets may adversely affect the pace of our investment activity and economic activity generally.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 current period of capital markets disruption and economic uncertainty may make it difficult to extend the maturity of, or refinance, our existing indebtedness or obtain new indebtedness and any failure to do so could have a material adverse effect on our business, financial condition or 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Current market conditions may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Economic recessions or downturns could impair our portfolio companies and harm our operating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Many of the portfolio companies in which we make investments may be susceptible to economic slowdowns or recessions and may be unable to repay the loans we made to them during these periods.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In similar fashion, increasing or excessive levels of inflation and rising interest rates could also impair our portfolio companies cash flow and operations. These events could prevent us from increasing investments and harm our operating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pStyle w:val="TextBody"/>
        <w:bidi w:val="0"/>
        <w:spacing w:before="120" w:after="240"/>
        <w:jc w:val="both"/>
        <w:rPr>
          <w:rFonts w:ascii="Times New Roman" w:hAnsi="Times New Roman"/>
          <w:sz w:val="20"/>
        </w:rPr>
      </w:pPr>
      <w:r>
        <w:rPr>
          <w:rFonts w:ascii="Times New Roman" w:hAnsi="Times New Roman"/>
          <w:b/>
          <w:i/>
          <w:color w:val="000000"/>
          <w:sz w:val="20"/>
        </w:rPr>
        <w:t>Further downgrades of the U.S. credit rating could negatively impact our liquidity, financial conditions and earnings and the impact of any government budgetary disruptions.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U.S. debt ceiling and budget deficit concerns have raised the possibility of additional credit-rating downgrades and economic slowdowns in the United States and globally. Congress has passed legislation to raise the debt ceiling on several recent occasions, but there is no guarantee that any such legislation will be passed in the future. Despite such actions to suspend the debt ceiling, ratings agencies may consider lowering the long-term sovereign credit rating of the United States. Downgrades by rating agencies to the U.S. government’s credit rating or concerns about its credit and deficit levels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 In addition, disputes over the federal budget have in the past and may in the future cause the U.S. federal government to shut down for periods of time. Such adverse political and economic conditions could have a material adverse impact on our business, financial condition and results of operations.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Global economic, political and market conditions may adversely affect our business, financial condition and results of operations, including our revenue growth and profitability.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Uncertainty and instability in global financial markets may pose a risk to our business. Financial markets have been affected at times by a number of global macroeconomic events, including the following: large sovereign debts and fiscal deficits of several countries in Europe and in emerging markets jurisdictions, the effect of the United Kingdom (the "U.K.") leaving the European Union (the "EU"), instability in the Chinese capital markets and the residual effects of the COVID-19 pandemic, such as inflation and supply chain issues. Global market and economic disruptions have affected, and may in the future affect, the U.S. capital markets, which could adversely affect our business, financial condition or results of operations. We cannot assure you that market disruptions in Europe and other regions or countries, including the increased cost of funding for certain governments and financial institutions, will not impact the global economy, and we cannot assure you that global economic instability will not adversely impact our business. Specifically, such instability may cause sector-specific and broad-based corrections and/or downturns in the equity and credit markets. Any of the foregoing could have a significant impact on the markets in which we operate and could have a material adverse impact on our business prospects and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Various social and political circumstances in the U.S. and around the world (including wars and other forms of conflict, including rising trade tensions between the United States and China, and other uncertainties regarding actual and potential shifts in the United States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United States and worldwide. Specifically, the ongoing conflict between Russia and Ukraine,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ongoing conflict in the Middle East and the resulting market volatility, could adversely affect our business, financial condition or results of operations. In response to the conflict between Russia and Ukraine, the United States and other countries have imposed sanctions and taken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These market and economic disruptions could also negatively impact the operating results of our portfolio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Additionally, the Federal Reserve may further raise, or may announce its intention to further raise, the Federal Funds Rate in 2026. These developments, along with the United States government’s credit and deficit concerns, global economic uncertainties and market volatility could cause interest rates to be volatile, which may negatively impact our ability to access the debt markets and capital markets on favorable terms.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Changes to U.S. tariff and import/export regulations may have a negative effect on our portfolio companies and, in turn, negatively impact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There has been ongoing discussion and commentary regarding significant changes to U.S. trade policies, treaties and tariffs. The current U.S. presidential administration, along with the U.S. Congress, has created significant uncertainty about the future relationship between the United States and certain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or the cost of such goods and have a material adverse effect on their business, financial condition and results of operations, which in turn could negatively impact us.</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Risks Related to Our Business and Structure</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investment portfolio is recorded at fair value, with our Board of Directors determining, in good faith, the fair value of our investment portfolio and, as a result, there is uncertainty as to the value of our portfolio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 the 1940 Act, we are required to carry our portfolio investments at market value or, if there is no readily available market value, at fair value as determined by our Board of Directors. Typically, there will not be a public market for the securities of the privately held companies in which we invest. As a result, our Board of Directors values these securities quarterly at fair value based on input from management, a third-party independent valuation firm and the audit committee of our Board of Directors (the "Audit Committee"). The fair value of such securities may meaningfully change between the date of the fair value determination by our Board of Directors, as assisted by third-party independent valuation firms and the Audit Committee, and the release of the financial results for the corresponding period and/or the next date at which fair value is determined.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of our common stock during a period in which the net asset value understates the value of our investments will receive a lower price for their shares of our common stock than the value of our investments might warrant.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financial condition and results of operations depend on our ability to effectively manage and deploy capital.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ability to achieve our investment objective depends on our ability to effectively manage and deploy capital, which depends, in turn, on RGC’s ability to identify, originate, evaluate and monitor, and our ability to finance and invest in, companies that meet our investment criteria.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Accomplishing our investment objective on a cost-effective basis is largely a function of RGC’s handling of the investment process, its ability to provide competent, attentive and efficient services and our access to investments offering acceptable terms. In addition to monitoring the performance of our existing investments and other responsibilities under the Advisory Agreement, RGC’s investment team may also be called upon, from time to time, to provide managerial assistance to some of our portfolio companies. These demands may distract our investment team or slow the rate at which we may make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Even if we are able to grow and build upon our investment portfolio, any failure to manage our growth effectively could have a material adverse effect on our business, financial condition, results of operations and prospects. Our results of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We operate in a highly competitive market for investment opportunities and we may not be able to compete effectively.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primary competitors for investments include both existing and newly formed debt, and to a lesser extent equity, focused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 lower cost of capital and access to funding sources that are not available to us. In addition, some of our competitors may have higher risk tolerances or different risk assessments than we have, which could allow them to consider a wider variety of investments and establish more relationships than we can. Furthermore, many of our competitors are not subject to the regulatory restrictions that the 1940 Act imposes on us as a BDC or to the distribution and other requirements we must satisfy to maintain our ability to be subject to taxation as a RIC. These characteristics could allow our competitors to consider a wider variety of investments, establish more relationships and offer better pricing and more flexible structuring than we are able to offer. In recent years, substantial investor capital has been allocated to the private credit and direct lending asset classes, creating and increasing competition among lenders. Increased competition across all segments of the private credit and direct lending markets has reduced credit spreads, and along with historically low interest rates, has reduced investment yields and resulted in more borrower friendly terms and conditions. For instance, typically when interest rates are low and a credit cycle extended, new entrants will enter traditionally higher yielding markets creating additional competition and pressures and temporarily compressing yields. We believe the credit markets, and in particular the market for our lending strategies, are presently experiencing such pressures. New competitors, including established private credit platforms in other segments, have entered the sponsored and non-sponsored growth lending market and a similar competitive dynamic is possible. While their entry may or may not be permanent, their entry could lead to competitive pressure on our investment yields and other terms and conditions in the short-term.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do not compete primarily on the financing terms we offer and some competitors make loans with rates that are comparable or lower than our rates. We may lose some investment opportunities if we do not match our competitors’ pricing, terms and structure. However, if we match our competitors’ pricing, terms and structure, we may experience decreased net interest income, lower yields and increased risk of credit loss. As a result of this competition, we may not be able to take advantage of attractive investment opportunities from time to time, and we may not be able to identify and make investments that are consistent with our investment objective. The competitive pressures we face may have a material adverse effect on our financial condition, results of operations and cash flows.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depend upon RGC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RGC fails to maintain such existing relationships, or to develop new relationships with other sources of investment opportunities, we may not be able to grow our investment portfolio. In addition, individuals with whom RGC has relationships are not obligated to provide us with investment opportunities, and we can offer no assurance that these relationships will generate investment opportunities for us in the future. The failure of RGC to maintain existing relationships, grow new relationships, or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any of those relationships to generate investment opportunities could have an adverse effect on our business, financial condition and results of operations.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We are dependent upon RGC’s key personnel for our future success.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depend on the diligence, skill and investment acumen of R. David Spreng, the founder and Chief Executive Officer of RGC, along with the senior officers and other investment professionals at RGC, including Thomas Raterman, Chief Operating Officer and Chief Financial Officer, and Greg Greifeld, Chief Investment Officer at RGC. Mr. Spreng, Mr. Raterman, Mr. Greifeld and the other members of RGC’s senior management evaluate, negotiate, structure, close and monitor our investments. Our future success depends on the continued service of these members of RGC’s senior management. We cannot assure you that unforeseen business, medical, personal or other circumstances would not lead any such individual to terminate his or her relationship with us. The loss of Mr. Spreng, Mr. Raterman, Mr. Greifeld and/or any of the other members of RGC’s senior management could have a material adverse effect on our ability to achieve our investment objective as well as on our financial condition and results of operations. In addition, we can offer no assurance that RGC will continue indefinitely as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members of RGC’s senior management are and may in the future become affiliated with entities engaged in business activities similar to those intended to be conducted by us and may have conflicts of interest in allocating their time. RGC may also manage and sub-advise private investment funds and accounts, and may manage other such funds and accounts in the future, which have investment mandates that are similar, in whole or in part, with ours. Accordingly, RGC’s senior management may have obligations to investors in those entities, the fulfillment of which might not be in the best interests of us or our stockholders. For example, RGC’s senior management may face conflicts of interest in the allocation of investment opportunities to us and such other existing and future funds and accounts.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success depends on the ability of RGC to attract and retain qualified personnel in a competitive environment.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growth requires that RGC retains and attracts new investment and administrative personnel in a competitive market. RGC’s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venture capital funds, private equity funds and mezzanine funds) and traditional financial services companies, with which RGC competes for experienced personnel have greater resources than it possesses, which could have a negative impact on RGC’s ability to attract and retain qualified personnel and, as a result, have a material adverse effect on our business and results of operations.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 compensation we pay to RGC and our Administrator was not determined on an arm’s-length basis. Thus, the terms of such compensation may be less advantageous to us than if such terms had been the subject of arm’s-length negotiations.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compensation we pay to RGC and our Administrator was not determined on an arm’s-length basis with an unaffiliated third party. As a result, the form and amount of such compensation may be less favorable to us than if the respective agreements had been entered into through arm’s-length transactions with an unaffiliated third party. In addition, we may choose not to enforce, or to enforce less vigorously, our respective rights and remedies under the Advisory Agreement and the Administration Agreement because of our desire to maintain our ongoing relationship with RGC, our Administrator and their respective affiliates. Any such decision, however, could cause us to breach our fiduciary obligations to our stockholders.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management fee may induce RGC to purchase assets with borrowed funds and to use leverage despite any enhanced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management fee payable by us to RGC may create an incentive for RGC to purchase assets with borrowed funds when it is unwise to do so or to pursue investments on our behalf that are riskier or more speculative than would be the case in the absence of such compensation arrangement. The management fee payable to RGC is calculated based on the amount of our gross assets, which includes assets purchased with borrowed funds or other forms of leverage. Under certain circumstances, the use of leverage may increase the likelihood of default, which would impair the value of our common stock.</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The capital gains portion of our incentive fee may induce RGC to make speculative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 receives the incentive fee based, in part, upon net capital gains realized on our investments. Under the incentive fee structure, RGC may benefit when we recognize capital gains and, because RGC, in certain circumstances, will determine when to sell an investment, RGC will control the timing of the recognition of such capital gains. As a result, in certain situations RGC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A general increase in interest rates will likely have the effect of making it easier for RGC to receive incentive fees, without necessarily resulting in an increase in our net earnings.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Given the structure of the Advisory Agreement, any general increase in interest rates can be expected to lead to higher interest rates applicable to our debt investments and will likely have the effect of making it easier for RGC to meet the quarterly hurdle rate for payment of income incentive fees under the Advisory Agreement without any additional increase in relative performance on the part of RGC. This may occur without a corresponding increase in distributions to our stockholders. In addition, in view of the catch-up provision applicable to income incentive fees under the Advisory Agreement, RGC could potentially receive a significant portion of the increase in our investment income attributable to such a general increase in interest rates. If that were to occur, our increase in net earnings, if any, would likely be significantly smaller than the relative increase in RGC’s income incentive fee resulting from such a general increase in interest rates.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RGC has the right, under the Advisory Agreement, to resign at any time upon not more than 60 days’ written notice, regardless of whether we have found a replacement. Similarly, our Administrator has the right under the Administration Agreement to resign at any time upon not more than 60 days’ written notice, regardless of whether we have found a replacement. If RGC or our Administrator were to resign, we may not be able to find a new investment adviser or administrator or hire internal management with similar expertise and ability to provide the same or equivalent services on acceptable terms prior to the resignation of RGC or our Administrator, or at all. If we are unable to do so quickly, our operations are likely to experience a disruption, our financial condition, business and results of operations, as well as our ability to pay distributions, are likely to be materially and adversely affected. In addition, the coordination of our internal management and investment or administrative activities, as applicable, are likely to suffer if we are unable to identify and reach an agreement with a single institution or group of executives having the expertise possessed by RGC, our Administrator and their respective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results of operations and cash flows.</w:t>
      </w:r>
    </w:p>
    <w:p>
      <w:pPr>
        <w:pStyle w:val="TextBody"/>
        <w:bidi w:val="0"/>
        <w:spacing w:before="120" w:after="240"/>
        <w:jc w:val="both"/>
        <w:rPr>
          <w:rFonts w:ascii="Times New Roman" w:hAnsi="Times New Roman"/>
          <w:sz w:val="20"/>
        </w:rPr>
      </w:pPr>
      <w:r>
        <w:rPr>
          <w:rFonts w:ascii="Times New Roman" w:hAnsi="Times New Roman"/>
          <w:b/>
          <w:i/>
          <w:color w:val="000000"/>
          <w:sz w:val="20"/>
        </w:rPr>
        <w:t>We may need to raise additional capital to grow because we must distribute most of our income.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need additional capital to fund growth in our investments. A reduction in the availability of new capital could limit our ability to grow. We must distribute at least 90% of our investment company taxable income to our stockholders to maintain our tax treatment as a RIC. As a result, any such cash earnings may not be available to fund investment originations. We have and may, in the future, borrow under debt facilities from financial institutions and issue additional debt and equity securities. If we fail to obtain funds from such sources or from other sources to fund our investments, it could limit our ability to grow, which may have an adverse effect on the value of our securities. In addition, as a BDC, our ability to borrow or issue preferred stock may be restricted if our total assets are less than 150% of our total borrowings and preferred stock. See "Risk Factors – Risks Related to Our Business and Structure – Regulations governing our operation as a BDC affect our ability to raise additional capital and the way in which we do so. As a BDC, the necessity of raising additional capital may expose us to risks, including the typical risks associated with leverage."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shares of BDCs have recently traded at discounts to their net asset values. If our common stock trades below its net asset value, we will not be able to issue additional shares of our common stock at its market price without first obtaining the approval for such issuance from our stockholders and our independent directors. If additional funds are not available to us, we could be forced to curtail or cease new lending and investment activities and our net asset value could decline.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reduction in the availability of new capital or an inability on our part to access the capital markets successfully could limit our ability to grow our business and execute our business strategy fully and decrease our earnings, if any, which could have a material adverse effect on our business, financial condition, results of operations and cash flows.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Any failure on our part to maintain our status as a BDC or fail to qualify as a RIC would reduce our operating flexibility.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1940 Act imposes numerous constraints on the operations of BDCs. For example, BDCs are required to invest at least 70% of their gross assets in specified types of  "qualifying assets," primarily in private U.S. companies or thinly-traded U.S. public companies, cash, cash equivalents, U.S. government securities and other high-quality debt investments that mature in one year or less. In addition, subject to certain limited exceptions, an investment in an issuer that has outstanding securities listed on a national exchange may be treated as a qualifying asset only if such issuer has a market capitalization that is less than $250.0 million at the time of such investment. Moreover, as a RIC, the treatment for which we intend to qualify annually, we are required to satisfy certain source-of-income, diversification and distribution requirements. Therefore, we may be precluded from investing in what we believe are attractive investments if such investments are not qualifying assets. Conversely, if we fail to invest a sufficient portion of our assets in qualifying assets, we could lose our status as a BDC, which would have a material adverse effect on our business, financial condition and results of operations. Similarly, these constraints could prevent us from making additional investments in existing portfolio companies, which could result in the dilution of our position, or could require us to dispose of investments at an inopportune time to comply with the 1940 Act. If we were forced to sell non-qualifying investments in the portfolio for compliance purposes, the proceeds from such sale could be significantly less than the current value of such investments. These constraints, among others, may hinder our ability to take advantage of attractive investment opportunities and to achieve our investment objective.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will be subject to the substantially greater regulation under the 1940 Act as a closed-end investment company. Compliance with such regulations would significantly decrease our operating flexibility and could significantly increase our costs of doing business.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Regulations governing our operation as a BDC affect our ability to raise additional capital and the way in which we do so. As a BDC, the necessity of raising additional capital may expose us to risks, including the typical risks associated with leverage.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issue debt securities or preferred stock and/or borrow money from banks or other financial institutions, which we refer to collectively as "senior securities," up to the maximum amount permitted by the 1940 Act. Under the provisions of the 1940 Act, we are generally permitted, as a BDC, to issue senior securities in amounts such that our asset coverage ratio, as defined in the 1940 Act, equals at least 150% of gross assets less all liabilities and indebtedness not represented by senior securities, after each issuance of senior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value of our assets decline, we may be unable to satisfy the asset coverage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generally not able to issue and sell our common stock at a price below net asset value per share. We may, however, sell our common stock, or warrants, options or rights to acquire our common stock, at a price below the then-current net asset value per share of our common stock if our Board of Directors determines that such sale is in the best interests of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borrow money, which could magnify the potential for gain or loss on amounts invested and may increase the risk of investing in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use of leverage magnifies the potential for gain or loss on amounts invested and, therefore, increases the risks associated with investing in our securities. We borrow from and issue, and may continue to in the future, senior debt securities to banks, insurance companies and other lenders. Holders of these senior securities will have fixed dollar claims on our assets that are superior to the claims of our common stockholders, and we would expect such lenders to seek recovery against our assets in the event of a default.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investment income to increase more than it would without the leverage, while any decrease in our income would cause net income to decline more sharply than it would have had we not borrowed. Such a decline could also negatively affect our ability to make dividend payments on our common stock, scheduled debt payments or other payments related to our securities. Leverage is generally considered a speculative investment technique. Our ability to service any debt that we incur will depend largely on our financial performance and will be subject to prevailing economic conditions and competitive pressures. In addition, our common stockholders will bear the burden of any increase in our expenses, including our interest expense, as a result of leverage.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a BDC, we are generally required to meet an asset coverage ratio, defined under the 1940 Act as the ratio of our gross assets (less all liabilities and indebtedness not represented by senior securities) to our outstanding senior securities, of at least 150% after each issuance of senior securities. If this ratio declines below 150%, we may not be able to incur additional debt and could be required by law to sell a portion of our investments to repay some debt when it is disadvantageous to do so, which could have a material adverse effect on our operations, and we may not be able to make distributions. The amount of leverage that we employ will depend on RGC’s and our Board of Director's assessment of market and other factors at the time of any proposed borrowing. We cannot assure you that we will be able to obtain credit at all or on terms acceptable to us. 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qualify as a RIC.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illustrates the effect of leverage on returns from an investment in our common stock assuming various annual returns on our portfolio as of December 31, 2025,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 </w:t>
      </w:r>
    </w:p>
    <w:tbl>
      <w:tblPr>
        <w:tblW w:w="6991" w:type="dxa"/>
        <w:jc w:val="left"/>
        <w:tblInd w:w="0" w:type="dxa"/>
        <w:tblLayout w:type="fixed"/>
        <w:tblCellMar>
          <w:top w:w="28" w:type="dxa"/>
          <w:left w:w="28" w:type="dxa"/>
          <w:bottom w:w="28" w:type="dxa"/>
          <w:right w:w="28" w:type="dxa"/>
        </w:tblCellMar>
      </w:tblPr>
      <w:tblGrid>
        <w:gridCol w:w="3436"/>
        <w:gridCol w:w="146"/>
        <w:gridCol w:w="616"/>
        <w:gridCol w:w="146"/>
        <w:gridCol w:w="616"/>
        <w:gridCol w:w="146"/>
        <w:gridCol w:w="526"/>
        <w:gridCol w:w="146"/>
        <w:gridCol w:w="466"/>
        <w:gridCol w:w="146"/>
        <w:gridCol w:w="60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9"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Assumed Return on Our Portfolio</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of Expenses)</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Corresponding return to common stockholder</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13.1%</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Assumes (i) $1.0 billion in total assets, (ii) $437.3 million in outstanding indebtedness, (iii) $485.0 million in net assets and (iv) weighted average interest rate, excluding fees (such as fees on undrawn amounts and amortization of financing costs) of 7.39%.</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Any defaults under our Credit Facility or other borrowings, including the July 2027, April 2028, or February 2031 Notes could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May 31, 2019 (as subsequently amended), we entered into a credit agreement ("Credit Facility") by and among us, as borrower, the financial institutions party thereto as lenders, KeyBank National Association, as administrative agent, syndication agent, and a lender, CIBC Bank USA, as documentation agent and a lender, MUFG Union Bank, N.A., as co-documentation agent and lender and U.S. Bank National Association, as paying agent.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July 28, 2022, we issued and sold $80.5 million in aggregate principal amount of 7.50% interest-bearing unsecured Notes due 2027 (the "July 2027 Notes"), pursuant to a base indenture by and between us and U.S. Bank Trust Company, National Association, as trustee, dated July 28, 2022 (the "Base Indenture"), and the first supplemental indenture thereto, dated July 28, 2022.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April 7, 2025, we completed a private debt offering of $107.0 million in aggregate principal amount of 7.51% interest-bearing unsecured Series 2025A Senior Notes due 2028 (the "April 2028 Notes" or "2028 Notes") to institutional accredited investors (as defined in Regulation D under the Securities Act). On February 3, 2026, we issued and sold $103.25 million in aggregate principal amount of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7.25% interest-bearing unsecured Notes due February 3, 2031 (the "February 2031 Notes"), pursuant to the Base Indenture and third supplemental indenture thereto, dated February 3,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we default under our Credit Facility, or other borrowings, including the July 2027 Notes, April 2028 Notes, and February 2031 Notes, our business could be adversely affected as we may be forced to sell a portion of our investments quickly and prematurely at what may be unfavorable prices to us in order to meet our outstanding payment obligations and/or support working capital requirements under such borrowing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If we are unable to obtain additional debt financing, or if our borrowing capacity is materially reduced, our business could be materially adversely affected.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want to obtain additional debt financing or need to do so upon maturity of the Credit Facility, in order to obtain funds that may be made available for investments. The availability period under the Credit Facility expires on March 18, 2029 and is followed by a one year amortization period. The stated maturity date under the Credit Facility is March 18, 2029, unless extended. If we are unable to increase, renew or replace the Credit Facility and enter into new debt financing facilities or other debt financing on commercially reasonable terms, our liquidity may be reduced significantly. In addition, if we are unable to repay amounts outstanding under any such facilities and are declared in default or are unable to renew or refinance these facilities,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us or third parties, and could materially damage our business operations, results of operations and financial condition.</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Changes in interest rates may affect our cost of capital, the ability of our portfolio companies to service their debt obligations and our net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Following a period of elevated interest rates to address inflation concerns, in the third quarter of 2024, the Federal Reserve cut rates for the first time since March 2020 and, most recently, cut rates in the fourth quarter of 2025. The Federal Reserve has indicated that there may be additional rate cuts in the future; however future reductions to the benchmark rate are not certain. General interest rate fluctuations and changes in credit spreads on floating rate loans may have a substantial negative impact on our investments and investment opportunities and, accordingly, may have a material adverse effect on our rate of return on invested capital, our net investment income, and our net asset value. Substantially all of our debt investments will have variable interest rates that reset periodically based on benchmarks such as the SOFR and Prime rates.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the extent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to the extent we use debt to finance our investments. In periods of rising interest rates, our cost of funds would increase, which could reduce our net investment income. In addition, in a prolonged low interest rate environment, including a reduction of SOFR or Prime rate to zero, the difference between the total interest income earned on interest earning assets and the total interest expense incurred on interest bearing borrowings may be compressed, reducing our net interest income and potentially adversely affecting our operating results.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RGC with respect to our pre-incentive fee net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Alternatively, in a prolonged low interest rate environment, including a reduction of base rates, such as SOFR, to zero, the difference between the total interest income earned on interest earning assets and the total interest expense incurred on interest bearing liabilities may be compressed, reducing our net interest income and potentially adversely affecting our operating results.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large percentage of our portfolio investments are in the form of debt investments that are not publicly traded. The fair value of these securities is not readily determinable. We value these investments on at least a quarterly basis in accordance with our valuation policy, which is at all times consistent with generally accepted accounting principles in the United States ("U.S. GAAP"). Our Board of Directors utilizes the services of certain independent third-party valuation firms to aid it in determining the fair value of these investments. The Board of Directors discusses valuations and determines the fair value in good faith based on the input of RGC, the Audit Committee and the applicable third-party valuation firm. The participation of RGC in our valuation process could result in a conflict of interest, since the management fees are based in part on our gross assets and also because RGC is receiving performance-based incentive fees. The factors that are considered in the fair value pricing of our investments include the nature and realizable value of any collateral, the portfolio company’s ability to make payments on loans and its earnings, the markets in which the portfolio company does business, comparisons to publicly traded companies, discounted cash flow, relevant credit market indices, and other relevant factors. Because such valuations, and particularly valuations of private investments and private companies, are inherently uncertain, may fluctuate over short periods of time and are often based on estimates, our determinations of fair value may differ materially from the values that would have been used if a ready market for these securities existed. In addition, the valuation of these types of securities may result in substantial write-downs and earnings volatility.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net asset value as of a particular date may be materially greater than or less than the value that would be realized if our assets were to be liquidated as of such date. For example, if we were required to sell a certain asset or all or a substantial portion of its assets on a particular date, the actual price that we would realize upon the disposition of such asset or assets could be materially less than the value of such asset or assets as reflected in our net asset value. Volatile market conditions could also cause reduced liquidity in the market for certain assets, which could result in liquidation values that are materially less than the values of such assets as reflected in our net asset value.</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Board of Directors may change our investment objective, operating policies and strategies without prior notice or stockholder approval, the effects of which may be adverse.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Board of Directors has the authority to modify or waive our investment objective, current operating policies, investment criteria and strategies without prior notice (except as required by the 1940 Act) and without stockholder approval. However, absent stockholder approval, we may not change the nature of our business so as to cease to be, or withdraw our election as, a BDC. We cannot predict the effect any changes to our current operating policies, investment criteria and strategies would have on our business, net asset value, operating results and value of our stock. However, the effects of changes to our investment objective or criteria by our Board might be adverse, which could negatively impact our ability to pay you dividends and cause you to lose all or part of your investment.</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Certain of our investments include original-issue-discount instruments and contractual PIK-interest arrangements. To the extent original issue discount or PIK-interest constitutes a portion of our income, we are exposed to typical risks associated with such income being required to be included in taxable and accounting income prior to receipt of cash,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higher interest rates of original issue discount and PIK instruments reflect the payment deferral, which results in a higher principal amount at the maturity of the instrument as compared to the original principal amount of the instrument. Increased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credit risk associated with these instruments, and original issue discount and PIK instruments generally, represent a significantly higher credit risk than coupon loans.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the accounting conditions for income accrual are met, the borrower could still default when our actual collection is supposed to occur at the maturity of the obligation.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Original issue discount and PIK instruments may have unreliable valuations because their continuing accruals require continuing judgments about the collectability of the deferred payments and the value of any associated collateral. Original issue discount and PIK-income may also create uncertainty about the source of our cash distributions.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extent we provide loans with interest-only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accounting purposes, any cash distributions to stockholders representing original issue discount and PIK-income are not treated as coming from paid-in capital, even though the cash to pay them comes from the offering proceeds. As a result, despite the fact that a distribution representing original issue discount and PIK-income could be paid out of amounts invested by our stockholders, the 1940 Act does not require that stockholders be given notice of this fact by reporting it as a return of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certain cases, we may recognize taxable income before or without receiving corresponding cash payments and, as a result, we may have difficulty meeting the Annual Distribution Requirement necessary to maintain our tax treatment as a RIC.</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have and will continue to expend significant financial and other resources to comply with the requirements of being a public reporting entity.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a public reporting company, we are subject to the reporting requirements of the Exchange Act and certain requirements of the Sarbanes-Oxley Act. The Exchange Act requires that we file annual, quarterly, and current reports with respect to our business and financial condition. The Sarbanes-Oxley Act requires that we maintain effective disclosure controls and procedures and internal control over financial reporting, which are discussed below. See "Business – Regulation as a Business Development Company" in Part I, Item 1 of this Form 10-K. In order to maintain and improve the effectiveness of our disclosure controls and procedures and internal controls, significant resources and management oversight is required. We will continue to implement procedures, processes, policies and practices for the purpose of addressing the standards and requirements applicable to public companies. These activities may divert management’s attention from other initiatives, strategies or business concerns, which could have a material adverse effect on our business, financial condition, results of operations and cash flows. We expect to incur significant annual expenses related to these steps and, among other things, directors’ and officers’ liability insurance, director fees, reporting requirements of the SEC, transfer agent fees, additional administrative expenses payable to our Administrator to compensate them for hiring additional accounting, legal and administrative personnel, increased auditing and legal fees and similar expenses.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systems and resources necessary to comply with public company reporting requirements will increase further once we cease to be an "emerging growth company" under the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 We will remain an emerging growth company for up to five years following our IPO, which we completed on October 25, 2021, although we would cease to be an emerging growth company as of the following December 31 if (i) the market value of our common stock that is held by non-affiliates exceeds $700.0 million as of any June 30 before that time, (ii) our annual gross revenue for the fiscal year exceeds $1.235 billion, or (iii) we issue an aggregate of $1.0 billion in non-convertible debt securities in any three year period. See "Business – Implications of Being an Emerging Growth Company" in Part I, Item 1 of this Form 10-K.</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obligated to maintain proper and effective internal control over financial reporting, including the internal control evaluation and certification requirements of Section 404 of the Sarbanes-Oxley Act ("Section 404"). We are required to conduct annual management assessments of the effectiveness of our internal controls over financial reporting. However, our independent registered public accounting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firm will not be required to formally attest to the effectiveness of our internal control over financial reporting until the date (i) we are no longer an "emerging growth company" under the JOBS Act, and (ii) we become an "accelerated filer" as defined in Rule 12b-2 under the Exchange Act. Accordingly, our internal controls over financial reporting may not currently meet all of the standards contemplated by Section 404 that we will eventually be required to meet.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consolidated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Technological developments in artificial intelligence could disrupt the markets in which we operate and subject us to increased competition, legal and regulatory risks and compliance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Artificial intelligence, including machine learning technology and generative artificial intelligence, is rapidly evolving. While the full extent of current or future risks related thereto is not possible to predict, artificial intelligence could significantly disrupt the business models and markets in which we and our portfolio companies operate and subject us and our portfolio companies to increased competition, legal and regulatory risks and compliance costs, any of which could have a material adverse effect on our or our portfolio companies’ business, financial condition and 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our Adviser and our Administrator currently do not, but may in the future, use artificial intelligence tools and technologies in the operation of our business. In addition, certain of our portfolio companies use and may plan to expand their use of artificial intelligence tools and technologies in the operation of their businesses. These uses come with potential risks, including, but not limited to, generation of inaccurate results, misuse or disclosures of confidential information, infringement of third-party intellectual property rights, potential cybersecurity vulnerabilities, reputational risk, and regulatory burdens. Artificial intelligence models may create outputs that are flawed, inaccurate, biased, or that infringe or misappropriate intellectual property of third parties. The models may also be subject to new or different modes of cyber attacks, including prompt injection attacks, and such attacks may be able to circumvent our cybersecurity tools and processes. To the extent we, our Adviser, our Administrator, or any of our portfolio companies rely on such technologies, these risks could negatively impact us or our portfolio companies. There is also a risk that artificial intelligence tools or applications may be misused by employees and/or third parties engaged by us, our Adviser or our Administrator, or by our portfolio companies. For example, such an employee may input confidential information, including material non-public information, trade secrets, or personal information, into artificial intelligence technologies in a manner that results in such information becoming part of a dataset that is accessible by third-party artificial intelligence applications and users, including competitors. Further, we, our Adviser or our Administrator, or our portfolio companies may not be able to control how third-party artificial intelligence technologies that we or they choose to use are developed or maintained, or how data we or they input is used or disclosed, even where contractual protections with respect to these matters have been sought. The misuse or misappropriation of our data could have an adverse impact on our reputation and could subject us to legal and regulatory investigations and/or actions. The misuse or misappropriation of data of any of our portfolio companies could have an adverse impact on such businesses reputation and could subject such portfolio company to legal and regulatory investigations and/or 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or our portfolio companies may also be exposed to competitive risks related to the adoption of artificial intelligence or other new technologies by others within our respective industries. If our or our portfolio companies’ competitors are more successful than us or our portfolio companies in the use of artificial intelligence or development of services or products based on artificial intelligence, or we or our portfolio companies do so at a slower pace than others, we or our portfolio companies may be at a competitive disadvantage. In addition, our or our portfolio companies’ investments in technology systems and artificial intelligence may not deliver the benefits we or they expect, which could be costly for our or their respective businesses.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Finally, regulations related to artificial intelligence may also impose on us or our portfolio companies certain obligations and costs related to monitoring and compliance, and we or they could be subject to regulatory actions if we or they are deemed not to have complied.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Risks Related to Our Investments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Our investments are very risky and highly speculative.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invest primarily in senior secured term loans and other senior debt obligations and may on occasion invest in second lien loans issued by high growth-potential companies. We also have and continue to expect to acquire warrants and other equity securities from portfolio companies in connection with our investments in loans to these companies. We invest primarily in secured loans made to companies whose debt has generally not been rated by any rating agency, although we would expect such debt, if rated, to fall below investment grade. Securities rated below investment grade are often referred to as "high yield" securities and "junk bonds," and are considered "high risk" and speculative in nature compared to debt instruments that are rated above investment grade.</w:t>
      </w:r>
    </w:p>
    <w:p>
      <w:pPr>
        <w:pStyle w:val="TextBody"/>
        <w:bidi w:val="0"/>
        <w:spacing w:before="0" w:after="240"/>
        <w:jc w:val="both"/>
        <w:rPr>
          <w:rFonts w:ascii="Times New Roman" w:hAnsi="Times New Roman"/>
          <w:sz w:val="20"/>
        </w:rPr>
      </w:pPr>
      <w:r>
        <w:rPr>
          <w:rFonts w:ascii="Times New Roman" w:hAnsi="Times New Roman"/>
          <w:i/>
          <w:color w:val="000000"/>
          <w:sz w:val="20"/>
          <w:u w:val="single"/>
        </w:rPr>
        <w:t>Senior Secured Loans.</w:t>
      </w:r>
      <w:r>
        <w:rPr>
          <w:rFonts w:ascii="Times New Roman" w:hAnsi="Times New Roman"/>
          <w:color w:val="000000"/>
          <w:sz w:val="20"/>
        </w:rPr>
        <w:t xml:space="preserve">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liens on the collateral securing our loans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compelled to enforce our remedies.</w:t>
      </w:r>
    </w:p>
    <w:p>
      <w:pPr>
        <w:pStyle w:val="TextBody"/>
        <w:bidi w:val="0"/>
        <w:spacing w:before="0" w:after="240"/>
        <w:jc w:val="both"/>
        <w:rPr>
          <w:rFonts w:ascii="Times New Roman" w:hAnsi="Times New Roman"/>
          <w:sz w:val="20"/>
        </w:rPr>
      </w:pPr>
      <w:r>
        <w:rPr>
          <w:rFonts w:ascii="Times New Roman" w:hAnsi="Times New Roman"/>
          <w:i/>
          <w:color w:val="000000"/>
          <w:sz w:val="20"/>
          <w:u w:val="single"/>
        </w:rPr>
        <w:t>Second Lien Secured Loans.</w:t>
      </w:r>
      <w:r>
        <w:rPr>
          <w:rFonts w:ascii="Times New Roman" w:hAnsi="Times New Roman"/>
          <w:color w:val="000000"/>
          <w:sz w:val="20"/>
        </w:rPr>
        <w:t xml:space="preserve"> In structuring our loans, we may subordinate our security interest in certain assets of a borrower to another lender, usually a bank. In these situations, all of the risks identified above in Senior Secured Loans would be true and additional risks inherent in holding a junior security position would also be present, including, but not limited to those outlined below in "Second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pStyle w:val="TextBody"/>
        <w:bidi w:val="0"/>
        <w:spacing w:before="0" w:after="240"/>
        <w:jc w:val="both"/>
        <w:rPr>
          <w:rFonts w:ascii="Times New Roman" w:hAnsi="Times New Roman"/>
          <w:sz w:val="20"/>
        </w:rPr>
      </w:pPr>
      <w:r>
        <w:rPr>
          <w:rFonts w:ascii="Times New Roman" w:hAnsi="Times New Roman"/>
          <w:i/>
          <w:color w:val="000000"/>
          <w:sz w:val="20"/>
          <w:u w:val="single"/>
        </w:rPr>
        <w:t>Equity Investments</w:t>
      </w:r>
      <w:r>
        <w:rPr>
          <w:rFonts w:ascii="Times New Roman" w:hAnsi="Times New Roman"/>
          <w:color w:val="000000"/>
          <w:sz w:val="20"/>
          <w:u w:val="single"/>
        </w:rPr>
        <w:t>.</w:t>
      </w:r>
      <w:r>
        <w:rPr>
          <w:rFonts w:ascii="Times New Roman" w:hAnsi="Times New Roman"/>
          <w:color w:val="000000"/>
          <w:sz w:val="20"/>
        </w:rPr>
        <w:t xml:space="preserve"> When we invest in secured loans, we may acquire equity securities as well, including warrants. In addition, we may also, on a limited basis, invest directly in the equity securities of portfolio companies. The equity interests we receive may not appreciate in value and may in fact decline in value. Accordingly, we may not be able to realize gains from our equity interests, and any gains that we do realize on the disposition of any equity interests may not be sufficient to offset any other losses we experience.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investing in small, fast-growing, private companies involves a number of significant risks,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may have limited financial resources and may be unable to meet their obligations under their debt securities that we hold. This failure to meet obligations may be accompanied by a deterioration in the value of any collateral and a reduction in the likelihood of us realizing any guarantees we may have obtained in connection with our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typically have shorter operating histories, narrower product lines and smaller market shares than larger businesses, which tend to render them more vulnerable to competitors’ actions, market conditions, and general economic downturns;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RGC may, in the ordinary course of business, be named as defendants in litigation arising from our investments in the portfolio companies;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they may have difficulty accessing the capital markets to meet future capital needs, which may limit their ability to grow or to repay their outstanding debt upon maturity.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use the term "covenant-lite" loans to refer generally to loans that do not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require a borrower to comply with financial maintenance covenants. Generally, covenant-lite loans permit borrowers more opportunity to negatively impact lenders because their covenants are incurrence-based, which means they are only tested and can only be breached following certain actions of the borrower, rather than by a deterioration in the borrower’s financial condition. Accordingly, because we make and have exposure to covenant-lite loans, we may have less protection from borrower actions and may have a greater risk of loss on such investments as compared to investments in or exposure to loans with financial maintenance covenants.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Investing in high growth-potential, private companies involves a high degree of risk, and our financial results may be affected adversely if one or more of our significant portfolio investments defaults on its loans or fails to perform as we expect.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expect that our portfolio will continue to consist primarily of debt investments in privately-owned companies, and to a lesser extent equity investments in privately-owned companies. Investing in these companies involves a number of significant risks. Typically, the debt in which we intend to invest will not be initially rated by any rating agency; however, we believe that if such investments were rated, they would generally be below investment grade. Securities rated below investment grade are often referred to as "high yield" securities and "junk bonds," and are considered "high risk" and speculative in nature compared to debt instruments that are rated investment grade. Compared to larger publicly owned companies, these companies may be in a weaker financial position and may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face intense competition from larger companies with greater financial, technical, and marketing resources and their success typically depends on the managerial talents and efforts of an individual or a small group of persons. Therefore, the loss of any of its key employees could affect a portfolio company’s ability to compete effectively and harm its financial condition. Further, some of these companies conduct business in regulated industries that are susceptible to regulatory changes, resulting in increased compliance measures and possibly more susceptibility to regulatory breaches or violations.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Some of these companies cannot obtain financing from public capital markets or from traditional credit sources, such as commercial banks. Accordingly, the loans we make to these types of companies pose a higher default risk than loans made to companies that have access to traditional credit sources.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An investment strategy focused primarily on privately held companies presents certain challenges, including the lack of available information about these companies and a greater vulnerability to economic downturns.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invest primarily in high growth-potential, privately held companies and these companies may not have third-party credit ratings or audited consolidated financial statements subject to public accounting standards or otherwise. Generally, little public information exists about these companies, and we are required to rely on the ability of RGC’s investment team to obtain adequate financial or other information to evaluate the potential returns from investing in these companies. Furthermore, private companies and their financial information will not generally be subject to the Sarbanes-Oxley Act and other rules that govern public companies. If we are unable to uncover all material information about these companies through our diligence and underwriting process, we may not make a fully informed investment decision. This could adversely affect our investment returns as compared to companies investing primarily in the securities of public companies.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Inflation may adversely affect our and our portfolio companies’ business, results of operations and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Some of our portfolio companies may be adversely impacted during times of inflation. If such portfolio companies are unable to pass any increases in their costs along to their customers, it could adversely affect their results and impact their ability to pay interest and principal on our loans.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sz w:val="20"/>
        </w:rPr>
      </w:pPr>
      <w:r>
        <w:rPr>
          <w:rFonts w:ascii="Times New Roman" w:hAnsi="Times New Roman"/>
          <w:b/>
          <w:i/>
          <w:color w:val="000000"/>
          <w:sz w:val="20"/>
        </w:rPr>
        <w:t>Our portfolio companies may have limited operating histories and financial resources.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portfolio consists of investments in companies that may have relatively limited operating histories. Generally, limited public information exists about these companies, and we are required to rely on the ability of RGC’s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These companies may be particularly vulnerable to U.S. economic downturns and may have limited access to capital. These companies also frequently have less diverse product lines and a smaller market presence than larger competitors and may experience substantial variations in operating results. These companies may face intense competition, including from companies with greater financial, technical, operational and marketing resources, and typically depend upon the expertise and experience of a single individual executive or a small management team. Our success depends, in large part, upon the abilities of the key management personnel of our portfolio companies, who are responsible for the day-to-day operations of our portfolio companies. Competition for qualified personnel is intense at any stage of a company’s development, but even more so at the growth stage of the companies we typically invest in. The inability to attract and retain and/or the loss of one or more key managers can hinder or delay a company’s implementation of its business plan and harm its financial condition, which could negatively affect our investment returns.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our existing and future portfolio companies may compete with each other for investment or business opportunities and the success of one could negatively impact the other. Furthermore, some of our portfolio companies do business in regulated industries and could be affected by changes in government regulation. Accordingly, these factors could impair their cash flow or result in other events, such as bankruptcy, which could limit their ability to repay their obligations to us, and may materially and adversely affect the return on, or the recovery of, our investment. As a result, we may lose our entire investment in any of our portfolio companies.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 financial projections of our portfolio companies could prove inaccurate.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generally evaluate the capital structure of portfolio companies on the basis of financial projections prepared by the management of such portfolio companies. These projected operating results are normally based primarily on judgments of the management of the portfolio companies. In all cases, projections are only estimates of future results that are based upon assumptions made at the time that the projections are developed. General economic conditions, which are not predictable with accuracy, along with other macroeconomic factors and specific factors of the portfolio company, may cause actual performance to fall short of the financial projections that were used to establish a given portfolio company’s capital structure. Because of the leverage that is typically employed by our portfolio companies, this could cause a substantial decrease in the value of our investment in the portfolio company. The inaccuracy of financial projections of portfolio companies could thus cause our performance to fall short of our expectations.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portfolio companies may incur debt that ranks equally with, or senior to, our investments in such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invest primarily in senior secured loans made to high growth-potential private companies but, on occasion make second lien loans to portfolio companies. 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 In the case of second lien loans that we make to portfolio companies, we would not recover any of our principal amount of the loan until the first lien holder is fully repaid, which would likely result in us recovering less or no amounts due on our loan and, in turn, could have a materials adverse effect on our operations and financial condition.</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There may be circumstances in which our debt investments could be subordinated to claims of other creditors or we could be subject to lender liability claims.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Even though we intend to structure most of our debt investments as secured loans, if one of our portfolio companies were to go bankrupt, depending on the facts and circumstances, and based upon principles of equitable subordination as defined by existing case law, a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In our case, we may, if requested to do so, provide managerial assistance to our portfolio companies.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loans that we make will be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will be requested to execute will expressly subordinate our debt instruments to those held by the senior lender and further provide that the senior lender will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pStyle w:val="TextBody"/>
        <w:bidi w:val="0"/>
        <w:spacing w:before="120" w:after="240"/>
        <w:jc w:val="both"/>
        <w:rPr>
          <w:rFonts w:ascii="Times New Roman" w:hAnsi="Times New Roman"/>
          <w:sz w:val="20"/>
        </w:rPr>
      </w:pPr>
      <w:r>
        <w:rPr>
          <w:rFonts w:ascii="Times New Roman" w:hAnsi="Times New Roman"/>
          <w:b/>
          <w:i/>
          <w:color w:val="000000"/>
          <w:sz w:val="20"/>
        </w:rPr>
        <w:t>We may be subject to risks associated with our investments in covenant-lite loans.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some of our loans could be considered covenant-lite by traditional lending standards. We have made and may in the future make or obtain significant exposure to covenant-lite loans, which generally are loans that do not require a borrower to comply with financial maintenance covenants, and may not include terms that allow the lender to monitor the financial performance of the borrower, including financial ratios, and declare a default if certain financial criteria are breached.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generally required under a covenant-heavy loan agreement. Generally, covenant-lite loans permit borrowers more opportunity to negatively impact lenders because their covenants, if any, tend to be incurrence-based, which means they are only tested and can only be breached following certain actions of the borrower, rather than by a deterioration in the borrower’s financial condition. Our investment in or exposure to a covenant-lite loan may potentially hinder our ability to reprice credit risk associated with the issuer and reduce our ability to restructure a problematic loan and mitigate potential loss. As a result, our exposure to losses may be increased, which could result in an adverse impact on our revenues, net income and net asset value.</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 lack of liquidity in our investments may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typically invest in companies whose securities are not publicly traded, and whose securities will be subject to legal and other restrictions on resale or will otherwise be less liquid than publicly traded securities. There is typically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and, in particular, with respect to the equity securities we acquire in our portfolio companies. Our investments are typically subject to contractual or legal restrictions on resale or are otherwise illiquid because there is no established trading market for such investments.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illiquidity of our investments may make it difficult for us to dispose of them at a favorable price or at all, and we may suffer losses as a result.</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failure to make follow-on investments in our portfolio companies could impair the value of our portfolio.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a subsequent financing; or (3) attempt to preserve or enhance the value of our investment. However, we may elect not to make follow-on investments or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portfolio may lack diversification among portfolio companies, which subjects us to a risk of significant loss if one or more of these companies default on their repayment obligations under any of their debt instruments.</w:t>
      </w:r>
    </w:p>
    <w:p>
      <w:pPr>
        <w:pStyle w:val="TextBody"/>
        <w:bidi w:val="0"/>
        <w:jc w:val="both"/>
        <w:rPr>
          <w:rFonts w:ascii="Times New Roman" w:hAnsi="Times New Roman"/>
          <w:color w:val="000000"/>
          <w:sz w:val="20"/>
        </w:rPr>
      </w:pPr>
      <w:r>
        <w:rPr>
          <w:rFonts w:ascii="Times New Roman" w:hAnsi="Times New Roman"/>
          <w:color w:val="000000"/>
          <w:sz w:val="20"/>
        </w:rPr>
        <w:t>Our portfolio may hold a limited number of portfolio companies. Beyond the asset diversification requirements associated with our qualification as a RIC, we do not have fixed guidelines for diversification, and our investments may be concentrated in relatively few companies. As our portfolio is less diversified than the portfolios of some larger funds, we are more susceptible to failure if a single loan fails. As a result, if a significant loan fails to perform as expected, our business, financial condition, results of operation and cash flows could be more negatively affected and the magnitude of the loss could be more significant than if we had made smaller investments in more companies. Similarly, the aggregate returns we realize may be significantly adversely affected if a small number of investments perform poorly or if we need to write down the value of any one investment.</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portfolio may be concentrated in a limited number of industries, which will subject us to a risk of significant loss if there is a downturn in a particular industry in which a number of our investments are concentrated.</w:t>
      </w:r>
    </w:p>
    <w:p>
      <w:pPr>
        <w:pStyle w:val="TextBody"/>
        <w:bidi w:val="0"/>
        <w:jc w:val="both"/>
        <w:rPr>
          <w:rFonts w:ascii="Times New Roman" w:hAnsi="Times New Roman"/>
          <w:color w:val="000000"/>
          <w:sz w:val="20"/>
        </w:rPr>
      </w:pPr>
      <w:r>
        <w:rPr>
          <w:rFonts w:ascii="Times New Roman" w:hAnsi="Times New Roman"/>
          <w:color w:val="000000"/>
          <w:sz w:val="20"/>
        </w:rPr>
        <w:t>Our portfolio is concentrated in a limited number of industries. We invest primarily in companies focused in technology, healthcare, business services, financial services, select consumer services and products and other high-growth industries. A downturn in any particular industry in which we are invested could significantly impact the aggregate returns we realize. As our portfolio may be less diversified than the portfolios of other investment vehicles, we may be more susceptible to losses if a single loan is not repaid. Similarly, the aggregate returns we realize may be significantly adversely affected if a small number of investments perform poorly or if we need to write down the value of any one investment.</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portfolio may lack diversification among our Sponsored Growth Lending and Non-Sponsored Growth Lending strategies and among sponsors within the Sponsored Growth Lending strategy.</w:t>
      </w:r>
    </w:p>
    <w:p>
      <w:pPr>
        <w:pStyle w:val="TextBody"/>
        <w:bidi w:val="0"/>
        <w:jc w:val="both"/>
        <w:rPr>
          <w:rFonts w:ascii="Times New Roman" w:hAnsi="Times New Roman"/>
          <w:color w:val="000000"/>
          <w:sz w:val="20"/>
        </w:rPr>
      </w:pPr>
      <w:r>
        <w:rPr>
          <w:rFonts w:ascii="Times New Roman" w:hAnsi="Times New Roman"/>
          <w:color w:val="000000"/>
          <w:sz w:val="20"/>
        </w:rPr>
        <w:t>Our objective is to build a balanced portfolio with diversification among sponsored and non-sponsored transactions, diversification among sponsors within the Sponsored Growth Lending strategy, and diversification among industry, geography, and stage of development generally, which we believe will contribute to a favorable risk adjusted return for the portfolio viewed as a whole. If we are unable to achieve diversification or retain it, we may not achieve favorable risk adjusted returns for the portfolio viewed as a whole.</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invest in sectors including technology, healthcare, business services, financial services, select consumer services and products and other high-growth industries, which are subject to specific risks related to each.</w:t>
      </w:r>
    </w:p>
    <w:p>
      <w:pPr>
        <w:pStyle w:val="TextBody"/>
        <w:bidi w:val="0"/>
        <w:jc w:val="both"/>
        <w:rPr>
          <w:rFonts w:ascii="Times New Roman" w:hAnsi="Times New Roman"/>
          <w:color w:val="000000"/>
          <w:sz w:val="20"/>
        </w:rPr>
      </w:pPr>
      <w:r>
        <w:rPr>
          <w:rFonts w:ascii="Times New Roman" w:hAnsi="Times New Roman"/>
          <w:color w:val="000000"/>
          <w:sz w:val="20"/>
        </w:rPr>
        <w:t xml:space="preserve">We intend to continue to invest the largest portions of our portfolio in technology, healthcare, business services, financial services, select consumer services and products and other high-growth industries. Our portfolio companies may address needs in technology-related industries and markets. We expect that our technology portfolio will consist of companies that commercialize and integrate products targeted at technology-related markets. There are risks in investing in companies that target technology-related markets, including rapid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sometimes dramatic price erosion of products, the reliance on capital and debt markets to finance large capital outlays, including fabrication facilities, the reliance on partners outside of the United States, particularly in Asia, and inherent cyclicality of the technology market in general. As a result of multiple factors, access to capital may be difficult or impossible for companies in our portfolio that are pursuing these markets.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may be subject to risks associated with our investments in healthcare-related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healthcare portfolio consists primarily of companies that commercialize and integrate products in healthcare-related industries, including biotechnology, drug discovery, drug delivery, bioinformatics and medical devices. There are risks in investing in companies that target healthcare-related industries, including, but not limited to, the uncertainty of timing and results of clinical trials to demonstrate the safety and efficacy of products; failure to obtain any required regulatory approval of products; failure to develop manufacturing processes that meet regulatory standards; competition, in particular from companies that develop rival products; and the ability to protect proprietary technology. Adverse developments in any of these areas may adversely affect the value of our healthcare portfolio.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healthcare industry is dominated by large multinational corporations with substantially greater financial and technical resources than generally will be available to our portfolio companies. Such large corporations may be better able to adapt to the challenges presented by continuing rapid and major scientific, regulatory and technological changes as well as related changes in governmental and third-party reimbursement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Within the healthcare industry, the development of products generally is a costly and time-consuming process. Many highly promising products ultimately fail to prove to be safe and effective. There can be no assurance that the research or product development efforts of our portfolio companies or those of their collaborative partners will be successfully completed, that specific products can be manufactured in adequate quantities at an acceptable cost and with appropriate quality, or that such products can be successfully marketed or achieve customer acceptance. There can be no assurance that a product will be relevant and/or be competitive with products from other companies following the costly, time-consuming process of its development.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research, development, manufacturing, and marketing of products developed by some healthcare companies are subject to extensive regulation by numerous government authorities in the United States and other countries. There can be no assurance that products developed by the portfolio companies will ever be approved by such governmental authorities.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Many healthcare portfolio companies will depend heavily upon intellectual property for their competitive position. There can be no assurance that the portfolio companies will be able to obtain patents for key inventions. Moreover, within the healthcare industry, patent challenges are frequent. Even if patents held by the portfolio companies are upheld, any challenges thereto may be costly and distracting to the portfolio companies’ management.</w:t>
      </w:r>
    </w:p>
    <w:p>
      <w:pPr>
        <w:pStyle w:val="TextBody"/>
        <w:bidi w:val="0"/>
        <w:jc w:val="both"/>
        <w:rPr>
          <w:rFonts w:ascii="Times New Roman" w:hAnsi="Times New Roman"/>
          <w:color w:val="000000"/>
          <w:sz w:val="20"/>
        </w:rPr>
      </w:pPr>
      <w:r>
        <w:rPr>
          <w:rFonts w:ascii="Times New Roman" w:hAnsi="Times New Roman"/>
          <w:color w:val="000000"/>
          <w:sz w:val="20"/>
        </w:rPr>
        <w:t>Some of the healthcare portfolio companies will be at least partially dependent for their success upon governmental and third-party reimbursement policies that are under constant review and are subject to change at any time. Any such change could adversely affect the viability of one or more portfolio companies.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Technology-related sectors, including those involving data processing and outsourced services, in which we invest are subject to many risks, including volatility, intense competition, decreasing life cycles, product obsolescence, changing consumer preferences and periodic downturns.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Given the experience of RGC’s senior investment professionals within the technology space, a number of the companies in which we intend to invest operate in technology-related sectors. The revenue,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securities that we may hold. This could, in turn, materially adversely affect our business, financial condition and results of operations. Specifically, our investments in electronic equipment may be subject to risks unique to this industry. The products manufactured in the electronic equipment industry are subject to rapid technological change and intense competition. The electronic equipment industry is also subject to fluctuations in demand, which may adversely affect the operating results of our portfolio companies in this industry.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Certain technology-related industries are subject to extensive government regulation, which exposes us to the risk of significant loss if any of these industry sectors experiences a downturn.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portfolio companies in technology-related industries may be subject to extensive regulation by U.S. and foreign federal, state and/or local agencies. Changes in existing laws, rules or regulations, or judicial or administrative interpretations thereof,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 Furthermore, if any of our portfolio companies were to fail to comply with applicable regulations, they could be subject to significant penalties and claims that could materially and adversely affect their operations. Our portfolio companies may be subject to the expense, delay and uncertainty of the regulatory approval process for their products and, even if approved, these products may not be accepted in the marketplace.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December 31, 2025, our investments in healthcare technology represented approximately 13.3% of our portfolio at fair value. Our investments in healthcare technology are subject to substantial risks, including, but not limited to, the risk that the laws and regulations governing the business of health care companies, and interpretations thereof, may change frequently. Current or future laws and regulations could force our portfolio companies engaged in health care, to change their policies related to how they operate, restrict revenue, change costs, change reserve levels and change business practices.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Any of our portfolio companies operating in the healthcare information and services industry are subject to extensive government regulation and certain other risks particular to that industry.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portfolio companies may be subject to extensive regulation by U.S. and foreign federal, stated and/or local agencies. Our healthcare information and services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Changes in existing laws, rules or regulations, or judicial or administrative interpretations, or new laws, rules or regulations could have an adverse impact on the business and industries of our portfolio companies. In addition, changes in government priorities or limitations on government resources could also adversely impact our portfolio companies.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and services industry are also subject to the risk that changes in applicable regulations will render their technology obsolete or less desirable in the marketplace. We are unable to predict whether any such changes in laws, rules or regulations will occur and, if they do occur, the impact of these changes on our portfolio companies and our investment returns.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 internet retail industry is subject to many risks and is highly competitive.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number of the companies in which we invest operate in the internet retail industry. The internet retail industry is highly competitive. This competition is increasingly intense as a number of internet-based retailers have started and failed in recent years. Competitors include larger companies than the portfolio companies in which we invest, which, in particular, may have access to greater resources, and may be more successful in the recruitment and retention of qualified employees which may give them a competitive advantage. In addition, actual or potential competitors may be strengthened through the acquisition of additional assets and interests. If our portfolio companies are unable to compete effectively or adequately respond to competitive pressures, this inability may materially adversely affect our results of operation and financial condition.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We may be subject to risks associated with our investments in the software industry.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Portfolio companies in the software industry are subject to a number of risks. The revenue, income (or losses) and valuations of software and other technology-related companies can and often do fluctuate suddenly and dramatically. In addition, because of rapid technological change, the average selling prices of software products have historically decreased over their productive lives. As a result, the average selling prices of software offered by our portfolio companies may decrease over time, which could adversely affect their operating results and, correspondingly, the value of any securities that we may hold. Additionally, companies operating in the software industry are subject to vigorous competition, changing technology, changing client and end-consumer needs, evolving industry standards and frequent introductions of new products and services. Our portfolio companies in the software industry compete with several companies that operate in the global, regional and local software industries, and certain of those current or potential competitors may be engaged in a greater range of businesses, have a larger installed base of customers for their existing products and services or have greater financial, technical, sales or other resources than our portfolio companies do. Our portfolio companies may lose market share if their competitors introduce or acquire new products that compete with their software and related services or add new features to their products. Any of this could, in turn, materially adversely affect our business, financial condition and results of operations.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portfolio companies operating in the human resources and employment services industry operate in a complex regulatory environment, and failure to comply with applicable laws and regulations could adversely affect the business of our portfolio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of our portfolio companies that operate in the human resource industry are subject to a broad range of complex and evolving laws and regulations, including those applicable to payroll practices, benefits administration, employment practices, workers’ compensation coverage, and privacy. Because our portfolio companies have clients with employees in many states throughout the United States, our portfolio companies must perform services in compliance with the legal and regulatory requirements of multiple jurisdictions. Some of these laws and regulations may be difficult to ascertain or interpret and may change from time to time. Violation of such laws and regulations could subject our portfolio companies to fines and penalties, damage their reputation, constitute a breach of client agreements, impair our portfolio companies’ ability to obtain and renew required licenses, and decrease our portfolio companies’ profitability or competitiveness. If any of these effects were to occur, our operating results and financial condition could be adversely affected.</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in some instances, we may control our portfolio companies or provide our portfolio companies with significant managerial assistance, we typically do not hold controlling equity positions in our portfolio companies. Thus, we generally do not, and do not expect to, control the decision making in many of our portfolio companies. As a result, we are subject to the risk that a portfolio company in which we invest will make business decisions with which we disagree and the management of such company, as representatives of the holders of their common equity, will take risks or otherwise act in ways that do not serve our interests as debt investors. Due to the lack of liquidity of the debt and equity investments that we typically hold in our portfolio companies, we may not be able to dispose of our interests as readily as we would like or at an appropriate valuation in the event we disagree with the actions of a portfolio company. As a result, a portfolio company may make decisions that would decrease the value of our investments.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Defaults by our portfolio companies will harm our operating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 which may include the waiver of certain financial covenants – with a defaulting portfolio company. These expenses could materially and adversely affect our operating results and cash flow. In addition, we have invested in and may in the future invest in or obtain significant exposure to "covenant-lite" loans. Generally, covenant-lite loans provide borrowers more freedom to negatively impact lenders because their covenants are incurrence-based, which means they are only tested and can only be breached following an affirmative action of the borrower, rather than by a deterioration in the borrower's financial condition. Accordingly, because we invest in and have exposure to covenant-lite loans, we may have fewer rights against a borrower and may have a greater risk of loss on such investments as compared to investments in or exposure to loans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with financial maintenance covenants. See "Risk Factors – Risks Related to Investments – We may be subject to risks associated with our investments in covenant-lite loans" in Part I, Item 1A of this Form 10-K.</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If our portfolio companies are unable to commercialize their technologies, products, business concepts or services, the returns on our investments could be adversely affected.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value of our investments in our portfolio companies may decline if they are not able to commercialize their technology, products, business concepts or services. Additionally, although some of our portfolio companies may already have a commercially successful product or product line at the time of our investment, information technology, e-commerce and healthcare often have a more limited market or life span than products in other industries. Thus, the ultimate success of these companies often depends on their ability to continually innovate in increasingly competitive markets. If they are unable to do so, our investment returns could be adversely affected and their ability to service their debt obligations to us over the term of the loan could be impaired. Our portfolio companies may be unable to successfully acquire or develop any new products, and the intellectual property they currently hold may not remain viable. Even if our portfolio companies are able to develop commercially viable products, the market for new products and services is highly competitive and rapidly changing. Neither our portfolio companies nor we will have any control over the pace of technology development. Commercial success is difficult to predict, and the marketing efforts of our portfolio companies may not be successful.</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Any unrealized losses we experience on our loan portfolio may be an indication of future realized losses, which could reduce our income available for distribution.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Prepayments of our debt investments by our portfolio companies could adversely impact our results of operations and reduce our return on equity.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subject to the risk that the investments we make in our portfolio companies may be repaid prior to maturity. When this occurs, we will generally reinvest these proceeds in temporary investments, pending future investment in new portfolio companies. These temporary investments will typically have substantially lower yields than the yields of the loans being prepaid and we could experience significant delays in reinvesting these amounts. Any future investment in a new portfolio company may also be at lower yields than the debt that was previously prepaid by a portfolio company. As a result, our results of operations could be materially adversely affected if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of our portfolio companies elect to prepay amounts owed to us. Additionally, prepayments of loans made to portfolio companies could negatively impact our return on equity.</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investments in leveraged portfolio companies may be risky, and you could lose all or part of your investment.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Some of our portfolio companies may be highly leveraged, which may have adverse consequences to these companies and to us as an investor.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 Leveraged companies may enter into bankruptcy proceedings at higher rates than companies that are not leveraged.</w:t>
      </w:r>
    </w:p>
    <w:p>
      <w:pPr>
        <w:pStyle w:val="TextBody"/>
        <w:bidi w:val="0"/>
        <w:spacing w:before="40" w:after="200"/>
        <w:jc w:val="both"/>
        <w:rPr>
          <w:rFonts w:ascii="Times New Roman" w:hAnsi="Times New Roman"/>
          <w:b/>
          <w:i/>
          <w:color w:val="000000"/>
          <w:sz w:val="20"/>
        </w:rPr>
      </w:pPr>
      <w:r>
        <w:rPr>
          <w:rFonts w:ascii="Times New Roman" w:hAnsi="Times New Roman"/>
          <w:b/>
          <w:i/>
          <w:color w:val="000000"/>
          <w:sz w:val="20"/>
        </w:rPr>
        <w:t>We may not realize gains from our equity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restraining our ability to transfer or sell such securities and limited voting rights. In addition, we may from time to time make non-control,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sometimes seek puts or similar rights to give us the right to sell our equity securities back to the portfolio company issuer. We may be unable to exercise these put rights for the consideration provided in our investment documents if the issuer is in financial distress.</w:t>
      </w:r>
    </w:p>
    <w:p>
      <w:pPr>
        <w:pStyle w:val="TextBody"/>
        <w:bidi w:val="0"/>
        <w:spacing w:before="0" w:after="240"/>
        <w:jc w:val="both"/>
        <w:rPr>
          <w:rFonts w:ascii="Times New Roman" w:hAnsi="Times New Roman"/>
          <w:b/>
          <w:i/>
          <w:color w:val="000000"/>
          <w:sz w:val="20"/>
        </w:rPr>
      </w:pPr>
      <w:r>
        <w:rPr>
          <w:rFonts w:ascii="Times New Roman" w:hAnsi="Times New Roman"/>
          <w:b/>
          <w:i/>
          <w:color w:val="000000"/>
          <w:sz w:val="20"/>
        </w:rPr>
        <w:t>We may expose ourselves to risks if we engage in hedging transactions.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If we engage in hedging transactions, we may expose ourselves to risks associated with such transactions. We may utilize instruments such as forward contracts, credit default swaps,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pStyle w:val="TextBody"/>
        <w:bidi w:val="0"/>
        <w:spacing w:before="40" w:after="240"/>
        <w:jc w:val="both"/>
        <w:rPr>
          <w:rFonts w:ascii="Times New Roman" w:hAnsi="Times New Roman"/>
          <w:b/>
          <w:i/>
          <w:color w:val="000000"/>
          <w:sz w:val="20"/>
        </w:rPr>
      </w:pPr>
      <w:r>
        <w:rPr>
          <w:rFonts w:ascii="Times New Roman" w:hAnsi="Times New Roman"/>
          <w:b/>
          <w:i/>
          <w:color w:val="000000"/>
          <w:sz w:val="20"/>
        </w:rPr>
        <w:t>Our investments in portfolio companies may expose us to environmental risks.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may invest in portfolio companies that are subject to changing and increasingly stringent environmental and health and safety laws, regulations and permit requirements and environmental costs that could place increasing financial burdens on such portfolio entities. Required expenditures for environmental compliance may adversely impact investment returns on portfolio companies. The imposition of new environmental and other laws, regulations and initiatives could adversely affect the business operations and financial stability of such portfolio companies.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There can be no guarantee that all costs and risks regarding compliance with environmental laws and regulations can be identified. New and more stringent environmental and health and safety laws, regulations and permit requirements or stricter interpretations of current laws or regulations could impose substantial additional costs on our portfolio companies. Compliance with such current or future environmental requirements does not ensure that the operations of the portfolio companies will not cause injury to the environment or to people under all circumstances or that the portfolio companies will not be required to incur additional unforeseen environmental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expenditures. Moreover, failure to comply with any such requirements could have a material adverse effect on a portfolio company, and we can offer no assurance that any such portfolio companies will at all times comply with all applicable environmental laws, regulations and permit requirements.</w:t>
      </w:r>
    </w:p>
    <w:p>
      <w:pPr>
        <w:pStyle w:val="TextBody"/>
        <w:bidi w:val="0"/>
        <w:spacing w:before="160" w:after="240"/>
        <w:jc w:val="both"/>
        <w:rPr>
          <w:rFonts w:ascii="Times New Roman" w:hAnsi="Times New Roman"/>
          <w:b/>
          <w:color w:val="000000"/>
          <w:sz w:val="20"/>
        </w:rPr>
      </w:pPr>
      <w:r>
        <w:rPr>
          <w:rFonts w:ascii="Times New Roman" w:hAnsi="Times New Roman"/>
          <w:b/>
          <w:color w:val="000000"/>
          <w:sz w:val="20"/>
        </w:rPr>
        <w:t>Risks Related to Our Conflicts of Interest</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relationship with Oaktree may create conflicts of interest.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December 31, 2025, OCM Growth owned 19.5% of our outstanding common stock. Pursuant to an irrevocable proxy, the shares of our common stock held by OCM Growth must be voted in the same manner that our other stockholders vote their shares. OCM Growth has a right to nominate a member of our Board of Directors for election for so long as OCM Growth holds shares of our common stock in an amount equal to, in the aggregate, at least one-third (33.33%) of OCM Growth’s initial $125.0 million capital commitment to us, which percentage shall be determined based on the dollar value of the shares of common stock owned by OCM Growth. OCM Growth holds the right to appoint a nominee to the Board of Directors, subject to the conditions previously described, regardless of the Company's size (e.g., assets under management or market capitalization) or the beneficial ownership interests of other stockholders. Further, to the extent OCM Growth’s share ownership falls below one-third of its initial $125 million capital commitment under any circumstances, OCM Growth will no longer have the right to appoint a director nominee and will use reasonable efforts to cause such nominee to resign immediately (subject to his or her existing fiduciary duties).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result of the relationship with Oaktree and OCM Growth, we are presumed to be an affiliate of Oaktree and OCM Growth under the 1940 Act. As a result, we are not able to invest in the same portfolio companies in which any funds managed by Oaktree or OCM Growth invest without seeking exemptive relief from the SEC.</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There are significant potential conflicts of interest which could impact our investment returns.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executive officers and directors, as well as the current and future members of RGC,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 affiliate of the Adviser manages BC Partners Lending Corporation, Portman Ridge Finance Corporation and Logan Ridge Finance Corporation, each of which is a BDC that invests primarily in the debt and equity of privately-held middle-market companies. There may be certain investment opportunities that satisfy the investment criteria for those BDCs and us. Each of BC Partners Lending Corporation, Portman Ridge Finance Corporation and Logan Ridge Finance Corporation currently operate as distinct and separate companies and any investment in our common stock will not be an investment in any of those BDCs. In addition, certain of our independent directors serve as independent directors of those BDCs.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Additionally, affiliates of RGC manage, and may manage in the future, other vehicles with strategies that may be similar to our investment objective. Neither RGC nor its employees or affiliates are generally prohibited from raising capital for and managing other investment entities that make the same types of investments that we target. As a result, the time and resources that these individuals may devote to us may be diverted. In addition, we may compete with any such investment entity for the same investors and investment opportunities.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course of our investing activities, we pay management and incentive fees to RGC and reimburse our Administrator for certain expenses it incurs on our behalf. As a result, investors in our common stock invest on a "gross" basis and receive distributions on a "net" basis after expenses, resulting in a lower rate of return than an investor might achieve through direct investments. Accordingly, there may be times when the management team of RGC will have interests that differ from those of our stockholders, giving rise to a conflict.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entered into a license agreement with RGC (the "License Agreement") pursuant to which RGC has granted us a personal, non-exclusive, royalty-free right and license to use the name "Runway Growth Finance". Under the License Agreement, we have the right to use the "Runway Growth Finance" name for so long as RGC or one of its affiliates remains our investment adviser. Other than with respect to this limited license, we have no legal right to the "Runway Growth Finance" name.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we pay our Administrator, a wholly-owned subsidiary of RGC, our allocable portion of overhead and other expenses incurred by our Administrator in performing its obligations under the Administration Agreement, including rent, the fees and expenses associated with performing accounting and compliance functions. These arrangements may create conflicts of interest that our Board of Directors must monitor.</w:t>
      </w:r>
    </w:p>
    <w:p>
      <w:pPr>
        <w:pStyle w:val="TextBody"/>
        <w:bidi w:val="0"/>
        <w:spacing w:before="120" w:after="240"/>
        <w:jc w:val="both"/>
        <w:rPr>
          <w:rFonts w:ascii="Times New Roman" w:hAnsi="Times New Roman"/>
          <w:sz w:val="20"/>
        </w:rPr>
      </w:pPr>
      <w:r>
        <w:rPr>
          <w:rFonts w:ascii="Times New Roman" w:hAnsi="Times New Roman"/>
          <w:b/>
          <w:i/>
          <w:color w:val="000000"/>
          <w:sz w:val="20"/>
        </w:rPr>
        <w:t>RGC’s liability is limited under the Advisory Agreement and we have agreed to indemnify RGC against certain liabilities, which may lead RGC to act in a riskier manner on our behalf than it would when acting for its own account.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Advisory Agreement, RGC has not assumed any responsibility to us other than to render the services called for under that agreement. It is not responsible for any action of our Board of Directors in following or declining to follow RGC’s advice or recommendations. Under the Advisory Agreement, RGC and its professionals and any person controlling or controlled by RGC are not liable to us, any subsidiary of ours, our directors, our stockholders or any subsidiary’s stockholders or partners for acts or omissions performed in accordance with and pursuant to the Advisory Agreement, except those resulting from acts constituting gross negligence, willful misfeasance, bad faith or reckless disregard of the duties that RGC owes to us under the Advisory Agreement. In addition, as part of the Advisory Agreement, we will indemnify RGC and its professionals from and against any claims or liabilities, including reasonable legal fees and other expenses reasonably incurred, arising out of or in connection with our business and operations or any action taken or omitted on our behalf pursuant to authority granted by the Advisory Agreement, except where attributable to gross negligence, willful misfeasance, bad faith or reckless disregard of such person’s duties under the Advisory Agreement.</w:t>
      </w:r>
    </w:p>
    <w:p>
      <w:pPr>
        <w:pStyle w:val="TextBody"/>
        <w:bidi w:val="0"/>
        <w:spacing w:before="120" w:after="240"/>
        <w:jc w:val="both"/>
        <w:rPr>
          <w:rFonts w:ascii="Times New Roman" w:hAnsi="Times New Roman"/>
          <w:sz w:val="20"/>
        </w:rPr>
      </w:pPr>
      <w:r>
        <w:rPr>
          <w:rFonts w:ascii="Times New Roman" w:hAnsi="Times New Roman"/>
          <w:b/>
          <w:i/>
          <w:color w:val="000000"/>
          <w:sz w:val="20"/>
        </w:rPr>
        <w:t>The valuation process for certain of our investments may create a conflict of interest.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majority of our investments, no market-based price quotation is available. As a result, our Board of Directors determines the fair value of these securities in good faith as described in "Risk Factors – Risks Related to Our Business and Structure – 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 In connection with that determination, RGC’s investment team provides our Board of Directors with valuation recommendations based upon the most recent and available information, which generally includes industry outlook, capitalization, consolidated financial statements and projected financial results of each portfolio company. Our Board of Directors utilizes the services of certain independent third-party valuation firms to aid it in determining the fair value of these investments. The Board of Directors discusses valuations and determines the fair value in good faith based on the input of RGC, the Audit Committee of the Board of Directors and the applicable third-party valuation firm. The participation of RGC’s investment team in our valuation process, and the pecuniary interest in RGC by certain members of our Board of Directors, could result in a conflict of interest as RGC’s base management fee is based, in part, on the value of our average adjusted gross assets, and RGC’s incentive fee is based, in part, on realized gains and realized and unrealized losses. </w:t>
      </w:r>
    </w:p>
    <w:p>
      <w:pPr>
        <w:pStyle w:val="TextBody"/>
        <w:bidi w:val="0"/>
        <w:spacing w:before="120" w:after="240"/>
        <w:jc w:val="both"/>
        <w:rPr>
          <w:rFonts w:ascii="Times New Roman" w:hAnsi="Times New Roman"/>
          <w:sz w:val="20"/>
        </w:rPr>
      </w:pPr>
      <w:r>
        <w:rPr>
          <w:rFonts w:ascii="Times New Roman" w:hAnsi="Times New Roman"/>
          <w:b/>
          <w:i/>
          <w:color w:val="000000"/>
          <w:sz w:val="20"/>
        </w:rPr>
        <w:t>We may pay the Adviser an incentive fee on certain investments that include a deferred interest feature.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underwrite our loans to generally include an end-of-term payment, a PIK interest payment and/or original issue discount. Our end-of-term payments are contractual and fixed interest payments due at the maturity date of the loan, including upon prepayment, and are generally a fixed percentage of the original principal balance of the loan. The portion of our end-of-term payments, which equal the difference between our yield-to-maturity and the stated interest rate on the loan, are recognized as non-cash income or original issue discount until they are paid. In addition, in connection with our equity-related investments, we may be required to accrue original issue discount, which decreases the balance on our secured loans by an amount equal to the value of the warrant investment we receive in connection with the applicable secured loan over its lifetime. Under these types of investments, we accrue interest during the life of the loan on the end-of-term payment, PIK interest payment and/or original issue discount but do not receive the cash income from the investment until the end of the term. However, our pre-incentive fee net investment income, which is used to calculate the income portion of our incentive fee, includes accrued interest. Thus, a portion of this incentive fee is based on income that we have not yet received in cash, such as an end-of-term payment, a PIK interest payment and/or original issue discount.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Shares of our common stock have traded at a discount from net asset value and may do so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has at times traded below our net asset value per share since our IPO on October 25, 2021. Our shares may also trade at a discount to net asset value in the future. The possibility that our shares of common stock may trade at a discount from net asset value over the long term is separate and distinct from the risk that our net asset value will decrease. We cannot predict whether shares of our common stock will trade above, at or below our net asset value. If our common stock trades below our net asset value, we will generally not be able to issue additional shares of our common stock without first obtaining the approval for such issuance from our stockholders and our Independent Directors. As a result, we may be forced to curtail or cease our new lending and investment activities, our net asset value could decrease, and our level of distributions could be impacted.</w:t>
      </w:r>
    </w:p>
    <w:p>
      <w:pPr>
        <w:pStyle w:val="TextBody"/>
        <w:bidi w:val="0"/>
        <w:spacing w:before="120" w:after="240"/>
        <w:jc w:val="both"/>
        <w:rPr>
          <w:rFonts w:ascii="Times New Roman" w:hAnsi="Times New Roman"/>
          <w:sz w:val="20"/>
        </w:rPr>
      </w:pPr>
      <w:r>
        <w:rPr>
          <w:rFonts w:ascii="Times New Roman" w:hAnsi="Times New Roman"/>
          <w:b/>
          <w:i/>
          <w:color w:val="000000"/>
          <w:sz w:val="20"/>
        </w:rPr>
        <w:t>A stockholder’s interest in us will be diluted if we issue additional shares, which could reduce the overall value of an investment in us.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stockholders do not have preemptive rights to purchase any shares we issue in the future. Our charter authorizes us to issue up to 100.0 million shares of common stock. Pursuant to our charter, a majority of our entire Board of Directors may amend our charter to increase the number of shares of common stock we may issue without stockholder approval. Our Board of Directors may elect to sell additional shares in the future or issue equity interests in private offerings. To the extent we issue additional equity interests at or below net asset value, your percentage ownership interest in us may be diluted. In addition, depending upon the terms and pricing of any additional offerings and the value of our investments, you may also experience dilution in the book value and fair value of your shares.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1940 Act, we generally are prohibited from issuing or selling our common stock at a price below net asset value per share, which may be a disadvantage as compared with certain public companies. We may, however, sell our common stock, or warrants, options, or rights to acquire our common stock, at a price below the current net asset value of our common stock if our Board of Directors and independent directors determine that such sale is in our best interests and the best interests of our stockholders, and our stockholders approve such sale. In any such case, the price at which our securities are to be issued and sold may not be less than a price that, in the determination of our Board of Directors, closely approximates the fair value of such securities (less any distributing commission or discount). If we raise additional funds by issuing common stock or senior securities convertible into, or exchangeable for, our common stock, then the percentage ownership of our stockholders at that time will decrease and you will experience dilution.</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Sales of substantial amounts of our common stock in the public market may have an adverse effect on the market price of our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shares of our common stock that were outstanding prior to the completion of the IPO are "restricted securities" under the meaning of Rule 144 promulgated under the Securities Act and may only be sold if such sale is registered under the Securities Act or exempt from registration, including the exemption under Rule 144.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December 31, 2025, OCM Growth owned 19.5% of our total outstanding shares. Subject to applicable securities laws, including Rule 144, sales of substantial amounts of our common stock, or the perception that such sales could occur, could adversely affect the prevailing market prices for our common stock. If these sales occur,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pStyle w:val="TextBody"/>
        <w:bidi w:val="0"/>
        <w:spacing w:before="120" w:after="240"/>
        <w:jc w:val="both"/>
        <w:rPr>
          <w:rFonts w:ascii="Times New Roman" w:hAnsi="Times New Roman"/>
          <w:sz w:val="20"/>
        </w:rPr>
      </w:pPr>
      <w:r>
        <w:rPr>
          <w:rFonts w:ascii="Times New Roman" w:hAnsi="Times New Roman"/>
          <w:b/>
          <w:i/>
          <w:color w:val="000000"/>
          <w:sz w:val="20"/>
        </w:rPr>
        <w:t>Investing in our common stock involves a high degree of risk.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investments we make in accordance with our investment objective may result in a higher amount of risk than alternative investment options, including volatility or loss of principal. Our investments in portfolio companies may be highly speculative and aggressive and, therefore, an investment in our common stock may not be suitable for someone with lower risk tolerance.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sz w:val="20"/>
        </w:rPr>
      </w:pPr>
      <w:r>
        <w:rPr>
          <w:rFonts w:ascii="Times New Roman" w:hAnsi="Times New Roman"/>
          <w:b/>
          <w:i/>
          <w:color w:val="000000"/>
          <w:sz w:val="20"/>
        </w:rPr>
        <w:t>The market value of our common stock may fluctuate significantly.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market value and liquidity, if any, of the market for shares of our common stock may be significantly affected by numerous factors, some of which are beyond our control and may not be directly related to our operating performance. These factors include: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the value of our portfolio of investments and derivative instruments as a result of changes in market factors, such as interest rate shifts, and also portfolio specific performance, such as portfolio company defaults, among other reasons;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changes in regulatory policies or tax guidelines, particularly with respect to RICs or BDCs;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loss of RIC or BDC status;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distributions that exceed our net investment income and net income as reported according to U.S. GAAP;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changes in earnings or variations in operating results;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changes in accounting guidelines governing valuation of our investments;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any shortfall in revenue or net income or any increase in losses from levels expected by investors;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departure of our Adviser or certain of its key personnel;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general economic trends and other external factors; and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loss of a major funding source.</w:t>
      </w:r>
    </w:p>
    <w:p>
      <w:pPr>
        <w:pStyle w:val="TextBody"/>
        <w:bidi w:val="0"/>
        <w:spacing w:before="120" w:after="240"/>
        <w:jc w:val="both"/>
        <w:rPr>
          <w:rFonts w:ascii="Times New Roman" w:hAnsi="Times New Roman"/>
          <w:sz w:val="20"/>
        </w:rPr>
      </w:pPr>
      <w:r>
        <w:rPr>
          <w:rFonts w:ascii="Times New Roman" w:hAnsi="Times New Roman"/>
          <w:b/>
          <w:i/>
          <w:color w:val="000000"/>
          <w:sz w:val="20"/>
        </w:rPr>
        <w:t>The amount of any distributions we may make is uncertain. We may not be able to pay you distributions, or be able to sustain distributions at any particular level, and our distributions per share, if any, may not grow over time, and our distributions per share may be reduced. We have not established any limit on the extent to which we may use borrowings, if any, to sustain distributions and we may also use offering proceeds to fund distributions (which may reduce the amount of capital we ultimately invest in portfolio companies).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our Board of Director’s discretion and applicable legal restrictions, we intend to authorize and declare cash distributions and pay such distributions on a quarterly basis. We expect to pay distributions out of assets legally available for distribution. However, we cannot assure you that we will achieve investment results that will allow us to make a consistent targeted level of distributions or year-to-year increases in distributions. Our ability to pay distributions might be adversely affected by the impact of the risks described herein. In addition, the inability to satisfy the asset coverage test applicable to us as a BDC under the 1940 Act can limit our ability to pay distributions. Distributions from offering proceeds also could reduce the amount of capital we ultimately invest in debt or equity securities of portfolio companies. We cannot assure you that we will pay distributions to our stockholders in the future. See "Business – Regulation as a Business Development Company" in Part I, Item 1 of this Form 10-K.</w:t>
      </w:r>
    </w:p>
    <w:p>
      <w:pPr>
        <w:pStyle w:val="TextBody"/>
        <w:bidi w:val="0"/>
        <w:spacing w:before="120" w:after="240"/>
        <w:jc w:val="both"/>
        <w:rPr>
          <w:rFonts w:ascii="Times New Roman" w:hAnsi="Times New Roman"/>
          <w:sz w:val="20"/>
        </w:rPr>
      </w:pPr>
      <w:r>
        <w:rPr>
          <w:rFonts w:ascii="Times New Roman" w:hAnsi="Times New Roman"/>
          <w:b/>
          <w:i/>
          <w:color w:val="000000"/>
          <w:sz w:val="20"/>
        </w:rPr>
        <w:t>Distributions on our common stock may exceed our taxable earnings and profits. Therefore, portions of the distributions that we pay may represent a return of capital to you.</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return of capital is a return of a portion of your original investment in shares of our common stock. As a result, a return of capital will (i) lower your adjusted tax basis in your shares and thereby increase the amount of capital gain (or decrease the amount of capital loss) realized upon a subsequent sale or redemption of such shares, and (ii) reduce the amount of funds we have for investment in portfolio companies.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may pay our distributions from offering proceeds in anticipation of future cash flow, which may constitute a return of your capital and will lower your adjusted tax basis in your shares, thereby increasing the amount of capital gain (or decreasing the amount of capital loss) realized upon a subsequent sale or redemption of such shares, even if such shares have not increased in value or have, in fact, lost value.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sz w:val="20"/>
        </w:rPr>
      </w:pPr>
      <w:r>
        <w:rPr>
          <w:rFonts w:ascii="Times New Roman" w:hAnsi="Times New Roman"/>
          <w:b/>
          <w:i/>
          <w:color w:val="000000"/>
          <w:sz w:val="20"/>
        </w:rPr>
        <w:t>Stockholders may experience dilution in the net asset value of their shares if they do not participate in our Dividend Reinvestment Plan and if our shares are trading at a discount to net asset value.</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All distributions declared in cash payable to stockholders that are participants in our Dividend Reinvestment Plan will be automatically reinvested in shares of our common stock (net of applicable withholding taxes). In addition, stockholders who elect not to participate in our Dividend Reinvestment Plan may experience accretion to the net asset value of their shares if our shares are trading at a premium to net asset value and dilution if our shares are trading at a discount to net asset value. The level of accretion or discount would depend on various factors, including the proportion of our stockholders who participate in the plan, the level of premium or discount at which our shares are trading and the amount of the distribution payable to stockholders. </w:t>
      </w:r>
    </w:p>
    <w:p>
      <w:pPr>
        <w:pStyle w:val="TextBody"/>
        <w:bidi w:val="0"/>
        <w:spacing w:before="40" w:after="200"/>
        <w:jc w:val="both"/>
        <w:rPr>
          <w:rFonts w:ascii="Times New Roman" w:hAnsi="Times New Roman"/>
          <w:sz w:val="20"/>
        </w:rPr>
      </w:pPr>
      <w:r>
        <w:rPr>
          <w:rFonts w:ascii="Times New Roman" w:hAnsi="Times New Roman"/>
          <w:b/>
          <w:i/>
          <w:color w:val="000000"/>
          <w:sz w:val="20"/>
        </w:rPr>
        <w:t>If we issue preferred stock or convertible debt securities, the net asset value of our common stock may become more volatile.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may issue preferred stock or convertible debt in the future. We cannot assure you that the issuance of preferred stock and/or convertible debt securities would result in a higher yield or return to the holders of our common stock. The issuance of preferred stock or convertible debt would likely cause the net asset value of our common stock to become more volatile. If the dividend rate on the preferred stock, or the interest rate on the convertible debt securities, were to approach the net rate of return on our investment portfolio, the benefit of such leverage to the holders of our common stock would be reduced. If the dividend rate on the preferred stock, or the interest rate on the convertible debt securities, were to exceed the net rate of return on our portfolio, the use of leverage would result in a lower rate of return to the holders of common stock than if we had not issued the preferred stock or convertible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or debt securities. This decline in net asset value would also tend to cause a greater decline in the market price, if any, for our common stock.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There is also a risk that, in the event of a sharp decline in the value of our net assets, we would be in danger of failing to maintain required asset coverage ratios, which may be required by the preferred stock or convertible debt, or our current investment income might not be sufficient to meet the dividend requirements on the preferred stock or the interest payments on the debt securities. In order to counteract such an event, we might need to liquidate investments in order to fund the redemption of some or all of the preferred stock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or convertible debt may have different interests than holders of common stock and may at times have disproportionate influence over our affairs. </w:t>
      </w:r>
    </w:p>
    <w:p>
      <w:pPr>
        <w:pStyle w:val="TextBody"/>
        <w:bidi w:val="0"/>
        <w:spacing w:before="40" w:after="200"/>
        <w:jc w:val="both"/>
        <w:rPr>
          <w:rFonts w:ascii="Times New Roman" w:hAnsi="Times New Roman"/>
          <w:b/>
          <w:i/>
          <w:color w:val="000000"/>
          <w:sz w:val="20"/>
        </w:rPr>
      </w:pPr>
      <w:r>
        <w:rPr>
          <w:rFonts w:ascii="Times New Roman" w:hAnsi="Times New Roman"/>
          <w:b/>
          <w:i/>
          <w:color w:val="000000"/>
          <w:sz w:val="20"/>
        </w:rPr>
        <w:t>Provisions of the MGCL and of our charter and bylaws could deter takeover attempts and have an adverse impact on the price of our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 Maryland General Corporation Law (the "MGCL"), our charter and bylaws contain provisions that may discourage, delay or make more difficult a change in control of us or the removal of our directors. We are subject to the Maryland Business Combination Act (the "Business Combination Act"), subject to any applicable requirements of the 1940 Act. Our Board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The SEC staff has rescinded its position that, under the 1940 Act, an investment company may not avail itself of the Control Share Act. As a result, we will amend our bylaws to be subject to the Control Share Act only if our Board of Directors determines it would be in our best interests.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also adopted measures that may make it difficult for a third party to obtain control of us, including provisions of our charter classifying our Board in three classes serving staggered three-year terms, authorizing our Board to classify or reclassify shares of our common stock in one or more classes or series, to cause the issuance of additional shares of our common stock, and to amend our bylaws without stockholder approval and to increase or decrease the number of shares of common stock that we have authority to issue. These provisions, as well as other provisions of our charter and bylaws, may delay, defer or prevent a transaction or a change in control that might otherwise be in the best interests of our stockholders.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Our Board of Directors is authorized to reclassify any unissued shares of common stock into one or more classes of preferred stock, which could convey special rights and privileges to its owners.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MGCL and our charter, our Board of Directors is authorized to classify and reclassify any authorized but unissued shares of stock into one or more classes of stock, including preferred stock. Prior to the issuance of shares of each class or series, the Board of Directors is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The cost of any such reclassification would be borne by our existing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but may determine to do so in the future. The issuance of preferred stock convertible into shares of common stock might also reduce the net income per share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Certain investors are limited in their ability to make significant investments in 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are also generally subject to this restriction as well as other limitations under the 1940 Act that would restrict the amount that they are able to invest in our securities. </w:t>
      </w:r>
    </w:p>
    <w:p>
      <w:pPr>
        <w:pStyle w:val="TextBody"/>
        <w:bidi w:val="0"/>
        <w:spacing w:before="120" w:after="240"/>
        <w:jc w:val="both"/>
        <w:rPr>
          <w:rFonts w:ascii="Times New Roman" w:hAnsi="Times New Roman"/>
          <w:sz w:val="20"/>
        </w:rPr>
      </w:pPr>
      <w:r>
        <w:rPr>
          <w:rFonts w:ascii="Times New Roman" w:hAnsi="Times New Roman"/>
          <w:b/>
          <w:i/>
          <w:color w:val="000000"/>
          <w:sz w:val="20"/>
        </w:rPr>
        <w:t>Our business and operations could be negatively affected if we become subject to any securities litigation or stockholder activism, which could cause us to incur significant expense, hinder execution of investment strategy and impact our stock price.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in the BDC space in recent years.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Risks Related to RIC Tax Treatment</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We will be subject to U.S. federal income tax at the regular corporate rate if we are unable to qualify as a RIC.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Although we have elected to be treated as a RIC under subchapter M of the Code, no assurance can be given that we will be able to qualify as and maintain our qualification as a RIC. To maintain our tax treatment as a RIC, we must meet the 90% Gross Income Test, Diversification Tests, and the Annual Distribution Requirement described above.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Failure to meet the Diversification Tests may result in our having to dispose of certain investments quickly in order to prevent the loss of our qualification as a RIC. Because most of our investments will be in private companies, and therefore will be relatively illiquid, any such dispositions could be made at disadvantageous prices and could result in substantial losses.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Because we may use debt financing, we are subject to certain asset coverage ratio requirements under the 1940 Act and financial covenants under loan and credit agreements that could, under certain circumstances, restrict us from making distributions necessary to satisfy the Annual Distribution Requirement. If we are unable to obtain cash from other sources, we could fail to qualify for tax treatment as a RIC.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we fail to qualify as a RIC for any reason and therefore become subject to U.S. federal income tax at the regular corporate rate, the resulting company-level taxes could substantially reduce our net assets, the amount of income available for distribution and the amount of our distributions.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We may have difficulty paying our required distributions if we recognize income before or without receiving cash representing such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U.S. federal income tax purposes, we will include in our taxable income certain amounts that we have not yet received in cash, such as original issue discount, which may arise if we receive warrants in connection with the origination of a loan or possibly in other circumstances, or contractual PIK interest, which represents contractual interest added to the loan balance and due at the end of the loan term. Such original issue discount or increases in loan balances as a result of contractual PIK arrangements will be included in our taxable income before we receive any corresponding cash payments. We also may be required to include in our taxable income certain other amounts that we will not receive in cash.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Since, in certain cases, we may recognize taxable income before or without receiving corresponding cash payments, we may have difficulty meeting the Annual Distribution Requirement necessary to maintain our qualification as a RIC. Accordingly, to satisfy our Annual Distribution Requirement, we may have to sell some of our investments at times and/or at prices we would not consider advantageous, raise additional debt or equity capital or forgo new investment opportunities. If we are not able to obtain cash from other sources, we may fail to qualify for tax treatment as a RIC and thus become subject to U.S. federal income tax at the regular corporate rate. For additional discussion regarding the tax implications of our election to be taxed as a RIC, please see "Business – Certain U.S. Federal Income Tax Considerations – Taxation of the Company" in Part I, Item 1 of this Form 10-K.</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Due to ongoing healthcare emergencies or other disruptions in the economy, we may reduce or defer our dividends and choose to incur U.S. federal excise tax in order preserve cash and maintain flexibility.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a BDC, we are not required to make any distributions to stockholders other than in connection with our election to be taxed as a RIC under subchapter M of the Code. In order to maintain our tax treatment as a RIC, we must meet the Annual Distribution Requirement. If we qualify for taxation as a RIC, we generally will not be subject to U.S. federal income tax at corporate rates on our investment company taxable income and net capital gains (i.e., realized net long-term capital gains in excess of realized net short-term capital losses) that we timely distribute to stockholders. We will be subject to a 4% U.S. federal excise tax on undistributed earnings of a RIC unless we distribute each calendar year at least the sum of (i) 98%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 the Section 852 of Code, we may satisfy certain of our RIC distributions with dividends paid after the end of the current year. In particular, if we pay a distribution in January of the following year that was declared in October, November, or December of the current year and is payable to stockholders of record in the current year, the dividend will be treated for all US federal tax purposes as if it were paid on December 31 of the current year. In addition, we may pay dividends, referred to as "spillback dividends," that are paid during the following taxable year that will allow us to maintain our qualification for taxation as a RIC and eliminate our liability for U.S. federal income tax. Under these spillback dividend procedures, we may defer distribution of income earned during the current year until December of the following year. For example, we may defer distributions of income earned during 2025 until as late as December 31, 2026. If we choose to pay a spillback dividend, we will incur the nondeductible 4% U.S. federal excise tax on some or all of the distribution.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may take certain actions with respect to the timing and amounts of our distributions in order to preserve cash and maintain flexibility. For example, we may reduce our dividends and/or defer our dividends to the following taxable year. If we defer our dividends, we may choose to utilize the spillback dividend rules discussed above and incur the 4% U.S. federal excise tax on such amounts. To further preserve cash, we may combine these reductions or deferrals of dividends with one or more distributions that are payable partially in our stock as discussed below under "Risk Factors – Risks Related to RIC Tax Treatments – We may choose to pay distributions in our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own stock, including in connection with our Dividend Reinvestment Plan, in which case you may be required to pay U.S. federal income tax in excess of the cash you receive."</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We may choose to pay distributions in our own stock, including in connection with our Dividend Reinvestment Plan, in which case you may be required to pay U.S. federal income tax in excess of the cash you receive.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distribute taxable distributions that are payable in cash or shares of our common stock, including in connection with our Dividend Reinvestment Plan. Under certain applicable provisions of the Code and published IRS guidance, distributions payable from a publicly offered RIC that are payable in cash or in shares of stock at the election of stockholders may be treated as taxable distributions. The IRS has issued a revenue procedure indicating that this rule will apply if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shares of our common stock). We currently expect to qualify as a publicly offered RIC. If we qualify as a publicly offered RIC and decide to make any distributions consistent with this revenue procedures that are payable in part in shares of our common stock, taxable stockholders receiving such distributions will be required to include the full amount of the distribution (whether received in cash,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U.S. federal income tax with respect to such distributions in excess of any cash received. If a U.S. stockholder sells the stock it receives as a distribution in order to pay this tax, the sales proceeds may be less than the amount included in income with respect to the distribution, depending on the net asset value of our stock at the time of the sale. Furthermore, with respect to non-U.S. stockholders, we may be required to withhold U.S. federal tax with respect to such distributions, including in respect of all or a portion of such distribution that is payable in stock. In addition, if a significant number of our stockholders sell shares of our common stock in order to pay U.S. federal income taxes owed on distributions, it may put downward pressure on the net asset value of our common stock.</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If we are not treated as a "publicly offered regulated investment company," as defined in the Code, certain U.S. stockholders will be treated as having received a dividend from us in the amount of such U.S. stockholders’ allocable share of the management and incentive fees paid to RGC and certain of our other expenses, and these fees and expenses will be treated as miscellaneous itemized deductions of such U.S. stockholders.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"publicly offered RIC" is a RIC whose shares are either (i) continuously offered pursuant to a public offering, (ii) regularly traded on an established securities market or (iii) held by at least 500 persons at all times during the taxable year. 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RGC and certain of our other expenses for the calendar year, and will be deductible by such shareholder only to the extent permitted under the limitations described below. For non-corporate U.S. stockholders, including individuals, trusts, and estates, significant limitations generally apply to the deductibility of certain expenses of a non-publicly offered RIC. In particular, these expenses, referred to as miscellaneous itemized deductions, currently are not deductible by non-corporate U.S. stockholders.</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Risks Relating to the Mergers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Sales of shares of our common stock after the completion of the Mergers may cause the market price of our common stock to decline.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the effective time of the Mergers, each share of SWK common stock issued and outstanding immediately prior to such time (other than shares owned by us or any of our consolidated subsidiaries), will be converted into the right to receive a number of shares of our common stock equal to the Exchange Ratio, plus any cash (without interest) in lieu of fractional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Former SWK stockholders may decide not to hold the shares of our common stock that they will receive pursuant to the Merger Agreement. In addition, our stockholders may decide not to hold their shares of our common stock after completion of the Mergers. In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case, such sales of our common stock could have the effect of depressing the market price for our common stock and may take place soon after the completion of the Mergers.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Our stockholders will experience a reduction in percentage ownership and voting power in the combined company as a result of the Mergers.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stockholders will experience a reduction in their respective percentage ownership interests and effective voting power in respect of the combined company relative to their respective percentage ownership interests in us prior to the Mergers. Consequently, our stockholders should generally expect to exercise less influence over the management and policies of the combined company following the Mergers than they currently exercise over our management and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Prior to completion of the Mergers, subject to certain restrictions in the Merger Agreement, and certain restrictions under the 1940 Act for issuances at prices below the then current NAV per share of our common stock and SWK’s common stock, we and SWK may issue additional shares of our common stock and SWK common stock, respectively, which would further reduce the percentage ownership of the combined company to be held by our current stockholders or to be held by SWK stockholders, as applicable.</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We may be unable to realize the benefits anticipated by the Mergers, including estimated cost savings, or it may take longer than anticipated to achieve such benefits.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realization of certain benefits anticipated as a result of the Mergers will depend in part on the integration of SWK’s investment portfolio with our investment portfolio and the integration of SWK’s business with our business. There can be no assurance that SWK’s investment portfolio or business can be operated profitably or integrated successfully into our operations in a timely fashion or at all. The dedication of management resources to such integration may detract attention from the day-to-day business of the combined company and there can be no assurance that there will not be substantial costs associated with the transition process or that there will not be other material adverse effects as a result of these integration efforts. Such effects, including incurring unexpected costs or delays in connection with such integration and failure of SWK’s investment portfolio to perform as expected, could have a material adverse effect on the financial results of the combined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also expect to achieve certain cost savings from the Mergers when the two companies have fully integrated their portfolios. It is possible that the estimates of the potential cost savings could ultimately be incorrect. The cost savings estimates also assume we will be able to combine our operations and SWK’s operations in a manner that permits those cost savings to be fully realized. If the estimates turn out to be incorrect or if we are not able to combine SWK’s investment portfolio or business with our operations, the anticipated cost savings may not be fully realized or realized at all or may take longer to realize than expected.</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 Mergers may trigger certain “change of control” provisions and other restrictions in our or SWK’s contracts or contracts of our respective affiliates, and the failure to obtain any required consents or waivers could adversely impact the combined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of our or SWK’s agreements or contracts of our respective affiliates, which may include agreements governing our indebtedness or the indebtedness of SWK, may require the consent or waiver of one or more counterparties in connection with the Mergers. The failure to obtain any such consent or waiver may permit such counterparties to terminate, or otherwise increase their rights or our and SWK’s obligations under, any such agreement because the Mergers or other transactions contemplated by the Merger Agreement may violate an anti-assignment, change of control or other similar provision relating to any of such transactions. If this occurs, we may have to seek to replace that agreement with a new agreement or seek an amendment to such agreement. We cannot assure you that we will be able to replace or amend any such agreement on comparable terms or at 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such agreement is material, the failure to obtain consents, amendments or waivers under, or to replace on similar terms or at all, any of these agreements could adversely affect the financial performance or results of operations of the combined company following the Mergers, including preventing us from operating a material part of SWK’s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addition, the consummation of the Mergers may violate, conflict with, result in a breach of provisions of, or the loss of any benefit under, constitute a default (or an event that, with or without notice or lapse of time or both, would constitute a default) under, or result in the termination, cancellation, acceleration or other change of any right or obligation (including any payment obligation) under, certain agreements of us and SWK. Any such violation, conflict, breach, loss, default or other effect could, either individually or in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aggregate, have a material adverse effect on the financial condition, results of operations, assets or business of the combined company following completion of the Mergers.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 announcement and pendency of the Mergers could adversely affect both our and SWK’s business, financial results and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announcement and pendency of the Mergers could cause disruptions in and create uncertainty surrounding both our and SWK’s business, including affecting relationships with existing and future borrowers, which could have a significant negative impact on future revenues and results of operations, regardless of whether the Mergers are completed. In addition, we and SWK have diverted, and will continue to divert, management resources towards the completion of the Mergers, which could have a negative impact on each of our and SWK’s future revenues and 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 SWK are also subject to restrictions on the conduct of each of our and SWK’s businesses prior to the completion of the Mergers as provided in the Merger Agreement, generally requiring SWK and us to conduct business only in the ordinary course and subject to specific limitations, including, among other things, certain restrictions on each of our and SWK’s respective ability to make certain investments and acquisitions, sell, transfer or dispose of our and SWK’s respective assets, amend each of our and SWK’s respective organizational documents and enter into or modify certain material contracts. These restrictions could prevent SWK or us from pursuing otherwise attractive business opportunities, industry developments and future opportunities and may otherwise have a significant negative impact on the respective future investment income and results of operations of each of us and/or the combined company following the Mergers.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If the Mergers do not close, we will not benefit from the expenses incurred in pursuit of the Mergers.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Mergers may not be completed. If the Mergers are not completed, we will have incurred substantial expenses for which no ultimate benefit will have been received. We have incurred out-of-pocket expenses in connection with the Mergers for investment banking, legal and accounting fees and financial printing and other related charges, much of which will be incurred even if the Mergers are not completed.</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 termination of the Merger Agreement could negatively impact us.</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If the Merger Agreement is terminated, there may be various consequences, including:</w:t>
      </w:r>
    </w:p>
    <w:p>
      <w:pPr>
        <w:pStyle w:val="TextBody"/>
        <w:bidi w:val="0"/>
        <w:spacing w:before="160" w:after="120"/>
        <w:jc w:val="both"/>
        <w:rPr>
          <w:color w:val="000000"/>
        </w:rPr>
      </w:pPr>
      <w:r>
        <w:rPr>
          <w:color w:val="000000"/>
        </w:rPr>
        <w:t>•</w:t>
      </w:r>
    </w:p>
    <w:p>
      <w:pPr>
        <w:pStyle w:val="TextBody"/>
        <w:bidi w:val="0"/>
        <w:spacing w:before="160" w:after="120"/>
        <w:jc w:val="both"/>
        <w:rPr>
          <w:rFonts w:ascii="Times New Roman" w:hAnsi="Times New Roman"/>
          <w:color w:val="000000"/>
          <w:sz w:val="20"/>
        </w:rPr>
      </w:pPr>
      <w:r>
        <w:rPr>
          <w:rFonts w:ascii="Times New Roman" w:hAnsi="Times New Roman"/>
          <w:color w:val="000000"/>
          <w:sz w:val="20"/>
        </w:rPr>
        <w:t>our business may have been adversely impacted by the failure to pursue other beneficial opportunities due to the focus of management on the Mergers, without realizing any of the anticipated benefits of completing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market price of our common stock might decline to the extent that the market price prior to termination reflects a market assumption that the Mergers will be completed;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payment of any termination fee, if required under the circumstances, could adversely affect our financial condition and liquidity.</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 Merger Agreement limits our ability to pursue alternatives to the Mergers.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Merger Agreement contains provisions that limit our ability to discuss, facilitate or commit to competing third party proposals to acquire all or a significant part of us. These provisions, which are typical for transactions of this type, include a termination fee of $8.2 million payable by third parties to SWK under certain circumstances. Such provisions might discourage a potential competing acquirer that might have an interest in acquiring all or a significant part of us from considering or proposing that acquisition even if it were prepared to pay consideration with a higher per share market price than that proposed in the Mergers or might result in a potential competing acquirer proposing to pay a lower per share price to acquire us than it might otherwise have proposed to pay.</w:t>
      </w:r>
    </w:p>
    <w:p>
      <w:pPr>
        <w:pStyle w:val="TextBody"/>
        <w:bidi w:val="0"/>
        <w:spacing w:before="120" w:after="24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The Mergers are subject to closing conditions, including stockholder approvals, that, if not satisfied or (to the extent legally allowed) waived, will result in the Mergers not being completed, which may result in material adverse consequences to our business and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Mergers are subject to closing conditions, including certain approvals of our and SWK’s respective stockholders that, if not satisfied, will prevent the Mergers from being completed. The closing condition that SWK’s stockholders adopt the Merger Agreement and approve the Mergers may not be waived under applicable law and must be satisfied for the Mergers to be completed. If SWK stockholders do not adopt the Merger Agreement and approve the Mergers and the Mergers are not completed, the resulting failure of the Mergers could have a material adverse impact on our business and operations. In addition, the closing condition that our stockholders approve the issuance of shares of our common stock pursuant to the Merger Agreement may not be waived and must be satisfied for the Mergers to be completed. If our stockholders do not approve the issuance of shares of our common stock pursuant to the Merger Agreement and the Mergers are not completed, the resulting failure of the Mergers could have a material adverse impact on our business and operations. In addition to the required approvals of our and SWK’s stockholders, the Mergers are subject to a number of other conditions beyond our control that may prevent, delay or otherwise materially adversely affect completion of the Mergers. We cannot predict whether and when these other conditions will be satisfied.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We will be subject to operational uncertainties and contractual restrictions while the Mergers are pending.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Uncertainty about the effect of the Mergers may have an adverse effect on us and, consequently, on the combined company following completion of the Mergers.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uncertainties may cause those that deal with us to seek to change their existing business relationships with us. In addition, the Merger Agreement restricts us from taking actions that we might otherwise consider to be in our best interests. These restrictions may prevent us from pursuing certain business opportunities that may arise prior to the completion of the Mergers.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Litigation filed against us and SWK in connection with the Mergers could result in substantial costs and could delay or prevent the Mergers from being completed.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time to time, we and SWK may be subject to legal actions, including securities class action lawsuits and derivative lawsuits, as well as various regulatory, governmental and law enforcement inquiries, investigations and subpoenas in connection with the Mergers. These or any similar securities class action lawsuits and derivative lawsuits, regardless of their merits, may result in substantial costs and divert management time and resources. An adverse judgment in such cases could have a negative impact on the liquidity and financial condition of us and/or the combined company following the Mergers or could prevent the Mergers from being completed.</w:t>
      </w:r>
    </w:p>
    <w:p>
      <w:pPr>
        <w:pStyle w:val="TextBody"/>
        <w:bidi w:val="0"/>
        <w:spacing w:before="120" w:after="240"/>
        <w:jc w:val="both"/>
        <w:rPr>
          <w:rFonts w:ascii="Times New Roman" w:hAnsi="Times New Roman"/>
          <w:sz w:val="20"/>
        </w:rPr>
      </w:pPr>
      <w:r>
        <w:rPr>
          <w:rFonts w:ascii="Times New Roman" w:hAnsi="Times New Roman"/>
          <w:b/>
          <w:i/>
          <w:color w:val="000000"/>
          <w:sz w:val="20"/>
        </w:rPr>
        <w:t>We and SWK may, to the extent legally allowed, waive one or more conditions to the Mergers without resoliciting stockholder approval.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conditions to our and SWK’s obligations to complete the Mergers may be waived, in whole or in part, to the extent legally allowed, either unilaterally or by agreement of us and SWK. In the event that any such waiver does not require resolicitation of stockholders, the parties to the Merger Agreement will have the discretion to complete the Mergers without seeking further stockholder approval. The conditions in the Merger Agreement requiring the approval of our stockholders and SWK stockholders, however, cannot be waived.</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The market price of our common stock after the Mergers may be affected by factors different from those affecting our common stock currently.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business and SWK’s business differ in some respects and, accordingly, the results of operations of the combined company and the market price of our common stock after the Mergers may be affected by factors different from those currently affecting the independent results of operations of each of us and SWK and the market prices of our common stock. These factors include a larger stockholder base and a different capital structure. Accordingly, our historical trading prices and financial results may not be indicative of these matters for the combined company following the Mergers.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General Risks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We may experience fluctuations in our quarterly and annual results.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may experience fluctuations in our quarterly and annual operating results due to a number of factors, including, but not limited to, our ability or inability to make investments in companies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Government intervention in the credit markets could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central banks and, in particular, the U.S. Federal Reserve, have taken unprecedented steps to combat issues such as the economic impact of the COVID-19 pandemic and high inflation rates. It is impossible to predict if, how, and to what extent the United States and other governments may further intervene in the credit markets. Such intervention is often prompted by politically sensitive issues involving family homes, student loans, real estate speculation, credit card receivables, pandemics, etc., and could, as a result, be contrary to the actions that we may expect to be taken in response to such events.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Political uncertainty could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U.S. and non-U.S. markets could experience political uncertainty and/or change that subjects investments to heightened risks, including, for instance, the risks related to the elections in the U.S. These heightened risks could also include: increased risk of default (by both government and private issuers); greater social, trade, economic and political instability (including the risk of war or terrorist activity); greater governmental involvement in the economy; greater governmental supervision and regulation of the securities markets and market participants resulting in increased expenses related to compliance; greater fluctuations in currency exchange rates; controls or restrictions on foreign investment and/or trade, capital controls and limitations on repatriation of invested capital and on the ability to exchange currencies; inability to purchase and sell investments or otherwise settle security or derivative transactions (i.e., a market freeze); unavailability of currency hedging techniques; and slower clearance. During times of political uncertainty and/or change, global markets often become more volatile. There could also be a lower level of monitoring and regulation of markets while a country is experiencing political uncertainty and/or change, and the activities of investors in such markets and enforcement of existing regulations could become more limited. Markets experiencing political uncertainty and/or change could have substantial, and in some periods extremely high, rates of inflation for many years. Inflation and rapid fluctuations in inflation rates typically have negative effects on such countries’ economies and markets. Tax laws could change materially, and any changes in tax laws could have an unpredictable effect on us, our investments and our investors. There can be no assurance that political changes will not cause us or our investors to suffer losses.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Terrorist attacks, acts of war or widespread health emergencies or natural disasters may affect any market for our common stock, impact the businesses in which we invest and harm our business, operating results and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Terrorist acts, acts of war, widespread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widespread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natural disasters and widespread health emergencies are generally uninsurable.</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We are subject to risks associated with the use of service providers, including custodians, administrators and other agents.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depend on the services of custodians, administrators and other agents to carry out certain securities transactions and administrative services for us. In the event of the insolvency of a custodian, we may not be able to recover equivalent assets in full as we will rank among the custodian’s unsecured creditors in relation to assets which the custodian borrows, lends or otherwise uses. In addition, our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cash held with a custodian may not be segregated from the custodian’s own cash, and we therefore may rank as unsecured creditors in relation thereto. The inability to recover assets from the custodian could have a material impact on our performance.</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 our portfolio companies are subject to laws and regulations at the U.S. federal, state and local levels and, in some cases, foreign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For example, the current U.S. presidential administration could support an enhanced regulatory agenda that imposes greater costs on all sectors and on financial services companies in particular. Any such new or changed laws or regulations could have a material adverse effect on our business, and political uncertainty could increase regulatory uncertainty in the near term.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RGC’s investment team to other types of investments in which the investment team may have less expertise or little or no experience. Thus, any such changes, if they occur, could have a material adverse effect on our results of operations and the value of your investment.</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Internal and external cyber threats, as well as other disasters, could impair our ability to conduct business effectively.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incidents that adversely affects our data, resulting in increased costs and other consequences as described above.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 our service providers continue to be impacted by an increase in the ability of employees to work from external locations, including their homes. Policies of extended periods of remote working, whether by us or our service providers, could strain technology resources, introduce operational risks and otherwise heighten the risks described above. Remote working environments may be less secure and more susceptible to hacking attacks, including phishing and social engineering attempts. Accordingly, the risks described above, are heightened under the current conditions.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Any such attack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and RGC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We are subject to risks related to corporate social responsibility.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business faces increasing public scrutiny related to corporate social responsibility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the other hand, we may similarly face damage to our brand or reputation if we do not adequately address differing stakeholder and regulator perspectives on ESG policies and disclosure. Some stakeholders and regulators have increasingly expressed or pursued opposing views, legislation and investment expectations with respect to ESG initiatives. This divergence increases the risk that any action or lack thereof with respect to ESG matters will be perceived negatively by at least some stakeholders and could adversely impact our reputation and business. Rules, regulations and stakeholder expectations concerning ESG matters have been subject to increased attention and shifting focus in recent years. If we do not successfully manage expectations across varied stakeholder interests, it could erode stakeholder trust, impact our reputation and constrain our investment opportunities.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We cannot predict how new tax legislation will affect us, our investments, or our stockholders, and any such legislation could adversely affect our business.</w:t>
      </w:r>
    </w:p>
    <w:p>
      <w:pPr>
        <w:pStyle w:val="TextBody"/>
        <w:bidi w:val="0"/>
        <w:jc w:val="both"/>
        <w:rPr>
          <w:rFonts w:ascii="Times New Roman" w:hAnsi="Times New Roman"/>
          <w:color w:val="000000"/>
          <w:sz w:val="20"/>
        </w:rPr>
      </w:pPr>
      <w:r>
        <w:rPr>
          <w:rFonts w:ascii="Times New Roman" w:hAnsi="Times New Roman"/>
          <w:color w:val="000000"/>
          <w:sz w:val="20"/>
        </w:rPr>
        <w:t>Legislative or other actions relating to taxes could have a negative effect on us. The rules dealing with U.S. federal income taxation are constantly under review by persons involved in the legislative process and by the IRS and the U.S. Treasury Department. Additionally, there are a number of proposals in Congress that would modify the existing U.S. tax rules. The likelihood of any such legislation being enacted is uncertain, but new legislation and any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common stock.</w:t>
      </w:r>
    </w:p>
    <w:p>
      <w:pPr>
        <w:pStyle w:val="Heading1"/>
        <w:bidi w:val="0"/>
        <w:spacing w:before="360" w:after="240"/>
        <w:jc w:val="left"/>
        <w:rPr>
          <w:rFonts w:ascii="Times New Roman" w:hAnsi="Times New Roman"/>
          <w:color w:val="000000"/>
          <w:sz w:val="20"/>
        </w:rPr>
      </w:pPr>
      <w:bookmarkStart w:id="7" w:name="unresolved_staff_comments"/>
      <w:bookmarkEnd w:id="7"/>
      <w:r>
        <w:rPr>
          <w:rFonts w:ascii="Times New Roman" w:hAnsi="Times New Roman"/>
          <w:color w:val="000000"/>
          <w:sz w:val="20"/>
        </w:rPr>
        <w:t>Item 1B. Unresolved Staff Comments</w:t>
      </w:r>
      <w:bookmarkStart w:id="8" w:name="item1bunresolvedstaffcomments_715901"/>
      <w:bookmarkEnd w:id="8"/>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Heading1"/>
        <w:bidi w:val="0"/>
        <w:spacing w:before="360" w:after="240"/>
        <w:jc w:val="left"/>
        <w:rPr>
          <w:rFonts w:ascii="Times New Roman" w:hAnsi="Times New Roman"/>
          <w:color w:val="000000"/>
          <w:sz w:val="20"/>
        </w:rPr>
      </w:pPr>
      <w:bookmarkStart w:id="9" w:name="item_1c_cybersecurity"/>
      <w:bookmarkEnd w:id="9"/>
      <w:r>
        <w:rPr>
          <w:rFonts w:ascii="Times New Roman" w:hAnsi="Times New Roman"/>
          <w:color w:val="000000"/>
          <w:sz w:val="20"/>
        </w:rPr>
        <w:t>Item 1C. Cybersecurity</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 xml:space="preserve">Risk Management and Strategy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processes in place for assessing, identifying, and managing material risks from potential unauthorized occurrences on or through our electronic information systems that could negatively impact the confidentiality, integrity, or availability of our information systems or the information held on such systems. These processes include controls, procedures, systems and tools that are designed to prevent, detect, or mitigate data loss, theft, misuse, unauthorized access, or other security incidents or vulnerabilities affecting the data. Such processes are set forth in our Information and Cybersecurity Policy and Business Continuity/Disaster Recovery Plan (collectively, the "Cybersecurity Policy"). The Cybersecurity Policy sets forth the role of the information security committee ("Information Security Committee") in preparing, implementing, and maintaining incident response procedures in consultation with senior management of the Adviser and Administrator.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Information Security Committee is responsible for the development and implementation of policies and technical measures to reasonably prevent security incidents. The Information Security Committee includes our Chief Financial Officer, SVP of Finance and Accounting, SVP of Growth and an IT representative. At times we may also engage assessors, consultants, or other third parties to assist with assessing, identifying and managing cybersecurity risk. As part of our risk management process, we conduct assessment and penetration testing, including regular trainings completed by employees of RGC who provide services to us pursuant to the Advisory Agreement and Administration Agreement. </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Material Impact of Cybersecurity Risks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the date of this annual report on Form 10-K, we are not aware of any material risks from cybersecurity threats that have materially affected, or are reasonably likely to materially affect, the Company, including our business strategy, results of operations, or financial condition. However, future incidents could have a material impact on our business. Additional information about the cybersecurity risks that we face is discussed in Item 1A of Part I, "Risk Factors" in this Annual Report on Form 10-K under the heading "Cybersecurity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Oversight of Cybersecurity Risks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cybersecurity risks and associated mitigation strategies are evaluated by our management and the Information Security Committee as needed, but no less frequently than annually. On at least a quarterly basis, management and the Information Security Committee report to our Board of Directors on developments to cybersecurity risks we face. Such reports include, among other things, an overview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of the controls and procedures related to assessing, identifying, and managing risks related to cybersecurity threats, oversight of third-party service providers and related cybersecurity threats, and management’s evaluation of cybersecurity risks that are material to us. </w:t>
      </w:r>
    </w:p>
    <w:p>
      <w:pPr>
        <w:pStyle w:val="Heading1"/>
        <w:bidi w:val="0"/>
        <w:spacing w:before="120" w:after="240"/>
        <w:jc w:val="left"/>
        <w:rPr>
          <w:rFonts w:ascii="Times New Roman" w:hAnsi="Times New Roman"/>
          <w:color w:val="000000"/>
          <w:sz w:val="20"/>
        </w:rPr>
      </w:pPr>
      <w:bookmarkStart w:id="10" w:name="item2properties_653484"/>
      <w:bookmarkEnd w:id="10"/>
      <w:r>
        <w:rPr>
          <w:rFonts w:ascii="Times New Roman" w:hAnsi="Times New Roman"/>
          <w:color w:val="000000"/>
          <w:sz w:val="20"/>
        </w:rPr>
        <w:t>Item 2. Properties</w:t>
      </w:r>
    </w:p>
    <w:p>
      <w:pPr>
        <w:pStyle w:val="TextBody"/>
        <w:bidi w:val="0"/>
        <w:jc w:val="both"/>
        <w:rPr>
          <w:rFonts w:ascii="Times New Roman" w:hAnsi="Times New Roman"/>
          <w:color w:val="000000"/>
          <w:sz w:val="20"/>
        </w:rPr>
      </w:pPr>
      <w:r>
        <w:rPr>
          <w:rFonts w:ascii="Times New Roman" w:hAnsi="Times New Roman"/>
          <w:color w:val="000000"/>
          <w:sz w:val="20"/>
        </w:rPr>
        <w:t>Our corporate headquarters are located at 205 N. Michigan Ave., Suite 4200, Chicago, IL 60601 and are provided by the Administrator in accordance with the terms of the Administration Agreement. We and RGC also have offices located in Menlo Park, California and New York, New York. We do not own any real estate.</w:t>
      </w:r>
    </w:p>
    <w:p>
      <w:pPr>
        <w:pStyle w:val="Heading1"/>
        <w:bidi w:val="0"/>
        <w:spacing w:before="360" w:after="240"/>
        <w:jc w:val="left"/>
        <w:rPr>
          <w:rFonts w:ascii="Times New Roman" w:hAnsi="Times New Roman"/>
          <w:color w:val="000000"/>
          <w:sz w:val="20"/>
        </w:rPr>
      </w:pPr>
      <w:bookmarkStart w:id="11" w:name="item3legalproceedings_119224"/>
      <w:bookmarkEnd w:id="11"/>
      <w:r>
        <w:rPr>
          <w:rFonts w:ascii="Times New Roman" w:hAnsi="Times New Roman"/>
          <w:color w:val="000000"/>
          <w:sz w:val="20"/>
        </w:rPr>
        <w:t>Item 3. Legal Proceedings</w:t>
      </w:r>
    </w:p>
    <w:p>
      <w:pPr>
        <w:pStyle w:val="TextBody"/>
        <w:bidi w:val="0"/>
        <w:jc w:val="both"/>
        <w:rPr>
          <w:rFonts w:ascii="Times New Roman" w:hAnsi="Times New Roman"/>
          <w:color w:val="000000"/>
          <w:sz w:val="20"/>
        </w:rPr>
      </w:pPr>
      <w:r>
        <w:rPr>
          <w:rFonts w:ascii="Times New Roman" w:hAnsi="Times New Roman"/>
          <w:color w:val="000000"/>
          <w:sz w:val="20"/>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would have a material effect upon our financial condition or results of operations.</w:t>
      </w:r>
    </w:p>
    <w:p>
      <w:pPr>
        <w:pStyle w:val="Heading1"/>
        <w:bidi w:val="0"/>
        <w:spacing w:before="360" w:after="240"/>
        <w:jc w:val="left"/>
        <w:rPr>
          <w:rFonts w:ascii="Times New Roman" w:hAnsi="Times New Roman"/>
          <w:color w:val="000000"/>
          <w:sz w:val="20"/>
        </w:rPr>
      </w:pPr>
      <w:bookmarkStart w:id="12" w:name="item4minesafetydisclosures_118322"/>
      <w:bookmarkEnd w:id="12"/>
      <w:r>
        <w:rPr>
          <w:rFonts w:ascii="Times New Roman" w:hAnsi="Times New Roman"/>
          <w:color w:val="000000"/>
          <w:sz w:val="20"/>
        </w:rPr>
        <w:t>Item 4. Mine Safety Disclosures</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PART II</w:t>
      </w:r>
    </w:p>
    <w:p>
      <w:pPr>
        <w:pStyle w:val="Heading1"/>
        <w:bidi w:val="0"/>
        <w:spacing w:before="120" w:after="240"/>
        <w:jc w:val="left"/>
        <w:rPr>
          <w:rFonts w:ascii="Times New Roman" w:hAnsi="Times New Roman"/>
          <w:color w:val="000000"/>
          <w:sz w:val="20"/>
        </w:rPr>
      </w:pPr>
      <w:bookmarkStart w:id="13" w:name="item5marketforregistrantscommonequityrel"/>
      <w:bookmarkEnd w:id="13"/>
      <w:r>
        <w:rPr>
          <w:rFonts w:ascii="Times New Roman" w:hAnsi="Times New Roman"/>
          <w:color w:val="000000"/>
          <w:sz w:val="20"/>
        </w:rPr>
        <w:t>Item 5. Market for Registrant’s Common Equity, Related Stockholder Matters and Issuer Purchases of Equity Securities</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began trading on the Nasdaq Global Select Market LLC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 – Risks Related to an Investment in Our Common Stock."</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Holders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March 9, 2026, there were 41 holders of record of our common stock, which does not include stockholders for whom shares are held in nominee or "street" name.</w:t>
      </w:r>
    </w:p>
    <w:p>
      <w:pPr>
        <w:pStyle w:val="TextBody"/>
        <w:bidi w:val="0"/>
        <w:spacing w:before="120" w:after="240"/>
        <w:jc w:val="both"/>
        <w:rPr>
          <w:rFonts w:ascii="Times New Roman" w:hAnsi="Times New Roman"/>
          <w:sz w:val="20"/>
        </w:rPr>
      </w:pPr>
      <w:r>
        <w:rPr>
          <w:rFonts w:ascii="Times New Roman" w:hAnsi="Times New Roman"/>
          <w:b/>
          <w:color w:val="000000"/>
          <w:sz w:val="20"/>
        </w:rPr>
        <w:t>Price Range of Common Stock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began trading on the Nasdaq Global Select Market LLC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 – Risks Related to an Investment in Our Common Stock." On March 9, 2026, the last reported closing sales price of our common stock on the Nasdaq Global Select Market LLC was $7.88 per share, which represented a discount of approximately 41% to our NAV per share of $13.42 as of December 31, 2025.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Prior to our IPO, the shares of our common stock were offered and sold in transactions exempt from registration under the Securities Act. As such, there was no public market for shares of our common stock through the period ended October 20, 2021.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sets forth the most recent fiscal quarter's NAV per share of our common stock, the high and low closing sales prices of our common stock, such sales prices as a percentage of NAV per share and quarterly distribution per share.</w:t>
      </w:r>
    </w:p>
    <w:tbl>
      <w:tblPr>
        <w:tblW w:w="10205" w:type="dxa"/>
        <w:jc w:val="left"/>
        <w:tblInd w:w="0" w:type="dxa"/>
        <w:tblLayout w:type="fixed"/>
        <w:tblCellMar>
          <w:top w:w="28" w:type="dxa"/>
          <w:left w:w="28" w:type="dxa"/>
          <w:bottom w:w="28" w:type="dxa"/>
          <w:right w:w="28" w:type="dxa"/>
        </w:tblCellMar>
      </w:tblPr>
      <w:tblGrid>
        <w:gridCol w:w="927"/>
        <w:gridCol w:w="146"/>
        <w:gridCol w:w="196"/>
        <w:gridCol w:w="146"/>
        <w:gridCol w:w="511"/>
        <w:gridCol w:w="146"/>
        <w:gridCol w:w="146"/>
        <w:gridCol w:w="196"/>
        <w:gridCol w:w="146"/>
        <w:gridCol w:w="511"/>
        <w:gridCol w:w="146"/>
        <w:gridCol w:w="146"/>
        <w:gridCol w:w="196"/>
        <w:gridCol w:w="146"/>
        <w:gridCol w:w="511"/>
        <w:gridCol w:w="146"/>
        <w:gridCol w:w="146"/>
        <w:gridCol w:w="263"/>
        <w:gridCol w:w="869"/>
        <w:gridCol w:w="299"/>
        <w:gridCol w:w="435"/>
        <w:gridCol w:w="146"/>
        <w:gridCol w:w="261"/>
        <w:gridCol w:w="862"/>
        <w:gridCol w:w="297"/>
        <w:gridCol w:w="431"/>
        <w:gridCol w:w="146"/>
        <w:gridCol w:w="356"/>
        <w:gridCol w:w="265"/>
        <w:gridCol w:w="770"/>
        <w:gridCol w:w="297"/>
      </w:tblGrid>
      <w:tr>
        <w:trPr/>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6"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NAV</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Premium/Discount of High Sales Price to NAV</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Premium/Discount of Low Sales Price to NAV</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Cash Distribution per Share</w:t>
            </w:r>
            <w:r>
              <w:rPr>
                <w:rFonts w:ascii="Times New Roman" w:hAnsi="Times New Roman"/>
                <w:b/>
                <w:color w:val="000000"/>
                <w:sz w:val="11"/>
              </w:rPr>
              <w:t>(3)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Fourth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Third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Second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First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NAV per share is generally determined as of the last day in the relevant quarter and therefore may not reflect the NAV per share on the date of the high and low sales prices. The NAVs shown are based on outstanding shares at the end of each period.</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16"/>
        </w:rPr>
      </w:pPr>
      <w:r>
        <w:rPr>
          <w:rFonts w:ascii="Times New Roman" w:hAnsi="Times New Roman"/>
          <w:color w:val="000000"/>
          <w:sz w:val="16"/>
        </w:rPr>
        <w:t>Calculated as the respective high or low closing price less net asset value, divided by net asset value (in each case, as of the applicable quarter).</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w:t>
      </w:r>
    </w:p>
    <w:p>
      <w:pPr>
        <w:pStyle w:val="TextBody"/>
        <w:bidi w:val="0"/>
        <w:jc w:val="both"/>
        <w:rPr>
          <w:rFonts w:ascii="Times New Roman" w:hAnsi="Times New Roman"/>
          <w:color w:val="000000"/>
          <w:sz w:val="16"/>
        </w:rPr>
      </w:pPr>
      <w:r>
        <w:rPr>
          <w:rFonts w:ascii="Times New Roman" w:hAnsi="Times New Roman"/>
          <w:color w:val="000000"/>
          <w:sz w:val="16"/>
        </w:rPr>
        <w:t>Represents the dividend or distribution declared in the relevant quarter.</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Distributions</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and amount of our distributions, if any, will be determined by our Board of Directors and will be declared out of assets legally available for distribution. Refer to "Note 9 – Net Assets" of our consolidated financial statements in Part II, Item 8 of this Form 10-K for a summary of the distributions declared and paid since inception.</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Stock Performance Graph</w:t>
      </w:r>
    </w:p>
    <w:p>
      <w:pPr>
        <w:pStyle w:val="Heading2"/>
        <w:bidi w:val="0"/>
        <w:spacing w:before="0" w:after="240"/>
        <w:jc w:val="both"/>
        <w:rPr>
          <w:rFonts w:ascii="Times New Roman" w:hAnsi="Times New Roman"/>
          <w:b w:val="false"/>
          <w:color w:val="000000"/>
          <w:sz w:val="20"/>
        </w:rPr>
      </w:pPr>
      <w:r>
        <w:rPr>
          <w:rFonts w:ascii="Times New Roman" w:hAnsi="Times New Roman"/>
          <w:b w:val="false"/>
          <w:color w:val="000000"/>
          <w:sz w:val="20"/>
        </w:rPr>
        <w:t>The following stock performance graph compares the cumulative stockholder return on our common stock from October 21, 2021 (the date our common stock commenced trading on the Nasdaq Global Select Market LLC) to December 31, 2025, with that of the S&amp;P 500 Stock Index, the Wells Fargo BDC Index, the NASDAQ Financial 100 Index, and the S&amp;P BDC Index. This graph assumes that on October 21, 2021, $100 was invested in our common stock, S&amp;P 500 Stock Index, the Wells Fargo BDC Index, the NASDAQ Financial 100 Index, and the S&amp;P BDC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pStyle w:val="TextBody"/>
        <w:bidi w:val="0"/>
        <w:spacing w:before="0" w:after="10"/>
        <w:jc w:val="center"/>
        <w:rPr>
          <w:rFonts w:ascii="Times New Roman" w:hAnsi="Times New Roman"/>
          <w:sz w:val="20"/>
        </w:rPr>
      </w:pPr>
      <w:r>
        <w:rPr>
          <w:rFonts w:ascii="Times New Roman" w:hAnsi="Times New Roman"/>
          <w:b/>
          <w:color w:val="000000"/>
          <w:sz w:val="19"/>
        </w:rPr>
        <w:t>COMPARISON OF CUMULATIVE TOTAL RETURN</w:t>
      </w:r>
      <w:r>
        <w:rPr>
          <w:rFonts w:ascii="Times New Roman" w:hAnsi="Times New Roman"/>
          <w:color w:val="000000"/>
          <w:sz w:val="20"/>
        </w:rPr>
        <w:t xml:space="preserve"> </w:t>
      </w:r>
    </w:p>
    <w:p>
      <w:pPr>
        <w:pStyle w:val="TextBody"/>
        <w:bidi w:val="0"/>
        <w:spacing w:before="10" w:after="10"/>
        <w:jc w:val="center"/>
        <w:rPr>
          <w:rFonts w:ascii="Times New Roman" w:hAnsi="Times New Roman"/>
          <w:b/>
          <w:color w:val="000000"/>
          <w:sz w:val="19"/>
        </w:rPr>
      </w:pPr>
      <w:r>
        <w:rPr>
          <w:rFonts w:ascii="Times New Roman" w:hAnsi="Times New Roman"/>
          <w:b/>
          <w:color w:val="000000"/>
          <w:sz w:val="19"/>
        </w:rPr>
        <w:t>Among Runway Growth Finance Corp., the S&amp;P 500 Index, the Wells Fargo</w:t>
      </w:r>
    </w:p>
    <w:p>
      <w:pPr>
        <w:pStyle w:val="TextBody"/>
        <w:bidi w:val="0"/>
        <w:spacing w:before="10" w:after="10"/>
        <w:jc w:val="center"/>
        <w:rPr>
          <w:rFonts w:ascii="Times New Roman" w:hAnsi="Times New Roman"/>
          <w:b/>
          <w:color w:val="000000"/>
          <w:sz w:val="19"/>
        </w:rPr>
      </w:pPr>
      <w:r>
        <w:rPr>
          <w:rFonts w:ascii="Times New Roman" w:hAnsi="Times New Roman"/>
          <w:b/>
          <w:color w:val="000000"/>
          <w:sz w:val="19"/>
        </w:rPr>
        <w:t>BDC Index, the NASDAQ Financial 100 Index, and the S&amp;P BDC Index</w:t>
      </w:r>
    </w:p>
    <w:p>
      <w:pPr>
        <w:pStyle w:val="TextBody"/>
        <w:pBdr>
          <w:bottom w:val="single" w:sz="6" w:space="1" w:color="000000"/>
        </w:pBdr>
        <w:bidi w:val="0"/>
        <w:spacing w:before="0" w:after="120"/>
        <w:jc w:val="center"/>
        <w:rPr/>
      </w:pPr>
      <w:r>
        <w:rPr/>
        <w:drawing>
          <wp:inline distT="0" distB="0" distL="0" distR="0">
            <wp:extent cx="6105525" cy="3371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05525" cy="3371850"/>
                    </a:xfrm>
                    <a:prstGeom prst="rect">
                      <a:avLst/>
                    </a:prstGeom>
                  </pic:spPr>
                </pic:pic>
              </a:graphicData>
            </a:graphic>
          </wp:inline>
        </w:drawing>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16"/>
        </w:rPr>
      </w:pPr>
      <w:r>
        <w:rPr>
          <w:rFonts w:ascii="Times New Roman" w:hAnsi="Times New Roman"/>
          <w:color w:val="000000"/>
          <w:sz w:val="16"/>
        </w:rPr>
        <w:t>Cumulative stockholder return is calculated on the closing stock prices for each respective date.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2"/>
        <w:bidi w:val="0"/>
        <w:spacing w:before="360" w:after="240"/>
        <w:jc w:val="left"/>
        <w:rPr>
          <w:rFonts w:ascii="Times New Roman" w:hAnsi="Times New Roman"/>
          <w:color w:val="000000"/>
          <w:sz w:val="20"/>
        </w:rPr>
      </w:pPr>
      <w:r>
        <w:rPr>
          <w:rFonts w:ascii="Times New Roman" w:hAnsi="Times New Roman"/>
          <w:color w:val="000000"/>
          <w:sz w:val="20"/>
        </w:rPr>
        <w:t>Recent Sales of Unregistered Securities and Use of Proceeds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Other than pursuant to our Dividend Reinvestment Plan, and except as previously reported by us on our current reports on Form 8</w:t>
        <w:noBreakHyphen/>
        <w:t>K or quarterly reports on Form 10-Q, we did not sell any securities during the period covered by this Form 10</w:t>
        <w:noBreakHyphen/>
        <w:t>K that were not registered under the Securities Act.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7, 2025, the Board of Directors approved a share repurchase program (the "Fourth Repurchase Program"), under which we may repurchase up to $25.0 million of our outstanding shares of common stock, at management's discretion from time to time in open-market transactions and in accordance with all applicable securities laws and regulations. If not renewed, the Fourth Repurchase Program will terminate upon the earlier of (i) May 7, 2026 or (ii) the repurchase of $25.0 million of our shares of common stock. From the inception of the Fourth Repurchase Program through December 31, 2025, we repurchased 1,213,391 shares for an aggregate purchase price of $12.5 million. As of December 31, 2025, the approximate dollar value of shares that may yet be repurchased under the Fourth Repurchase Program was $12.5 million.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July 30, 2024, the Board of Directors approved a share repurchase program (the "Third Repurchase Program"), under which we were authorized to repurchase up to $15.0 million of our outstanding shares of common stock. Pursuant to the terms of the repurchase agreement, we were authorized to repurchase up to $12.5 million of outstanding shares of common stock, at management's discretion from time to time in open-market transactions and in accordance with all applicable securities laws and regulations. We repurchased 1,199,867 shares in connection with the Third Repurchase Program for an aggregate purchase price of $12.5 million, exhausting the full approved amount of repurchase under the program, and the Third Repurchase Program terminated in accordance with its terms.</w:t>
      </w:r>
    </w:p>
    <w:p>
      <w:pPr>
        <w:pStyle w:val="Heading1"/>
        <w:bidi w:val="0"/>
        <w:spacing w:before="120" w:after="240"/>
        <w:jc w:val="left"/>
        <w:rPr>
          <w:rFonts w:ascii="Times New Roman" w:hAnsi="Times New Roman"/>
          <w:color w:val="000000"/>
          <w:sz w:val="20"/>
        </w:rPr>
      </w:pPr>
      <w:bookmarkStart w:id="14" w:name="item6selectedfinancialdata_540295"/>
      <w:bookmarkEnd w:id="14"/>
      <w:r>
        <w:rPr>
          <w:rFonts w:ascii="Times New Roman" w:hAnsi="Times New Roman"/>
          <w:color w:val="000000"/>
          <w:sz w:val="20"/>
        </w:rPr>
        <w:t>Item 6. [Reserved]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40"/>
        <w:jc w:val="left"/>
        <w:rPr>
          <w:rFonts w:ascii="Times New Roman" w:hAnsi="Times New Roman"/>
          <w:color w:val="000000"/>
          <w:sz w:val="20"/>
        </w:rPr>
      </w:pPr>
      <w:bookmarkStart w:id="15" w:name="item7managementsdiscussionandanalysisoff"/>
      <w:bookmarkEnd w:id="15"/>
      <w:r>
        <w:rPr>
          <w:rFonts w:ascii="Times New Roman" w:hAnsi="Times New Roman"/>
          <w:color w:val="000000"/>
          <w:sz w:val="20"/>
        </w:rPr>
        <w:t>Item 7. Management’s Discussion and Analysis of Financial Condition and Results of Operations.</w:t>
      </w:r>
    </w:p>
    <w:p>
      <w:pPr>
        <w:pStyle w:val="Heading2"/>
        <w:bidi w:val="0"/>
        <w:spacing w:before="120" w:after="240"/>
        <w:jc w:val="both"/>
        <w:rPr>
          <w:rFonts w:ascii="Times New Roman" w:hAnsi="Times New Roman"/>
          <w:i/>
          <w:color w:val="000000"/>
          <w:sz w:val="20"/>
        </w:rPr>
      </w:pPr>
      <w:r>
        <w:rPr>
          <w:rFonts w:ascii="Times New Roman" w:hAnsi="Times New Roman"/>
          <w:i/>
          <w:color w:val="000000"/>
          <w:sz w:val="20"/>
        </w:rPr>
        <w:t>Forward-Looking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annual report on Form 10</w:t>
        <w:noBreakHyphen/>
        <w:t>K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changes in political, economic or industry conditions, trade policies, restrictions and tariffs, the interest rate environment or conditions affecting the financial and capital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an economic downturn could disproportionately impact the companies that we intend to target for investment, potentially causing us to experience a decrease in investment opportunities and diminished demand for capital from these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contraction of available credit and/or an inability to access the equity markets that could impair our lending and investment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rate volatility that could adversely affect our results, particularly to the extent that we use leverage as part of our investment strategy;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changes in interest and inflation rates on 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contractual arrangements and relationships with third parties;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portfolio companies to achieve their objectives;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competition with other entities and our affiliates for investment opportunities;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speculative and illiquid nature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use of borrowed money to finance a portion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adequacy of our financing sources and working capital;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loss of key personnel and members of our management team;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cash flows, if any, from the operations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external investment adviser, Runway Growth Capital LLC, to locate suitable investments for us and to monitor and administer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Runway Growth Capital LLC to attract and retain highly talented professionals;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qualify and maintain our qualification as a RIC under subchapter M of the Code, and as a BDC;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occurrence of a disaster, such as a cyber-attack against us or against a third-party that has access to our data or networks, a natural catastrophe, an industrial accident, failure of our disaster-recovery systems, or consequential employee error;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effect of legal, tax, and regulatory changes;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the parties to consummate the proposed transactions that will result in SWK Holdings Corporation ("SWK") merging with and into us (the "Mergers") pursuant to an Agreement and Plan of Merger (the "Merger Agreement"), dated October 9, 2025, by and among us, RWAY Portfolio Holding Corp., RWAY Portfolio Corp., Runway Growth Capital LLC and SWK Holdings Corporation, on the expected timeline or at all;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realize the anticipated benefits of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effects of disruption on our business from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combined company's plans, expectations, objectives and intentions as a result of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potential termination of the Merger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actions of our shareholders or the shareholders of SWK with respect to the proposals submitted for their approval in connection with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possibility that competing offers or acquisitions proposals will be made;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risk that stockholders litigation in connection with the Mergers may result in significant costs of defense and liability;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other risks, uncertainties and other factors we identify under "Risk Factors" in Part I, Item 1A of this Form 10</w:t>
        <w:noBreakHyphen/>
        <w:t>K and in our other filings with the SEC.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w:t>
        <w:noBreakHyphen/>
        <w:t>K should not be regarded as a representation by us that our plans and objectives will be achieved. These risks and uncertainties include those described or identified in "Risk Factors" in Part I, Item 1A of this Form 10</w:t>
        <w:noBreakHyphen/>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have based the forward-looking statements included in this Form 10</w:t>
        <w:noBreakHyphen/>
        <w:t>K on information available to us on the date of this Form 10</w:t>
        <w:noBreakHyphen/>
        <w:t>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noBreakHyphen/>
        <w:t>K, quarterly reports on Form 10</w:t>
        <w:noBreakHyphen/>
        <w:t>Q and current reports on Form 8</w:t>
        <w:noBreakHyphen/>
        <w:t>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analysis of our financial condition and results of operations should be read in conjunction with our consolidated financial statements and the related notes thereto contained elsewhere in this annual report on Form 10</w:t>
        <w:noBreakHyphen/>
        <w:t>K.</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Overview</w:t>
      </w:r>
    </w:p>
    <w:p>
      <w:pPr>
        <w:pStyle w:val="TextBody"/>
        <w:bidi w:val="0"/>
        <w:jc w:val="both"/>
        <w:rPr>
          <w:rFonts w:ascii="Times New Roman" w:hAnsi="Times New Roman"/>
          <w:color w:val="000000"/>
          <w:sz w:val="20"/>
        </w:rPr>
      </w:pPr>
      <w:r>
        <w:rPr>
          <w:rFonts w:ascii="Times New Roman" w:hAnsi="Times New Roman"/>
          <w:color w:val="000000"/>
          <w:sz w:val="20"/>
        </w:rPr>
        <w:t>Runway Growth Finance Corp. ("we," "us," or "our,"),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Certain of the loans in which we may invest or obtain exposure to through our investments in structured securities may be deemed "Covenant-Lite Loans," which means the loans contain fewer or no maintenance covenants compared to other loans and do not include terms which allow the lender to declare a default if certain covenants are breached. We are managed by Runway Growth Capital, an experienced provider of growth financing for dynamic, late and growth-stage companies. As of December 31, 2025, we had an investment portfolio of $927.4 million at fair value, and a net asset value of $485.0 million. Our offices are in Chicago, Illinois; Menlo Park, California; and New York, New York.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elected to be regulated as a BDC under the Investment Company Act of 1940, as amended (together with the rules and regulations promulgated thereunder, the "1940 Act"). We have also elected to be treated as a RIC under subchapter M of the Code. While we currently qualify and intend to qualify annually to be treated as a RIC, no assurance can be provided that we will be able to maintain our tax treatment as a RIC. If we fail to qualify for tax treatment as a RIC for any taxable year, we will be subject to U.S.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federal income tax at the regular corporate rate on any net taxable income for such taxable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an "emerging growth company," as defined in the JOBS Act. We expect to remain an emerging growth company until December 31, 2026,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During the time that we are an emerging growth company under the JOBS Act, we will be subject to reduced public company reporting requirements. When we are no longer an emerging growth company, we will be subject to additional public company reporting requirements, including auditor attestation requirements of Section 404(b) of the Sarbanes-Oxley Act, and we will no longer be able to take advantage of the extended transition periods available to emerging growth companies for complying with new or revised accounting standards.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We are externally managed by Runway Growth Capital LLC ("RGC"), an investment adviser that has registered with the SEC under the Investment Advisers Act of 1940, as amended. The Administrator, a wholly-owned subsidiary of RGC, provides all the administrative services necessary for us to operate.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RGC, and certain other funds and accounts sponsored or managed by RGC and/or its affiliates, including BC Partners Advisors L.P. (collectively our "Affiliates"), rely on an order (the "Order") granted by the SEC that permits us greater flexibility than the 1940 Act permits to negotiate the terms of co-investments if our Board of Directors determines that it would be advantageous for us to co-invest with other accounts sponsored or managed by RGC and/or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strategies and policies. On September 12, 2025, we, RGC and certain Affiliates applied for a new co-investment exemptive order from the SEC. There can be no assurances that the SEC will grant such relief. See "Business – Exemptive Relief" in Part I, Item 1 of this Form 10-K for additional information.</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Portfolio Composition and Investment Activity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Portfolio Composition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we had investments in 56 companies, representing 23 companies in which we held a combination of debt and equity investments, eight companies in which we held debt investments only, 23 companies in which we held equity investments only, and two companies in which we held equity interests only. At December 31, 2024, we had investments in 57 companies, representing 28 companies in which we held debt and equity investments, four companies in which we held debt investments only, 23 companies in which we held equity investments only, and two companies in which we held equity interests only.</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shows the fair value of our investments, by asset class, as of December 31, 2025 and December 31, 2024 (in thousands):</w:t>
      </w:r>
    </w:p>
    <w:tbl>
      <w:tblPr>
        <w:tblW w:w="6503" w:type="dxa"/>
        <w:jc w:val="left"/>
        <w:tblInd w:w="0" w:type="dxa"/>
        <w:tblLayout w:type="fixed"/>
        <w:tblCellMar>
          <w:top w:w="28" w:type="dxa"/>
          <w:left w:w="28" w:type="dxa"/>
          <w:bottom w:w="28" w:type="dxa"/>
          <w:right w:w="28" w:type="dxa"/>
        </w:tblCellMar>
      </w:tblPr>
      <w:tblGrid>
        <w:gridCol w:w="1015"/>
        <w:gridCol w:w="920"/>
        <w:gridCol w:w="196"/>
        <w:gridCol w:w="146"/>
        <w:gridCol w:w="826"/>
        <w:gridCol w:w="146"/>
        <w:gridCol w:w="146"/>
        <w:gridCol w:w="196"/>
        <w:gridCol w:w="146"/>
        <w:gridCol w:w="826"/>
        <w:gridCol w:w="146"/>
        <w:gridCol w:w="146"/>
        <w:gridCol w:w="157"/>
        <w:gridCol w:w="157"/>
        <w:gridCol w:w="648"/>
        <w:gridCol w:w="157"/>
        <w:gridCol w:w="529"/>
      </w:tblGrid>
      <w:tr>
        <w:trPr/>
        <w:tc>
          <w:tcPr>
            <w:tcW w:w="10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Secured Loans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Lien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Stock/Units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Stock/Units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Secured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Lien Loans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Stock/Units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Stock/Units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3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40"/>
        <w:jc w:val="both"/>
        <w:rPr>
          <w:rFonts w:ascii="Times New Roman" w:hAnsi="Times New Roman"/>
          <w:color w:val="231F20"/>
          <w:sz w:val="20"/>
        </w:rPr>
      </w:pPr>
      <w:r>
        <w:rPr>
          <w:rFonts w:ascii="Times New Roman" w:hAnsi="Times New Roman"/>
          <w:color w:val="231F20"/>
          <w:sz w:val="20"/>
        </w:rPr>
        <w:t>For the years ended December 31, 2025, December 31, 2024, and December 31, 2023, our debt investment portfolio had a dollar-weighted annualized yield of 14.6%, 14.9%, and 15.8%,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December 31, 2025, our debt investments had a dollar-weighted average term of 53 months at origination and a dollar-weighted average remaining term of 31 months, or approximately 2.6 years. As of December 31, 2025, substantially all of our debt investments had a committed principal amount of between $2.0 million and $68.5 million and pay cash interest at annual interest rates of between 6.3% and 14.3%.</w:t>
      </w:r>
    </w:p>
    <w:p>
      <w:pPr>
        <w:pStyle w:val="TextBody"/>
        <w:bidi w:val="0"/>
        <w:spacing w:before="0" w:after="240"/>
        <w:jc w:val="both"/>
        <w:rPr>
          <w:rFonts w:ascii="Times New Roman" w:hAnsi="Times New Roman"/>
          <w:color w:val="231F20"/>
          <w:sz w:val="20"/>
        </w:rPr>
      </w:pPr>
      <w:r>
        <w:rPr>
          <w:rFonts w:ascii="Times New Roman" w:hAnsi="Times New Roman"/>
          <w:color w:val="231F20"/>
          <w:sz w:val="20"/>
        </w:rPr>
        <w:t>The following table shows our dollar-weighted annualized yield by investment type for the years ended December 31, 2025, December 31, 2024, and December 31, 2023:</w:t>
      </w:r>
    </w:p>
    <w:tbl>
      <w:tblPr>
        <w:tblW w:w="9275" w:type="dxa"/>
        <w:jc w:val="left"/>
        <w:tblInd w:w="0" w:type="dxa"/>
        <w:tblLayout w:type="fixed"/>
        <w:tblCellMar>
          <w:top w:w="28" w:type="dxa"/>
          <w:left w:w="28" w:type="dxa"/>
          <w:bottom w:w="28" w:type="dxa"/>
          <w:right w:w="28" w:type="dxa"/>
        </w:tblCellMar>
      </w:tblPr>
      <w:tblGrid>
        <w:gridCol w:w="1406"/>
        <w:gridCol w:w="146"/>
        <w:gridCol w:w="146"/>
        <w:gridCol w:w="511"/>
        <w:gridCol w:w="146"/>
        <w:gridCol w:w="241"/>
        <w:gridCol w:w="146"/>
        <w:gridCol w:w="146"/>
        <w:gridCol w:w="146"/>
        <w:gridCol w:w="511"/>
        <w:gridCol w:w="146"/>
        <w:gridCol w:w="241"/>
        <w:gridCol w:w="146"/>
        <w:gridCol w:w="146"/>
        <w:gridCol w:w="146"/>
        <w:gridCol w:w="511"/>
        <w:gridCol w:w="146"/>
        <w:gridCol w:w="241"/>
        <w:gridCol w:w="146"/>
        <w:gridCol w:w="146"/>
        <w:gridCol w:w="511"/>
        <w:gridCol w:w="146"/>
        <w:gridCol w:w="241"/>
        <w:gridCol w:w="146"/>
        <w:gridCol w:w="146"/>
        <w:gridCol w:w="146"/>
        <w:gridCol w:w="511"/>
        <w:gridCol w:w="146"/>
        <w:gridCol w:w="241"/>
        <w:gridCol w:w="146"/>
        <w:gridCol w:w="146"/>
        <w:gridCol w:w="146"/>
        <w:gridCol w:w="511"/>
        <w:gridCol w:w="146"/>
        <w:gridCol w:w="386"/>
      </w:tblGrid>
      <w:tr>
        <w:trPr/>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6"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Cost</w:t>
            </w:r>
            <w:r>
              <w:rPr>
                <w:rFonts w:ascii="Times New Roman" w:hAnsi="Times New Roman"/>
                <w:b/>
                <w:color w:val="000000"/>
                <w:sz w:val="11"/>
              </w:rPr>
              <w:t>(2)</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Investment Activity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For the year ended December 31, 2025, we funded $85.2 million in seven new portfolio companies and $65.1 million in nine existing companies, including one joint venture, net of upfront loan origination fees and refinances. We also received $11.6 million in scheduled principal repayments from five portfolio companies as well as $287.0 million in sales and prepayments, which is comprised of (i) $248.4 million in loan proceeds from 13 portfolio companies and (ii) $38.6 million in proceeds from the sale of equity investments during the year ended December 31, 2025. For the year ended December 31, 2024, we funded $220.4 million in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eight new portfolio companies, $5.6 million in one joint venture, and $28.1 million in six existing portfolio companies, net of upfront loan origination fees and refinances. We also received $4.8 million in scheduled principal repayments from two portfolio companies as well as $226.4 million in sales and prepayments, which is comprised of (i) $224.4 million in loan proceeds from nine portfolio companies and (ii) $2.0 million in proceeds from the sale of equity investments during the year ended December 31, 2024.</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Portfolio Reconciliation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is a reconciliation of our investment portfolio for the years ended December 31, 2025 and 2024 (in thousands):</w:t>
      </w:r>
    </w:p>
    <w:tbl>
      <w:tblPr>
        <w:tblW w:w="6915" w:type="dxa"/>
        <w:jc w:val="left"/>
        <w:tblInd w:w="0" w:type="dxa"/>
        <w:tblLayout w:type="fixed"/>
        <w:tblCellMar>
          <w:top w:w="28" w:type="dxa"/>
          <w:left w:w="28" w:type="dxa"/>
          <w:bottom w:w="28" w:type="dxa"/>
          <w:right w:w="28" w:type="dxa"/>
        </w:tblCellMar>
      </w:tblPr>
      <w:tblGrid>
        <w:gridCol w:w="2451"/>
        <w:gridCol w:w="2229"/>
        <w:gridCol w:w="196"/>
        <w:gridCol w:w="826"/>
        <w:gridCol w:w="146"/>
        <w:gridCol w:w="196"/>
        <w:gridCol w:w="871"/>
      </w:tblGrid>
      <w:tr>
        <w:trPr/>
        <w:tc>
          <w:tcPr>
            <w:tcW w:w="245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investment portfolio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1,067,009</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254,106</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12,265</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prepayments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(226,397)</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(4,780)</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U.S. Treasury Bills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(42,029)</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6,808</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12,797</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investment portfolio</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r>
    </w:tbl>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Asset Quality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tbl>
      <w:tblPr>
        <w:tblW w:w="10205" w:type="dxa"/>
        <w:jc w:val="left"/>
        <w:tblInd w:w="0" w:type="dxa"/>
        <w:tblLayout w:type="fixed"/>
        <w:tblCellMar>
          <w:top w:w="28" w:type="dxa"/>
          <w:left w:w="28" w:type="dxa"/>
          <w:bottom w:w="28" w:type="dxa"/>
          <w:right w:w="28" w:type="dxa"/>
        </w:tblCellMar>
      </w:tblPr>
      <w:tblGrid>
        <w:gridCol w:w="930"/>
        <w:gridCol w:w="146"/>
        <w:gridCol w:w="9129"/>
      </w:tblGrid>
      <w:tr>
        <w:trPr/>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9" w:type="dxa"/>
            <w:tcBorders/>
            <w:vAlign w:val="center"/>
          </w:tcPr>
          <w:p>
            <w:pPr>
              <w:pStyle w:val="TableContents"/>
              <w:bidi w:val="0"/>
              <w:spacing w:before="0" w:after="283"/>
              <w:jc w:val="left"/>
              <w:rPr>
                <w:sz w:val="4"/>
                <w:szCs w:val="4"/>
              </w:rPr>
            </w:pPr>
            <w:r>
              <w:rPr>
                <w:sz w:val="4"/>
                <w:szCs w:val="4"/>
              </w:rPr>
            </w:r>
          </w:p>
        </w:tc>
      </w:tr>
      <w:tr>
        <w:trPr/>
        <w:tc>
          <w:tcPr>
            <w:tcW w:w="93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w:t>
            </w:r>
            <w:r>
              <w:rPr>
                <w:rFonts w:ascii="Times New Roman" w:hAnsi="Times New Roman"/>
                <w:color w:val="000000"/>
                <w:sz w:val="16"/>
              </w:rPr>
              <w:t xml:space="preserve"> </w:t>
              <w:br/>
            </w:r>
            <w:r>
              <w:rPr>
                <w:rFonts w:ascii="Times New Roman" w:hAnsi="Times New Roman"/>
                <w:b/>
                <w:color w:val="000000"/>
                <w:sz w:val="16"/>
              </w:rPr>
              <w:t>Rating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 Definition</w:t>
            </w:r>
          </w:p>
        </w:tc>
      </w:tr>
      <w:tr>
        <w:trPr/>
        <w:tc>
          <w:tcPr>
            <w:tcW w:w="93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Performing above plan and/or strong enterprise profile, value, financial performance/coverage. Maintaining full covenant and payment compliance as agreed.</w:t>
            </w:r>
          </w:p>
        </w:tc>
      </w:tr>
      <w:tr>
        <w:trPr/>
        <w:tc>
          <w:tcPr>
            <w:tcW w:w="9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Performing at or reasonably close to plan. Acceptable business prospects, enterprise value, and financial coverage. Maintaining key covenant and payment compliance as agreed. Generally, all new loans are initially graded Category 2.</w:t>
            </w:r>
          </w:p>
        </w:tc>
      </w:tr>
      <w:tr>
        <w:trPr/>
        <w:tc>
          <w:tcPr>
            <w:tcW w:w="93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Performing below plan of record. Potential elements of concern over performance, trends and business outlook. Loan-to-value remains adequate. Potential key covenant non-compliance. Full payment compliance.</w:t>
            </w:r>
          </w:p>
        </w:tc>
      </w:tr>
      <w:tr>
        <w:trPr/>
        <w:tc>
          <w:tcPr>
            <w:tcW w:w="93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tc>
      </w:tr>
      <w:tr>
        <w:trPr/>
        <w:tc>
          <w:tcPr>
            <w:tcW w:w="93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Going concern nature in question. Substantial decline in enterprise value and all coverages. Covenant and payment default imminent if not currently present. Investments are nearly always in workout. May experience partial and/or full loss.</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shows the investment ratings of our debt investments at fair value as of December 31, 2025 and December 31, 2024 (in thousands):</w:t>
      </w:r>
    </w:p>
    <w:tbl>
      <w:tblPr>
        <w:tblW w:w="10205" w:type="dxa"/>
        <w:jc w:val="left"/>
        <w:tblInd w:w="0" w:type="dxa"/>
        <w:tblLayout w:type="fixed"/>
        <w:tblCellMar>
          <w:top w:w="28" w:type="dxa"/>
          <w:left w:w="28" w:type="dxa"/>
          <w:bottom w:w="28" w:type="dxa"/>
          <w:right w:w="28" w:type="dxa"/>
        </w:tblCellMar>
      </w:tblPr>
      <w:tblGrid>
        <w:gridCol w:w="1091"/>
        <w:gridCol w:w="196"/>
        <w:gridCol w:w="146"/>
        <w:gridCol w:w="691"/>
        <w:gridCol w:w="146"/>
        <w:gridCol w:w="146"/>
        <w:gridCol w:w="146"/>
        <w:gridCol w:w="171"/>
        <w:gridCol w:w="600"/>
        <w:gridCol w:w="171"/>
        <w:gridCol w:w="282"/>
        <w:gridCol w:w="146"/>
        <w:gridCol w:w="471"/>
        <w:gridCol w:w="926"/>
        <w:gridCol w:w="146"/>
        <w:gridCol w:w="146"/>
        <w:gridCol w:w="146"/>
        <w:gridCol w:w="196"/>
        <w:gridCol w:w="146"/>
        <w:gridCol w:w="691"/>
        <w:gridCol w:w="146"/>
        <w:gridCol w:w="146"/>
        <w:gridCol w:w="146"/>
        <w:gridCol w:w="171"/>
        <w:gridCol w:w="600"/>
        <w:gridCol w:w="171"/>
        <w:gridCol w:w="282"/>
        <w:gridCol w:w="146"/>
        <w:gridCol w:w="471"/>
        <w:gridCol w:w="926"/>
        <w:gridCol w:w="200"/>
      </w:tblGrid>
      <w:tr>
        <w:trPr/>
        <w:tc>
          <w:tcPr>
            <w:tcW w:w="10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Rating</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90.11</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Non-Accrual Status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Generally, when interest and/or principal payments on a loan become past due, or if we otherwise do not expect the borrower to be able to service its debt and other obligations, we will place the loan on non-accrual status and will cease recognizing interest income on that loan for financial reporting purposes until all principal and interest have been brought current through payment or due to a restructuring such that the interest income is deemed to be collectible.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cost, fair value, and types of income not recorded in "Interest income" on the Consolidated Statements of Operations related to senior secured term loans or non-accrual status as of December 31, 2025 and December 31, 2024 (in thousands):</w:t>
      </w:r>
    </w:p>
    <w:tbl>
      <w:tblPr>
        <w:tblW w:w="10205" w:type="dxa"/>
        <w:jc w:val="left"/>
        <w:tblInd w:w="0" w:type="dxa"/>
        <w:tblLayout w:type="fixed"/>
        <w:tblCellMar>
          <w:top w:w="28" w:type="dxa"/>
          <w:left w:w="28" w:type="dxa"/>
          <w:bottom w:w="28" w:type="dxa"/>
          <w:right w:w="28" w:type="dxa"/>
        </w:tblCellMar>
      </w:tblPr>
      <w:tblGrid>
        <w:gridCol w:w="1383"/>
        <w:gridCol w:w="346"/>
        <w:gridCol w:w="1043"/>
        <w:gridCol w:w="146"/>
        <w:gridCol w:w="259"/>
        <w:gridCol w:w="147"/>
        <w:gridCol w:w="517"/>
        <w:gridCol w:w="146"/>
        <w:gridCol w:w="146"/>
        <w:gridCol w:w="273"/>
        <w:gridCol w:w="156"/>
        <w:gridCol w:w="404"/>
        <w:gridCol w:w="146"/>
        <w:gridCol w:w="146"/>
        <w:gridCol w:w="258"/>
        <w:gridCol w:w="147"/>
        <w:gridCol w:w="516"/>
        <w:gridCol w:w="146"/>
        <w:gridCol w:w="146"/>
        <w:gridCol w:w="256"/>
        <w:gridCol w:w="146"/>
        <w:gridCol w:w="511"/>
        <w:gridCol w:w="146"/>
        <w:gridCol w:w="146"/>
        <w:gridCol w:w="256"/>
        <w:gridCol w:w="146"/>
        <w:gridCol w:w="511"/>
        <w:gridCol w:w="146"/>
        <w:gridCol w:w="146"/>
        <w:gridCol w:w="148"/>
        <w:gridCol w:w="427"/>
        <w:gridCol w:w="148"/>
        <w:gridCol w:w="601"/>
      </w:tblGrid>
      <w:tr>
        <w:trPr/>
        <w:tc>
          <w:tcPr>
            <w:tcW w:w="13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Non-Accrual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Accretion of OID and ETP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Forgone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a % of Total Portfolio</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JobGet Holdings, Inc. (fka Snagajob.com, Inc.)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0.20</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 important measure of our financial performance is "Net increase (decrease) in net assets resulting from operations" on the Consolidated Statements of Operations, which includes "Net investment income," "Net realized gain (loss)" and "Net change in unrealized gain (loss)." "Net investment income" is the difference between our income from interest, dividends, fees and other income and our operating expenses, including interest on borrowed funds. "Net realized gain (loss)" is the difference between the proceeds received from dispositions and the amortized cost of portfolio investments and U.S. Treasury Bills, as well as any realized gain (loss) on forward contracts and foreign currency transactions. "Net change in unrealized gain (loss)" is the net change in the fair value of our investment portfolio and the effect of fluctuations in foreign currency exchange rates on forward contracts and foreign cash held.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sz w:val="20"/>
        </w:rPr>
      </w:pPr>
      <w:r>
        <w:rPr>
          <w:rFonts w:ascii="Times New Roman" w:hAnsi="Times New Roman"/>
          <w:b/>
          <w:i/>
          <w:color w:val="000000"/>
          <w:sz w:val="20"/>
        </w:rPr>
        <w:t>Comparison of the Years Ended December 31, 2025, 2024 and 2023</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compares the results of our operations for the years ended December 31, 2025, 2024, and 2023 (in thousands):</w:t>
      </w:r>
    </w:p>
    <w:tbl>
      <w:tblPr>
        <w:tblW w:w="10205" w:type="dxa"/>
        <w:jc w:val="left"/>
        <w:tblInd w:w="0" w:type="dxa"/>
        <w:tblLayout w:type="fixed"/>
        <w:tblCellMar>
          <w:top w:w="28" w:type="dxa"/>
          <w:left w:w="28" w:type="dxa"/>
          <w:bottom w:w="28" w:type="dxa"/>
          <w:right w:w="28" w:type="dxa"/>
        </w:tblCellMar>
      </w:tblPr>
      <w:tblGrid>
        <w:gridCol w:w="3774"/>
        <w:gridCol w:w="246"/>
        <w:gridCol w:w="246"/>
        <w:gridCol w:w="716"/>
        <w:gridCol w:w="146"/>
        <w:gridCol w:w="237"/>
        <w:gridCol w:w="642"/>
        <w:gridCol w:w="146"/>
        <w:gridCol w:w="196"/>
        <w:gridCol w:w="691"/>
        <w:gridCol w:w="146"/>
        <w:gridCol w:w="237"/>
        <w:gridCol w:w="642"/>
        <w:gridCol w:w="146"/>
        <w:gridCol w:w="196"/>
        <w:gridCol w:w="713"/>
        <w:gridCol w:w="146"/>
        <w:gridCol w:w="235"/>
        <w:gridCol w:w="704"/>
      </w:tblGrid>
      <w:tr>
        <w:trPr/>
        <w:tc>
          <w:tcPr>
            <w:tcW w:w="377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85"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fee and dividend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4.04</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Management fees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15,724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0.41</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Incentive fees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14,452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0.47</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42,673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1.07</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Professional fees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2,205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0.06</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2,563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0.05</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Insurance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0.02</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0.02</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1,276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gain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r>
      <w:tr>
        <w:trPr/>
        <w:tc>
          <w:tcPr>
            <w:tcW w:w="37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change in unrealized gain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(0.39)</w:t>
            </w:r>
          </w:p>
        </w:tc>
      </w:tr>
      <w:tr>
        <w:trPr/>
        <w:tc>
          <w:tcPr>
            <w:tcW w:w="37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basic per share figures noted above are based on weighted averages of 36,697,936, 38,852,271, and 40,509,269 shares outstanding for the years ended December 31, 2025, 2024, and 2023, respectively.</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jc w:val="both"/>
        <w:rPr>
          <w:rFonts w:ascii="Times New Roman" w:hAnsi="Times New Roman"/>
          <w:color w:val="000000"/>
          <w:sz w:val="20"/>
        </w:rPr>
      </w:pPr>
      <w:r>
        <w:rPr>
          <w:rFonts w:ascii="Times New Roman" w:hAnsi="Times New Roman"/>
          <w:color w:val="000000"/>
          <w:sz w:val="20"/>
        </w:rPr>
        <w:t xml:space="preserve">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growth-potential, private companies. We typically invest in senior secured loans that generally fall into two strategies: Sponsored Growth Lending and Non-Sponsored Growth Lending. We generally receive warrants and/or other equity from our investments. We expect our global loan originations will generally range from between $30-$150 million, with our allocation being in the range of $20-$45 million.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pStyle w:val="TextBody"/>
        <w:bidi w:val="0"/>
        <w:spacing w:before="240" w:after="200"/>
        <w:jc w:val="both"/>
        <w:rPr>
          <w:rFonts w:ascii="Times New Roman" w:hAnsi="Times New Roman"/>
          <w:color w:val="000000"/>
          <w:sz w:val="20"/>
        </w:rPr>
      </w:pPr>
      <w:r>
        <w:rPr>
          <w:rFonts w:ascii="Times New Roman" w:hAnsi="Times New Roman"/>
          <w:color w:val="000000"/>
          <w:sz w:val="20"/>
        </w:rPr>
        <w:t>Investment income for the year ended December 31, 2025, 2024 and 2023 was $137.3 million, $144.6 million, and $164.2 million, respectively, and includes non-recurring income of $8.4 million, $6.2 million, and $11.4 million, respectively. Non-recurring income includes, but is not limited to, acceleration of unaccreted OID and ETP, prepayment fees, and amendment fees. The decrease in investment income for the year ended December 31, 2025 compared to the year ended December 31, 2024 was primarily due to decreased interest income from falling interest rates and a decrease in the average outstanding principal on interest-earning debt investments. The decrease in investment income for the year ended December 31, 2024 compared to the year ended December 31, 2023 was primarily due to decreased interest income and payment-in-kind interest income.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0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jc w:val="both"/>
        <w:rPr>
          <w:rFonts w:ascii="Times New Roman" w:hAnsi="Times New Roman"/>
          <w:color w:val="000000"/>
          <w:sz w:val="20"/>
        </w:rPr>
      </w:pPr>
      <w:r>
        <w:rPr>
          <w:rFonts w:ascii="Times New Roman" w:hAnsi="Times New Roman"/>
          <w:color w:val="000000"/>
          <w:sz w:val="20"/>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pro-rata portion of fees and expenses related to an initial public offering in connection with a Spin-Off transaction, meaning either a transaction whereby (a) we offer our stockholders the option to elect to either (i) retain their ownership of shares of our common stock, or (ii) exchange their shares of our common stock for shares of common stock in a newly formed entity that will elect to be regulated as a BDC under the 1940 Act and treated as a RIC under subchapter M of the Code; or (b) we complete a listing of our securities on any securities exchange;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fees and expenses related to public and private offerings, sales and repurchases of our securities;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interest payable on debt incurred to finance our investments;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sales and purchases of our common stock and other securities;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management fees and incentive fees;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administration fees payable under the Administration Agreement;</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transfer agent and custodial fees;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all costs of registration and listing our securities on any securities exchange;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costs of preparing and filing reports or other documents required by the SEC, the Financial Industry Regulatory Authority or other regulators;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costs;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allocable portion of any fidelity bond, directors’ and officers’ errors and omissions liability insurance, and any other insurance premiums;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 and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Operating expenses for the years ended December 31, 2025, 2024 and 2023 were $80.4 million, $80.9 million, and $85.9 million, respectively. Operating expenses decreased for the year ended December 31, 2025 from the year ended December 31, 2024, primarily due to a decrease in interest and other debt financing expenses partially offset by an increase in administration agreement expenses, excise tax expenses, and directors fees. Operating expenses decreased for the year ended December 31, 2024 from the year ended December 31, 2023, primarily due to a decrease in performance-based incentive fees and management fees. Operating expenses per share for the years ended December 31, 2025, 2024 and 2023 were $2.20 per share, $2.08 per share and $2.12 per share,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Management fees for the years ended December 31, 2025, 2024, and 2023 were $15.7 million, $15.7 million, and $16.7 million, respectively. Management fees remained relatively unchanged for the year ended December 31, 2025 as compared to the year ended December 31, 2024. Management fees decreased for the year ended December 31, 2024 as compared to the year ended December 31, 2023, due to decreased average daily gross assets. For the year ended December 31, 2025, RGC earned base management fees at an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annual rate of 1.50%. As of September 30, 2025, ending gross assets temporarily fell below $1.0 billion, increasing the quarterly rate from 0.375% to 0.40%. With Board approval, RGC voluntarily waived the incremental fee for that period. The waiver was not subject to recoupment and did not amend the Advisory Agreement. Total fees waived for the quarter ended December 31, 2025 were approximately $253.8 thousand. For the years ended December 31, 2024 and December 31, 2023, RGC earned base management fees at an annual rate of 1.50%.</w:t>
      </w:r>
    </w:p>
    <w:p>
      <w:pPr>
        <w:pStyle w:val="TextBody"/>
        <w:bidi w:val="0"/>
        <w:jc w:val="both"/>
        <w:rPr>
          <w:rFonts w:ascii="Times New Roman" w:hAnsi="Times New Roman"/>
          <w:color w:val="000000"/>
          <w:sz w:val="20"/>
        </w:rPr>
      </w:pPr>
      <w:r>
        <w:rPr>
          <w:rFonts w:ascii="Times New Roman" w:hAnsi="Times New Roman"/>
          <w:color w:val="000000"/>
          <w:sz w:val="20"/>
        </w:rPr>
        <w:t xml:space="preserve">Incentive fees for the years ended December 31, 2025, 2024, and 2023 were $14.5 million, $14.6 million and $19.0 million, respectively. Incentive fees remained relatively unchanged for the year ended December 31, 2025 as compared to the year ended December 31, 2024. Incentive fees decreased for the year ended December 31, 2024 from the year ended December 31, 2023 due to a decrease in net investment income. For the year ended December 31, 2025, $12.4 million of the incentive fees were payable in cash and $2.1 million were deferred and accrued. For the year ended December 31, 2024, $13.6 million of the incentive fees were payable in cash and $1.0 million were deferred and accrued. For the year ended December 31, 2023, $14.9 million of the incentive fees were payable in cash and $4.1 million were deferred and accrued. Incentive fees per share for the years ended December 31, 2025, 2024, and 2023 were $0.39 per share, $0.38 per share, and $0.47 per share, respectively.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investment income for the years ended December 31, 2025, 2024 and 2023 was $56.9 million, $63.8 million, and $78.3 million, respectively. Net investment income decreased for the year ended December 31, 2025 from the year ended December 31, 2024 primarily due to a decrease in investment income resulting from declining interest rates and a decrease in the average outstanding principal on interest-earning debt investments. Net investment income decreased for the year ended December 31, 2024 from the year ended December 31, 2023 primarily due to a decrease in investment income resulting from a decrease in the average outstanding principal on interest-earning debt investments and declining interest rates, partially offset by decreased performance-based incentive fees and management fees. Net investment income per share for the years ended December 31, 2025, 2024 and 2023 was $1.55 per share, $1.64 per share and $1.93 per share, respectively.</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Net Realized Gain (Loss) on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net realized gain on investments of $2.8 million for the year ended December 31, 2025 was attributable to a realized gain on our investment in Gynesonics, Inc. partially offset by realized losses on our investments in Quantum Corporation common stock, JobGet Holdings, Inc. (fka Snagajob.com, Inc.) term loan, zSpace, Inc. common stock, and Epic IO and Vero Biotech success fees. The net realized loss on investments of $2.9 million for the year ended December 31, 2024 was attributable to losses in our senior secured term loan and convertible note to Jobget Holdings, Inc (fka Snagajob, Inc.), offset by a gain on the exercise of Dtex, Inc. warrants into preferred stock and subsequent sale. The net realized loss on investments of $18.4 million for the year ended December 31, 2023 was attributable to losses in our loan to Pivot3, Inc. that was previously on non-accrual status, as well as our warrant investments in CareCloud, Inc. and Gynesonics, Inc.</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Net Change in Unrealized Gain (Loss) on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change in unrealized loss on investments of $25.7 million for the year ended December 31, 2025 was primarily due to a release of prior unrealized gain on our preferred stock investment in Gynesonics, Inc. and a decrease in the fair value of our preferred stock investment in JobGet Holdings, Inc. (fka Snagajob.com, Inc.) and a decrease in fair value of our senior secured loans to Marley Spoon SE, 3PL Central, LLC, and Blueshift Labs, Inc. The decrease in fair value was partially offset by an increase in fair value of our senior secured loans to Piano Software, Inc., Autobooks, Inc., FiscalNote, Inc., and Brivo, Inc. and a release of prior unrealized loss on our common stock investment in Quantum Corporation. Net change in unrealized gain on investments of $12.8 million for the year ended December 31, 2024 was primarily due to an increase in the fair value of our senior secured loans to Gynesonics, Inc., our preferred stock investments in Gynesonics, Inc. and CareCloud, Inc., as well as a release of prior unrealized loss on the senior secured loan to Jobget Holdings, Inc. (fka Snagajob, Inc.), offset by decreases in fair value of our senior secured loans to Vesta Payment Solutions, Inc., Mingle Healthcare Solutions, Inc., 3PL Central LLC (dba Extensiv), Marleyspoon SE, and Blueshift Labs, Inc. Net change in unrealized loss on investments of $15.5 million for the year ended December 31, 2023 was primarily attributable to decreases in the fair value of CareCloud, Inc. and Gynesonics Inc. preferred stock, a decrease in the fair value of FiscalNote, Inc. common stock, decreases in the fair value of Aria Systems, Inc., INRIX, Inc., and ShareThis, Inc. warrants, and decreases in the fair value of our senior secured term loans to Gynesonics, Inc., FiscalNote, Inc., and Snagajob.com Inc., offset by an increase in fair value of Route 92 Medical, Inc. senior secured term loan and a release in prior unrealized loss in our loan to Pivot 3, Inc.</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Net Increase (Decrease) in Net Assets Resulting from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had a net increase in net assets resulting from operations of $34.0 million for the year ended December 31, 2025, when compared to a net increase in net assets resulting from operations of $73.6 million and $44.3 million for the years ended December 31, 2024 and December 31, 2023, respectively.</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Financial Condition, Liquidity, Capital Resources and Obligations</w:t>
      </w:r>
    </w:p>
    <w:p>
      <w:pPr>
        <w:pStyle w:val="TextBody"/>
        <w:bidi w:val="0"/>
        <w:jc w:val="both"/>
        <w:rPr>
          <w:rFonts w:ascii="Times New Roman" w:hAnsi="Times New Roman"/>
          <w:color w:val="000000"/>
          <w:sz w:val="20"/>
        </w:rPr>
      </w:pPr>
      <w:r>
        <w:rPr>
          <w:rFonts w:ascii="Times New Roman" w:hAnsi="Times New Roman"/>
          <w:color w:val="000000"/>
          <w:sz w:val="20"/>
        </w:rPr>
        <w:t xml:space="preserve">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2025, we principally funded our operations from (i) cash receipts from interest, dividend, and fee income from our investment portfolio, (ii) cash proceeds from the realization of portfolio investments through the repayments of debt investments and the sale of debt and equity investments, (iii) net borrowings under our Credit Facility and (iv) net proceeds from our April 2028 Notes which replaced our December 2026 Notes and our August 2027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2024, we principally funded our operations from (i) cash receipts from interest, dividend, and fee income from our investment portfolio, (ii) cash proceeds from the realization of portfolio investments through the repayments of debt investments and the sale of debt and equity investments, and (iii) net borrowings under our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2023, we principally funded our operations from (i) cash receipts from interest, dividend, and fee income from our investment portfolio, (ii) cash proceeds from the realization of portfolio investments through the repayments of debt investments and the sale of debt and equity investments and (iii) proceeds from our 2026 Notes.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2025, our operating activities provided $186.3 million of cash and cash equivalents, compared to $69.8 million in cash and cash equivalents provided operating activities during the year ended December 31, 2024. The $116.6 million increase in cash and cash equivalents provided by operating activities from December 31, 2024 to December 31, 2025 was primarily due to a $103.8 million decrease in purchases of investments and a $25.4 million increase in sales and repayments of investments and U.S. Treasury Bills.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2024, our operating activities provided $69.8 million of cash and cash equivalents, compared to $112.4 million in cash and cash equivalents provided operating activities during the year ended December 31, 2023. The $42.7 million decrease in cash and cash equivalents provided by operating activities from December 31, 2023 to December 31, 2024 was primarily due to a $58.2 million decrease in sales or repayments of investments and U.S. Treasury Bills and a $14.5 million decrease in net investment income, offset by a $23.3 million decrease in purchases of investments and U.S. Treasury Bills.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2025, our financing activities used $173.9 million of cash, compared to $67.0 million used in financing activities during the year ended December 31, 2024. The $106.9 million increase in cash flows used in financing activities from December 31, 2024 to December 31, 2025 was primarily due to a decrease in net borrowing activity of $160.0 million, offset by an increase in secured borrowings of $14.6 million, a decrease in share repurchases of $23.5 million, and a $18.4 million decrease in dividends paid to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year ended December 31, 2024, our financing activities used $67.0 million of cash, compared to $115.2 million used in financing activities during the year ended December 31, 2023. The $48.3 million decrease in cash flows used in financing activities from December 31, 2023 to December 31, 2024 was primarily due to an increase in net borrowings activity of $79.0 million, offset by an increase in share repurchases of $36.0 million.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i/>
          <w:color w:val="000000"/>
          <w:sz w:val="20"/>
        </w:rPr>
      </w:pPr>
      <w:r>
        <w:rPr>
          <w:rFonts w:ascii="Times New Roman" w:hAnsi="Times New Roman"/>
          <w:i/>
          <w:color w:val="000000"/>
          <w:sz w:val="20"/>
        </w:rPr>
        <w:t>Available Liquidity and Capital Resources</w:t>
      </w:r>
    </w:p>
    <w:p>
      <w:pPr>
        <w:pStyle w:val="TextBody"/>
        <w:bidi w:val="0"/>
        <w:jc w:val="both"/>
        <w:rPr>
          <w:rFonts w:ascii="Times New Roman" w:hAnsi="Times New Roman"/>
          <w:color w:val="000000"/>
          <w:sz w:val="20"/>
        </w:rPr>
      </w:pPr>
      <w:r>
        <w:rPr>
          <w:rFonts w:ascii="Times New Roman" w:hAnsi="Times New Roman"/>
          <w:color w:val="000000"/>
          <w:sz w:val="20"/>
        </w:rPr>
        <w:t>As of December 31, 2025, we had $395.2 million in available liquidity, including $18.2 million in cash and cash equivalents, and $377.0 million available under our Credit Facility, subject to borrowing base capacity. As of December 31, 2025, we had $173.0 million of secured debt outstanding under our Credit Facility, which is a floating interest rate obligation and $264.3 million of unsecured debt outstanding under the 2026, 2027, and 2028 Notes, which are all fixed interest rate debt obligations. Refer to "Note 7 – Borrowings" of our consolidated financial statements in Part II, Item 8 of this Form 10-K for additional discussion of our debt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1940 Act, we are permitted to incur borrowings, issue debt securities, or issue preferred stock if, immediately after the borrowings or issuance, the ratio of total assets (less total liabilities other than indebtedness) to total indebtedness plus preferred stock is at least 150%. As of December 31, 2025 and December 31, 2024, our asset coverage ratio was 211% and 192%,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detailed above, our diverse and well-structured balance sheet is designed to provide a long-term focused and sustainable investment platform. Currently, we believe we have sufficient liquidity to support our near-term capital requirements.</w:t>
      </w:r>
    </w:p>
    <w:p>
      <w:pPr>
        <w:pStyle w:val="TextBody"/>
        <w:bidi w:val="0"/>
        <w:spacing w:before="360" w:after="240"/>
        <w:jc w:val="both"/>
        <w:rPr>
          <w:rFonts w:ascii="Times New Roman" w:hAnsi="Times New Roman"/>
          <w:i/>
          <w:color w:val="000000"/>
          <w:sz w:val="20"/>
        </w:rPr>
      </w:pPr>
      <w:r>
        <w:rPr>
          <w:rFonts w:ascii="Times New Roman" w:hAnsi="Times New Roman"/>
          <w:i/>
          <w:color w:val="000000"/>
          <w:sz w:val="20"/>
        </w:rPr>
        <w:t>Commitments and Obligations</w:t>
      </w:r>
    </w:p>
    <w:p>
      <w:pPr>
        <w:pStyle w:val="TextBody"/>
        <w:bidi w:val="0"/>
        <w:jc w:val="both"/>
        <w:rPr>
          <w:rFonts w:ascii="Times New Roman" w:hAnsi="Times New Roman"/>
          <w:color w:val="000000"/>
          <w:sz w:val="20"/>
        </w:rPr>
      </w:pPr>
      <w:r>
        <w:rPr>
          <w:rFonts w:ascii="Times New Roman" w:hAnsi="Times New Roman"/>
          <w:color w:val="000000"/>
          <w:sz w:val="20"/>
        </w:rPr>
        <w:t xml:space="preserve">Our significant contractual payment obligations relate to our borrowings and deferred incentive fees. As of December 31, 2025, we had $437.3 million in debt outstanding, $25.0 million of which is due within the next year, $239.3 million is due within one to three years, and $173.0 million is due beyond three years. As of December 31, 2025, we had $12.2 million of deferred incentive fees, $4.2 million of which is due within the next year, $5.3 million is due within one to three years, and $2.7 million is due beyond three years. Refer to "Note 13 – Subsequent Events" of our consolidated financial statements in Part II, Item 8 of this Form 10-K for more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our on-balance sheet contractual obligations, in the normal course of business, we have future cash requirements related to our financial instruments with off-balance sheet risk. These consist of unfunded commitments to extend credit, in the form of loans, to our portfolio companies. Unfunded commitments to provide funds to portfolio companies are not reflected on our balance sheet.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unfunded commitments may be significant from time to time. As of December 31, 2025, we had a total of $145.5 million in unfunded commitments which was comprised of $122.8 million to provide debt financing to our portfolio companies and $22.7 million in unfunded commitments to provide equity financing to Runway-Cadma I LLC. Unfunded contractual commitments depend upon a portfolio company reaching certain milestones before the debt commitment is available to the portfolio company, which is expected to affect our funding levels. These commitments are subject to the same underwriting and ongoing portfolio maintenance as the on-balance sheet financial instruments that we hold. From time to time, unfunded contractual commitments may expire without being drawn and thus do not represent future cash requirements. We maintain sufficient liquidity (through cash on hand and available borrowings under the Credit Facility) to fund such unfunded commitments should the need arise. As of December 31, 2025, we had $32.4 million of available unfunded commitments to portfolio companies that are eligible to be drawn based on achieved milestones and $22.7 million in unfunded capital commitments to Runway-Cadma I LLC. Refer to "Note 8 – Commitments, Contingencies, and Off-Balance Sheet Arrangements" of our consolidated financial statements in Part II, Item 8 of this Form 10-K for a summary of unfunded commitments by portfolio company as of December 31, 2025.</w:t>
      </w:r>
    </w:p>
    <w:p>
      <w:pPr>
        <w:pStyle w:val="TextBody"/>
        <w:bidi w:val="0"/>
        <w:spacing w:before="240" w:after="283"/>
        <w:jc w:val="both"/>
        <w:rPr>
          <w:rFonts w:ascii="Times New Roman" w:hAnsi="Times New Roman"/>
          <w:sz w:val="20"/>
        </w:rPr>
      </w:pPr>
      <w:r>
        <w:rPr>
          <w:rFonts w:ascii="Times New Roman" w:hAnsi="Times New Roman"/>
          <w:color w:val="000000"/>
          <w:sz w:val="20"/>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hAnsi="Times New Roman"/>
          <w:i/>
          <w:color w:val="000000"/>
          <w:sz w:val="20"/>
        </w:rPr>
        <w:t>.</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Repurchase Program</w:t>
      </w:r>
    </w:p>
    <w:p>
      <w:pPr>
        <w:pStyle w:val="TextBody"/>
        <w:bidi w:val="0"/>
        <w:jc w:val="both"/>
        <w:rPr>
          <w:rFonts w:ascii="Times New Roman" w:hAnsi="Times New Roman"/>
          <w:color w:val="000000"/>
          <w:sz w:val="20"/>
        </w:rPr>
      </w:pPr>
      <w:r>
        <w:rPr>
          <w:rFonts w:ascii="Times New Roman" w:hAnsi="Times New Roman"/>
          <w:color w:val="000000"/>
          <w:sz w:val="20"/>
        </w:rPr>
        <w:t>On February 24, 2022, our Board of Directors approved a share repurchase program (the "First Repurchase Program") under which we were authorized to repurchase up to $25.0 million of our outstanding common stock, at management’s discretion from time to time in open-market transactions and in accordance with all applicable securities laws and regulations. We repurchased 871,345 shares in connection with the First Repurchase Program for an aggregate purchase price of $10.8 million. The First Repurchase Program expired on February 24, 2023.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November 2, 2023, our Board of Directors approved a share repurchase program (the "Second Repurchase Program"), under which we were authorized to repurchase up to $25.0 million of our outstanding shares of common stock, at management’s discretion from time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time in open-market transactions and in accordance with all applicable securities laws and regulations. We repurchased 1,961,938 shares in connection with the Second Repurchase Program for an aggregate purchase price of $23.5 million. The Second Repurchase Program expired on November 2, 2024.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30, 2024, our Board of Directors approved a share repurchase program (the "Third Repurchase Program"), under which we were authorized to repurchase up to $15.0 million of our outstanding shares of common stock. Pursuant to the terms of the repurchase agreement, we were authorized to repurchase up to $12.5 million of outstanding shares of common stock, at management's discretion from time to time in open-market transactions and in accordance with all applicable securities laws and regulations. We repurchased 1,199,867 shares in connection with the Third Repurchase Program for an aggregate purchase price of $12.5 million, exhausting the full approved amount of repurchases under the program, and the Third Repurchase Program terminated in accordance with its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7, 2025, our Board of Directors approved a share repurchase program (the "Fourth Repurchase Program"), under which we may repurchase up to $25.0 million of our outstanding shares of common stock, at management's discretion from time to time in open-market transactions and in accordance with all applicable securities laws and regulations. If not renewed, the Fourth Repurchase Program will terminate upon the earlier of (i) May 7, 2026 or (ii) the repurchase of $25.0 million of our shares of common stock. From the inception of the Fourth Repurchase Program through December 31, 2025, we repurchased 1,213,391 shares for an aggregate purchase price of $12.5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Cumulative repurchases under all four repurchase programs totaled 5,246,541 shares at an aggregate purchase price of $59.3 million.</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Distributions and Dividend Reinvestment Plan</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year ended December 31, 2025, we declared and paid dividends in the amount of $51.4 million, of which $50.4 million was distributed in cash, with the remainder distributed in the form of 104,804 shares of our common stock purchased by us in the open market and distributed to stockholders pursuant to our dividend reinvestment plan (the "Dividend Reinvestment Plan"). For the year ended December 31, 2024, we declared and paid dividends in the amount of $69.9 million, of which $68.7 million was distributed in cash, with the remainder distributed in the form of 96,092 shares of our common stock purchased by us in the open market and distributed to stockholders pursuant to our Dividend Reinvestment Plan. For the year ended December 31, 2023, we declared and paid dividends in the amount of $73.3 million, of which $70.8 million was distributed in cash, with the remainder distributed in the form of 204,658 shares of our common stock purchased by us in the open market and distributed to stockholders pursuant to our Dividend Reinvestment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timing and amount of our distributions, if any, will be determined by our Board of Directors and will be declared out of assets legally available for distribution. Refer to "Note 9 – Net Assets" of our consolidated financial statements in Part II, Item 8 of this Form 10-K for a summary of the distributions declared and paid since inception.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jc w:val="both"/>
        <w:rPr>
          <w:rFonts w:ascii="Times New Roman" w:hAnsi="Times New Roman"/>
          <w:color w:val="000000"/>
          <w:sz w:val="20"/>
        </w:rPr>
      </w:pPr>
      <w:r>
        <w:rPr>
          <w:rFonts w:ascii="Times New Roman" w:hAnsi="Times New Roman"/>
          <w:color w:val="000000"/>
          <w:sz w:val="20"/>
        </w:rPr>
        <w:t>The preparation of the consolidated financial statements and related disclosures in conformity with U.S. GAAP requires our management to make estimates and assumptions that affect the reported amounts of assets and liabilities, disclosure of contingent assets and liabilities at the date of the consolidated financial statements, and revenues and expenses during the period reports. On an ongoing basis, our management evaluates its estimates and assumptions, which are based on historical experience and on various other assumptions that we believe to be reasonable under the circumstances. Actual results could materially differ from those estimates, including as a result of changes in the economic environment, financial markets, and any other parameters used in determining such estimates. Changes in our estimates and assumptions could materially impact our results of operations and financial condition. Our critical accounting estimates, including those relating to valuations of our investment portfolio, are described below. The critical accounting estimates should be read in conjunction with our risk factors as disclosed in "Item 1A. Risk Factors." Please refer to "Note 2 – Summary of Significant Accounting Policies" to our consolidated financial statements in Part II, Item 8 of this Form 10-K for a discussion of our significant accounting policies. We consider the most significant critical accounting estimates and significant accounting policies to be those related to the valuation of our investment portfolio (Fair Value Measurements).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Investment Valuation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most significant estimate inherent in the preparation of our consolidated financial statements is the valuation of investments and the related amounts of unrealized appreciation and depreciation of investments recorded. We measure the value of its financial instruments at fair value in accordance with ASC Topic 820, </w:t>
      </w:r>
      <w:r>
        <w:rPr>
          <w:rFonts w:ascii="Times New Roman" w:hAnsi="Times New Roman"/>
          <w:i/>
          <w:color w:val="000000"/>
          <w:sz w:val="20"/>
        </w:rPr>
        <w:t>Fair Value Measurements and Disclosure</w:t>
      </w:r>
      <w:r>
        <w:rPr>
          <w:rFonts w:ascii="Times New Roman" w:hAnsi="Times New Roman"/>
          <w:color w:val="000000"/>
          <w:sz w:val="20"/>
        </w:rPr>
        <w:t xml:space="preserve"> ("ASC 820"), issued by the FASB. Fair value is the price that would be received to sell an asset or paid to transfer a liability in an orderly transaction between market participants at the measurement date. Our investment portfolio is reported at fair value on our consolidated statements of assets and liabilities. All assets and liabilities approximate fair value on our consolidated statements of assets and liabilities, with the exception of our borrowings, which are reported at amortized cost. For more information on financial instruments reported at cost, refer to "Item 8A. Consolidated Financial Statements and Supplementary Data – Note 5 – Fair Value of Financial Instruments."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ASC 820 specifies a hierarchy of valuation techniques based on whether the inputs to those valuation techniques are observable or unobservable. ASC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820, these inputs are summarized in the three levels listed below: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Level 1 - Valuations are based on quoted prices in active markets for identical assets or liabilities that are accessible at the measurement date.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Level 2 - Valuations are based on quoted prices in markets that are not active or for which all significant inputs are observable, either directly or indirectly and model-based valuation techniques for which all significant inputs are observable.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certain cases, the inputs used to measure fair value may fall into different levels of the fair value hierarchy. In such cases, a financial instrument’s level within the fair value hierarchy is based on the lowest level of observable or unobservable input that is significant to the fair value measurement. The assessment of the significance of a particular input to the fair value measurement in its entirety requires judgment and considers factors specific to the instrument.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ASC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Rule 2a-5 under the 1940 Act established additional requirements for determining the fair value of our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Rule 31a-4 under the 1940 Act established additional recordkeeping requirements related to fair value determinations. Although we adopted certain revisions to its valuation policies and procedures to comply with Rule 2a-5 and Rule 31a-4, the Board of Directors has not elected to designate a valuation designee. See “Item 8A. Consolidated Financial Statements and Supplementary Data – Note 2 – Summary of Significant Accounting Policies” for additional information on our valuation process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Board of Directors makes fair value determinations on a quarterly basis and any other time when a decision regarding the fair value of the portfolio investments is required. There is no single standard for determining the fair value of investments that do not have an active public market. As a result, determining fair value requires that judgment be applied to the specific facts and circumstances of each portfolio investment while employing a consistently applied valuation process for the types of investments we make. A determination of fair value of investments, particularly those of privately held companies, involves subjective judgments and estimates and depends on the facts and circumstances, including at discrete points in time. In some cases, the fair value of such investments is best expressed as a range of values derived utilizing different methodologies from which a fair value may then be determined. Due to the inherent uncertainty of determining the fair value of portfolio investments that do not have a readily available market value, the fair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value of the investments may fluctuate from period to period and/or differ significantly from the values that would have been used had a readily available market value existed for such investments, and the differences could be material. These estimates may be subjective in nature and involve uncertainties and matters of significant judgment and, therefore, cannot be determined with precision. The carrying amounts of our financial instruments, consisting of cash, investments, receivables, payables and other liabilities approximate the fair values of such items due to the short-term nature of these instruments.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Recent Developments</w:t>
      </w:r>
    </w:p>
    <w:p>
      <w:pPr>
        <w:pStyle w:val="TextBody"/>
        <w:bidi w:val="0"/>
        <w:jc w:val="both"/>
        <w:rPr>
          <w:rFonts w:ascii="Times New Roman" w:hAnsi="Times New Roman"/>
          <w:color w:val="000000"/>
          <w:sz w:val="20"/>
        </w:rPr>
      </w:pPr>
      <w:r>
        <w:rPr>
          <w:rFonts w:ascii="Times New Roman" w:hAnsi="Times New Roman"/>
          <w:color w:val="000000"/>
          <w:sz w:val="20"/>
        </w:rPr>
        <w:t>We evaluated events subsequent to December 31, 2025 through March 12, 2026, the date the consolidated financial statements were issued. There have been no subsequent events that occurred during such period that would require recognition or disclosure, except as disclosed below.</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Distributions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On February 25, 2026, the Board of Directors declared a regular distribution of $0.33 per share for stockholders of record as of March 10, 2026 payable on or before March 24, 2026.</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Repayment of April 2026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8.54% Series 2023A Senior Notes due 2026 (the “April 2026 Notes”) bore an interest rate of 8.54% per year and were due on April 13, 2026, unless redeemed, purchased or prepaid prior to such date by us or our affiliates in accordance with their terms. The April 2026 Notes were repaid in full on January 21, 2026 and are no longer outstanding. Interest on the April 2026 Notes was due semiannually in arrears on April 13 and October 13 of each year.</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Baby Bond Offering 7.25% Notes due 2031</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3, 2026, we issued and sold $103.25 million in aggregate principal amount of 7.25% interest-bearing unsecured Notes due February 3, 2031 (the "February 2031 Notes") under its shelf Registration Statement on Form N-2. The February 2031 Notes were issued pursuant to the Base Indenture and Third Supplemental Indenture, dated February 3, 2026, between us and the Trustee, U.S. Bank Trust Company, National Association.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on the February 2031 Notes will be due quarterly in arrears on March 1, June 1, September 1, and December 1 of each year. The February 2031 Notes may be redeemed in whole or in part at any time or from time to time at our option on or after February 3, 2028, at a redemption price of $25 per February 2031 Notes plus accrued and unpaid interest payments otherwise payable for the then-current quarterly interest period accrued to the date fixed for redemption. The February 2031 Notes are general unsecured obligations that rank pari passu with our existing and future unsecured, unsubordinated indebtedness.</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Redemption of July 2027 Notes and December 2027 Notes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On March 6, 2026, we redeemed $40.25 million of the $80.5 million in aggregate principal of the July 2027 Notes in accordance with the terms of the indenture governing the July 2027 Notes. Additionally, we redeemed all of the $51.75 million in aggregate principal of the December 2027 Notes in accordance with the terms of the indenture governing the December 2027 Notes. </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Recent Portfolio Activity</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From January 1, 2026 through March 12, 2026, we completed $54.3 million of additional debt commitments, of which $5.5 million was funded upon closing, and purchased $2.0 million in equity positions. In addition, we funded $5.5 million in unfunded commitments on existing investments. We also received $15.0 million in debt prepayments.</w:t>
      </w:r>
    </w:p>
    <w:p>
      <w:pPr>
        <w:pStyle w:val="TextBody"/>
        <w:bidi w:val="0"/>
        <w:spacing w:before="0" w:after="24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40"/>
        <w:jc w:val="left"/>
        <w:rPr>
          <w:rFonts w:ascii="Times New Roman" w:hAnsi="Times New Roman"/>
          <w:color w:val="000000"/>
          <w:sz w:val="20"/>
        </w:rPr>
      </w:pPr>
      <w:bookmarkStart w:id="16" w:name="item7aquantitativeandqualitativedisclosu"/>
      <w:bookmarkEnd w:id="16"/>
      <w:r>
        <w:rPr>
          <w:rFonts w:ascii="Times New Roman" w:hAnsi="Times New Roman"/>
          <w:color w:val="000000"/>
          <w:sz w:val="20"/>
        </w:rPr>
        <w:t>Item 7A. Quantitative and Qualitative Disclosures about Market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effects of rising interest rates and inflation has introduced significant volatility in the financial markets, and the effects of this volatility could materially impact our market risks. For additional information concerning the risks we face and their potential impact on our business and our operating results, see Part I, Item 1A. Risk Factors.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Valuation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are subject to financial market risks, including changes in interest rates. 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to the extent our debt investments include variable interest rates.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December 31, 2025, $836.5 million of par, or 95.1%, of our debt portfolio investments bore interest at variable rates, of which approximately 80.0% were based on SOFR and 20.0% were based on Prime. A hypothetical 200 basis point increase or decrease in the interest rates on our variable-rate debt investments could increase our interest income by a maximum of $13.1 million and decrease our investment income by a maximum of $8.1 million, due to certain floors, on an annual basis.</w:t>
      </w:r>
    </w:p>
    <w:p>
      <w:pPr>
        <w:pStyle w:val="TextBody"/>
        <w:bidi w:val="0"/>
        <w:jc w:val="both"/>
        <w:rPr>
          <w:rFonts w:ascii="Times New Roman" w:hAnsi="Times New Roman"/>
          <w:color w:val="000000"/>
          <w:sz w:val="20"/>
        </w:rPr>
      </w:pPr>
      <w:r>
        <w:rPr>
          <w:rFonts w:ascii="Times New Roman" w:hAnsi="Times New Roman"/>
          <w:color w:val="000000"/>
          <w:sz w:val="20"/>
        </w:rPr>
        <w:t>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our leverage ratio and number of eligible loans in the collateral pool. For additional information regarding the interest rate associated with each of our debt borrowings, see "Note 7 – Borrowings" of our consolidated financial statements in Part II, Item 8 of this Form 10</w:t>
        <w:noBreakHyphen/>
        <w:t>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regularly measure exposure to interest rate risk. We assess interest rate risk and manage interest rate exposure on an ongoing basis by comparing our interest rate sensitive assets to our interest rate sensitive liabilities. Based on our Consolidated Statement of Assets and Liabilities as of December 31, 2025, the following table shows the approximate annualized increase (decrease) in components of net assets resulting from operations of hypothetical base rate changes in interest rates, assuming no changes to our investments or borrowing structure.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thousands except per share data)</w:t>
      </w:r>
    </w:p>
    <w:tbl>
      <w:tblPr>
        <w:tblW w:w="7080" w:type="dxa"/>
        <w:jc w:val="left"/>
        <w:tblInd w:w="0" w:type="dxa"/>
        <w:tblLayout w:type="fixed"/>
        <w:tblCellMar>
          <w:top w:w="28" w:type="dxa"/>
          <w:left w:w="28" w:type="dxa"/>
          <w:bottom w:w="28" w:type="dxa"/>
          <w:right w:w="28" w:type="dxa"/>
        </w:tblCellMar>
      </w:tblPr>
      <w:tblGrid>
        <w:gridCol w:w="1516"/>
        <w:gridCol w:w="255"/>
        <w:gridCol w:w="190"/>
        <w:gridCol w:w="784"/>
        <w:gridCol w:w="166"/>
        <w:gridCol w:w="146"/>
        <w:gridCol w:w="277"/>
        <w:gridCol w:w="206"/>
        <w:gridCol w:w="807"/>
        <w:gridCol w:w="166"/>
        <w:gridCol w:w="146"/>
        <w:gridCol w:w="199"/>
        <w:gridCol w:w="148"/>
        <w:gridCol w:w="582"/>
        <w:gridCol w:w="166"/>
        <w:gridCol w:w="146"/>
        <w:gridCol w:w="146"/>
        <w:gridCol w:w="196"/>
        <w:gridCol w:w="146"/>
        <w:gridCol w:w="481"/>
        <w:gridCol w:w="211"/>
      </w:tblGrid>
      <w:tr>
        <w:trPr/>
        <w:tc>
          <w:tcPr>
            <w:tcW w:w="15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12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NII/Share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believe that the foregoing analysis is indicative of our sensitivity to interest rate changes, it does not adjust for potential changes in the credit market, credit quality, size and composition of the assets in our portfolio. It also does not adjust for other business developments, including our debt borrowings and use of our Credit Facility that could affect the net increase in net assets resulting from operations, or net income. It also does not assume any repayments from our portfolio companies. Accordingly, no assurances can be given that actual results would not differ materially from the statement above.</w:t>
      </w:r>
    </w:p>
    <w:p>
      <w:pPr>
        <w:pStyle w:val="TextBody"/>
        <w:bidi w:val="0"/>
        <w:jc w:val="both"/>
        <w:rPr>
          <w:rFonts w:ascii="Times New Roman" w:hAnsi="Times New Roman"/>
          <w:color w:val="000000"/>
          <w:sz w:val="20"/>
        </w:rPr>
      </w:pPr>
      <w:r>
        <w:rPr>
          <w:rFonts w:ascii="Times New Roman" w:hAnsi="Times New Roman"/>
          <w:color w:val="000000"/>
          <w:sz w:val="20"/>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current economic conditions and any associated impact on foreign financial markets. See "Risk Factors – Risks Related to Our Business and Structure" in Part I, Item 1A of this Form 10</w:t>
        <w:noBreakHyphen/>
        <w:t>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Hedging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From time-to-time, we may hedge against interest rate and currency exchange rate fluctuations by using standard hedging instruments such as futures, options, swap contracts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As of December 31, 2025, we did not have any hedging instruments. </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0" w:after="240"/>
        <w:jc w:val="left"/>
        <w:rPr>
          <w:rFonts w:ascii="Times New Roman" w:hAnsi="Times New Roman"/>
          <w:color w:val="000000"/>
          <w:sz w:val="20"/>
        </w:rPr>
      </w:pPr>
      <w:bookmarkStart w:id="17" w:name="item8financialstatementsandsupplementary"/>
      <w:bookmarkEnd w:id="17"/>
      <w:r>
        <w:rPr>
          <w:rFonts w:ascii="Times New Roman" w:hAnsi="Times New Roman"/>
          <w:color w:val="000000"/>
          <w:sz w:val="20"/>
        </w:rPr>
        <w:t>Item 8. Consolidated Financial Statements and Supplementary Data.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Index to Audited Consolidated Financial Statements</w:t>
      </w:r>
    </w:p>
    <w:tbl>
      <w:tblPr>
        <w:tblW w:w="10205" w:type="dxa"/>
        <w:jc w:val="left"/>
        <w:tblInd w:w="0" w:type="dxa"/>
        <w:tblLayout w:type="fixed"/>
        <w:tblCellMar>
          <w:top w:w="28" w:type="dxa"/>
          <w:left w:w="28" w:type="dxa"/>
          <w:bottom w:w="28" w:type="dxa"/>
          <w:right w:w="28" w:type="dxa"/>
        </w:tblCellMar>
      </w:tblPr>
      <w:tblGrid>
        <w:gridCol w:w="8819"/>
        <w:gridCol w:w="146"/>
        <w:gridCol w:w="146"/>
        <w:gridCol w:w="161"/>
        <w:gridCol w:w="161"/>
        <w:gridCol w:w="161"/>
        <w:gridCol w:w="161"/>
        <w:gridCol w:w="146"/>
        <w:gridCol w:w="109"/>
        <w:gridCol w:w="195"/>
      </w:tblGrid>
      <w:tr>
        <w:trPr/>
        <w:tc>
          <w:tcPr>
            <w:tcW w:w="8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5" w:type="dxa"/>
            <w:tcBorders/>
          </w:tcPr>
          <w:p>
            <w:pPr>
              <w:pStyle w:val="TableContents"/>
              <w:bidi w:val="0"/>
              <w:spacing w:before="0" w:after="283"/>
              <w:jc w:val="left"/>
              <w:rPr>
                <w:sz w:val="4"/>
                <w:szCs w:val="4"/>
              </w:rPr>
            </w:pPr>
            <w:r>
              <w:rPr>
                <w:sz w:val="4"/>
                <w:szCs w:val="4"/>
              </w:rPr>
            </w:r>
          </w:p>
        </w:tc>
      </w:tr>
      <w:tr>
        <w:trPr/>
        <w:tc>
          <w:tcPr>
            <w:tcW w:w="8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Pr>
          <w:p>
            <w:pPr>
              <w:pStyle w:val="TableContents"/>
              <w:bidi w:val="0"/>
              <w:spacing w:before="0" w:after="283"/>
              <w:jc w:val="left"/>
              <w:rPr>
                <w:sz w:val="4"/>
                <w:szCs w:val="4"/>
              </w:rPr>
            </w:pPr>
            <w:r>
              <w:rPr>
                <w:sz w:val="4"/>
                <w:szCs w:val="4"/>
              </w:rPr>
            </w:r>
          </w:p>
        </w:tc>
        <w:tc>
          <w:tcPr>
            <w:tcW w:w="195" w:type="dxa"/>
            <w:tcBorders/>
          </w:tcPr>
          <w:p>
            <w:pPr>
              <w:pStyle w:val="TableContents"/>
              <w:bidi w:val="0"/>
              <w:spacing w:before="0" w:after="283"/>
              <w:jc w:val="left"/>
              <w:rPr>
                <w:sz w:val="4"/>
                <w:szCs w:val="4"/>
              </w:rPr>
            </w:pPr>
            <w:r>
              <w:rPr>
                <w:sz w:val="4"/>
                <w:szCs w:val="4"/>
              </w:rPr>
            </w:r>
          </w:p>
        </w:tc>
      </w:tr>
      <w:tr>
        <w:trPr/>
        <w:tc>
          <w:tcPr>
            <w:tcW w:w="8819"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644" w:type="dxa"/>
            <w:gridSpan w:val="4"/>
            <w:vMerge w:val="restart"/>
            <w:tcBorders>
              <w:bottom w:val="single" w:sz="4" w:space="0" w:color="000000"/>
            </w:tcBorders>
            <w:tcMar>
              <w:top w:w="0" w:type="dxa"/>
              <w:left w:w="0" w:type="dxa"/>
              <w:bottom w:w="5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16"/>
              </w:rPr>
              <w:t>Page </w:t>
            </w:r>
            <w:r>
              <w:rPr>
                <w:rFonts w:ascii="Times New Roman" w:hAnsi="Times New Roman"/>
                <w:color w:val="000000"/>
                <w:sz w:val="16"/>
              </w:rPr>
              <w:t xml:space="preserve">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09" w:type="dxa"/>
            <w:tcBorders/>
          </w:tcPr>
          <w:p>
            <w:pPr>
              <w:pStyle w:val="TableContents"/>
              <w:bidi w:val="0"/>
              <w:spacing w:before="0" w:after="283"/>
              <w:jc w:val="left"/>
              <w:rPr>
                <w:sz w:val="4"/>
                <w:szCs w:val="4"/>
              </w:rPr>
            </w:pPr>
            <w:r>
              <w:rPr>
                <w:sz w:val="4"/>
                <w:szCs w:val="4"/>
              </w:rPr>
            </w:r>
          </w:p>
        </w:tc>
        <w:tc>
          <w:tcPr>
            <w:tcW w:w="195" w:type="dxa"/>
            <w:tcBorders/>
          </w:tcPr>
          <w:p>
            <w:pPr>
              <w:pStyle w:val="TableContents"/>
              <w:bidi w:val="0"/>
              <w:spacing w:before="0" w:after="283"/>
              <w:jc w:val="left"/>
              <w:rPr>
                <w:sz w:val="4"/>
                <w:szCs w:val="4"/>
              </w:rPr>
            </w:pPr>
            <w:r>
              <w:rPr>
                <w:sz w:val="4"/>
                <w:szCs w:val="4"/>
              </w:rPr>
            </w:r>
          </w:p>
        </w:tc>
      </w:tr>
      <w:tr>
        <w:trPr/>
        <w:tc>
          <w:tcPr>
            <w:tcW w:w="88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4"/>
            <w:vMerge w:val="continue"/>
            <w:tcBorders>
              <w:bottom w:val="single" w:sz="4" w:space="0" w:color="000000"/>
            </w:tcBorders>
            <w:tcMar>
              <w:top w:w="0" w:type="dxa"/>
              <w:left w:w="0" w:type="dxa"/>
              <w:bottom w:w="50" w:type="dxa"/>
              <w:right w:w="0" w:type="dxa"/>
            </w:tcMar>
            <w:vAlign w:val="center"/>
          </w:tcPr>
          <w:p>
            <w:pPr>
              <w:pStyle w:val="Normal"/>
              <w:bidi w:val="0"/>
              <w:jc w:val="left"/>
              <w:rPr/>
            </w:pPr>
            <w:r>
              <w:rPr/>
            </w:r>
          </w:p>
        </w:tc>
        <w:tc>
          <w:tcPr>
            <w:tcW w:w="255" w:type="dxa"/>
            <w:gridSpan w:val="2"/>
            <w:tcBorders>
              <w:bottom w:val="single" w:sz="4" w:space="0" w:color="000000"/>
            </w:tcBorders>
            <w:tcMar>
              <w:top w:w="0" w:type="dxa"/>
              <w:left w:w="0" w:type="dxa"/>
              <w:bottom w:w="5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8819" w:type="dxa"/>
            <w:tcBorders/>
            <w:tcMar>
              <w:top w:w="0" w:type="dxa"/>
              <w:left w:w="0" w:type="dxa"/>
              <w:bottom w:w="0" w:type="dxa"/>
              <w:right w:w="0" w:type="dxa"/>
            </w:tcMar>
            <w:vAlign w:val="center"/>
          </w:tcPr>
          <w:p>
            <w:pPr>
              <w:pStyle w:val="TableContents"/>
              <w:bidi w:val="0"/>
              <w:spacing w:before="0" w:after="283"/>
              <w:jc w:val="left"/>
              <w:rPr/>
            </w:pPr>
            <w:hyperlink w:anchor="report_of_independent_auditors_deloitte">
              <w:r>
                <w:rPr>
                  <w:rStyle w:val="InternetLink"/>
                  <w:rFonts w:ascii="Times New Roman" w:hAnsi="Times New Roman"/>
                  <w:color w:val="0000FF"/>
                  <w:sz w:val="20"/>
                  <w:u w:val="single"/>
                </w:rPr>
                <w:t>Report of Independent Registered Public Accounting Firm (Deloitte &amp; Touche LLP; New York, New York, PCAOB ID No. 34)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4" w:type="dxa"/>
            <w:gridSpan w:val="2"/>
            <w:tcBorders/>
          </w:tcPr>
          <w:p>
            <w:pPr>
              <w:pStyle w:val="TableContents"/>
              <w:bidi w:val="0"/>
              <w:spacing w:before="0" w:after="283"/>
              <w:jc w:val="left"/>
              <w:rPr>
                <w:sz w:val="4"/>
                <w:szCs w:val="4"/>
              </w:rPr>
            </w:pPr>
            <w:r>
              <w:rPr>
                <w:sz w:val="4"/>
                <w:szCs w:val="4"/>
              </w:rPr>
            </w:r>
          </w:p>
        </w:tc>
      </w:tr>
      <w:tr>
        <w:trPr/>
        <w:tc>
          <w:tcPr>
            <w:tcW w:w="8819" w:type="dxa"/>
            <w:tcBorders/>
            <w:tcMar>
              <w:top w:w="0" w:type="dxa"/>
              <w:left w:w="0" w:type="dxa"/>
              <w:bottom w:w="0" w:type="dxa"/>
              <w:right w:w="0" w:type="dxa"/>
            </w:tcMar>
            <w:vAlign w:val="center"/>
          </w:tcPr>
          <w:p>
            <w:pPr>
              <w:pStyle w:val="TableContents"/>
              <w:bidi w:val="0"/>
              <w:spacing w:before="0" w:after="283"/>
              <w:jc w:val="left"/>
              <w:rPr/>
            </w:pPr>
            <w:hyperlink w:anchor="report_of_independent_auditors_rsm">
              <w:r>
                <w:rPr>
                  <w:rStyle w:val="InternetLink"/>
                  <w:rFonts w:ascii="Times New Roman" w:hAnsi="Times New Roman"/>
                  <w:color w:val="0000FF"/>
                  <w:sz w:val="20"/>
                  <w:u w:val="single"/>
                </w:rPr>
                <w:t>Report of Independent Registered Public Accounting Firm (RSM US LLP; Chicago, Illinois, PCAOB ID No. 49)</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4" w:type="dxa"/>
            <w:gridSpan w:val="2"/>
            <w:tcBorders/>
          </w:tcPr>
          <w:p>
            <w:pPr>
              <w:pStyle w:val="TableContents"/>
              <w:bidi w:val="0"/>
              <w:spacing w:before="0" w:after="283"/>
              <w:jc w:val="left"/>
              <w:rPr>
                <w:sz w:val="4"/>
                <w:szCs w:val="4"/>
              </w:rPr>
            </w:pPr>
            <w:r>
              <w:rPr>
                <w:sz w:val="4"/>
                <w:szCs w:val="4"/>
              </w:rPr>
            </w:r>
          </w:p>
        </w:tc>
      </w:tr>
      <w:tr>
        <w:trPr/>
        <w:tc>
          <w:tcPr>
            <w:tcW w:w="8819" w:type="dxa"/>
            <w:tcBorders/>
            <w:tcMar>
              <w:top w:w="0" w:type="dxa"/>
              <w:left w:w="0" w:type="dxa"/>
              <w:bottom w:w="0" w:type="dxa"/>
              <w:right w:w="0" w:type="dxa"/>
            </w:tcMar>
            <w:vAlign w:val="center"/>
          </w:tcPr>
          <w:p>
            <w:pPr>
              <w:pStyle w:val="TableContents"/>
              <w:bidi w:val="0"/>
              <w:spacing w:before="0" w:after="283"/>
              <w:jc w:val="left"/>
              <w:rPr/>
            </w:pPr>
            <w:hyperlink w:anchor="statementsofassetsandliabilities_984676">
              <w:r>
                <w:rPr>
                  <w:rStyle w:val="InternetLink"/>
                  <w:rFonts w:ascii="Times New Roman" w:hAnsi="Times New Roman"/>
                  <w:color w:val="0000FF"/>
                  <w:sz w:val="20"/>
                  <w:u w:val="single"/>
                </w:rPr>
                <w:t>Consolidated Statements of Assets and Liabilities as of December 31, 2025 and 2024</w:t>
              </w:r>
            </w:hyperlink>
            <w:hyperlink w:anchor="statementsofassetsandliabilities_984676">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4" w:type="dxa"/>
            <w:gridSpan w:val="2"/>
            <w:tcBorders/>
          </w:tcPr>
          <w:p>
            <w:pPr>
              <w:pStyle w:val="TableContents"/>
              <w:bidi w:val="0"/>
              <w:spacing w:before="0" w:after="283"/>
              <w:jc w:val="left"/>
              <w:rPr>
                <w:sz w:val="4"/>
                <w:szCs w:val="4"/>
              </w:rPr>
            </w:pPr>
            <w:r>
              <w:rPr>
                <w:sz w:val="4"/>
                <w:szCs w:val="4"/>
              </w:rPr>
            </w:r>
          </w:p>
        </w:tc>
      </w:tr>
      <w:tr>
        <w:trPr/>
        <w:tc>
          <w:tcPr>
            <w:tcW w:w="8819" w:type="dxa"/>
            <w:tcBorders/>
            <w:tcMar>
              <w:top w:w="0" w:type="dxa"/>
              <w:left w:w="0" w:type="dxa"/>
              <w:bottom w:w="0" w:type="dxa"/>
              <w:right w:w="0" w:type="dxa"/>
            </w:tcMar>
            <w:vAlign w:val="center"/>
          </w:tcPr>
          <w:p>
            <w:pPr>
              <w:pStyle w:val="TableContents"/>
              <w:bidi w:val="0"/>
              <w:spacing w:before="0" w:after="283"/>
              <w:jc w:val="left"/>
              <w:rPr/>
            </w:pPr>
            <w:hyperlink w:anchor="statementsofoperations_538321">
              <w:r>
                <w:rPr>
                  <w:rStyle w:val="InternetLink"/>
                  <w:rFonts w:ascii="Times New Roman" w:hAnsi="Times New Roman"/>
                  <w:color w:val="0000FF"/>
                  <w:sz w:val="20"/>
                  <w:u w:val="single"/>
                </w:rPr>
                <w:t>Consolidated Statements of Operations for the years ended December 31, 2025, 2024 and 2023</w:t>
              </w:r>
            </w:hyperlink>
            <w:hyperlink w:anchor="statementsofoperations_538321">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4" w:type="dxa"/>
            <w:gridSpan w:val="2"/>
            <w:tcBorders/>
          </w:tcPr>
          <w:p>
            <w:pPr>
              <w:pStyle w:val="TableContents"/>
              <w:bidi w:val="0"/>
              <w:spacing w:before="0" w:after="283"/>
              <w:jc w:val="left"/>
              <w:rPr>
                <w:sz w:val="4"/>
                <w:szCs w:val="4"/>
              </w:rPr>
            </w:pPr>
            <w:r>
              <w:rPr>
                <w:sz w:val="4"/>
                <w:szCs w:val="4"/>
              </w:rPr>
            </w:r>
          </w:p>
        </w:tc>
      </w:tr>
      <w:tr>
        <w:trPr/>
        <w:tc>
          <w:tcPr>
            <w:tcW w:w="8819" w:type="dxa"/>
            <w:tcBorders/>
            <w:tcMar>
              <w:top w:w="0" w:type="dxa"/>
              <w:left w:w="0" w:type="dxa"/>
              <w:bottom w:w="0" w:type="dxa"/>
              <w:right w:w="0" w:type="dxa"/>
            </w:tcMar>
            <w:vAlign w:val="center"/>
          </w:tcPr>
          <w:p>
            <w:pPr>
              <w:pStyle w:val="TableContents"/>
              <w:bidi w:val="0"/>
              <w:spacing w:before="0" w:after="283"/>
              <w:jc w:val="left"/>
              <w:rPr/>
            </w:pPr>
            <w:hyperlink w:anchor="statementsofchangesinnetassets_610557">
              <w:r>
                <w:rPr>
                  <w:rStyle w:val="InternetLink"/>
                  <w:rFonts w:ascii="Times New Roman" w:hAnsi="Times New Roman"/>
                  <w:color w:val="0000FF"/>
                  <w:sz w:val="20"/>
                  <w:u w:val="single"/>
                </w:rPr>
                <w:t>Consolidated Statements of Changes in Net Assets for the years ended December 31, 2025, 2024 and 2023</w:t>
              </w:r>
            </w:hyperlink>
            <w:hyperlink w:anchor="statementsofchangesinnetassets_610557">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4" w:type="dxa"/>
            <w:gridSpan w:val="2"/>
            <w:tcBorders/>
          </w:tcPr>
          <w:p>
            <w:pPr>
              <w:pStyle w:val="TableContents"/>
              <w:bidi w:val="0"/>
              <w:spacing w:before="0" w:after="283"/>
              <w:jc w:val="left"/>
              <w:rPr>
                <w:sz w:val="4"/>
                <w:szCs w:val="4"/>
              </w:rPr>
            </w:pPr>
            <w:r>
              <w:rPr>
                <w:sz w:val="4"/>
                <w:szCs w:val="4"/>
              </w:rPr>
            </w:r>
          </w:p>
        </w:tc>
      </w:tr>
      <w:tr>
        <w:trPr/>
        <w:tc>
          <w:tcPr>
            <w:tcW w:w="8819" w:type="dxa"/>
            <w:tcBorders/>
            <w:tcMar>
              <w:top w:w="0" w:type="dxa"/>
              <w:left w:w="0" w:type="dxa"/>
              <w:bottom w:w="0" w:type="dxa"/>
              <w:right w:w="0" w:type="dxa"/>
            </w:tcMar>
            <w:vAlign w:val="center"/>
          </w:tcPr>
          <w:p>
            <w:pPr>
              <w:pStyle w:val="TableContents"/>
              <w:bidi w:val="0"/>
              <w:spacing w:before="0" w:after="283"/>
              <w:jc w:val="left"/>
              <w:rPr/>
            </w:pPr>
            <w:hyperlink w:anchor="statementsofcashflows_699252">
              <w:r>
                <w:rPr>
                  <w:rStyle w:val="InternetLink"/>
                  <w:rFonts w:ascii="Times New Roman" w:hAnsi="Times New Roman"/>
                  <w:color w:val="0000FF"/>
                  <w:sz w:val="20"/>
                  <w:u w:val="single"/>
                </w:rPr>
                <w:t>Consolidated Statements of Cash Flows for the years ended December 31, 2025, 2024 and 2023</w:t>
              </w:r>
            </w:hyperlink>
            <w:hyperlink w:anchor="statementsofcashflows_699252">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4" w:type="dxa"/>
            <w:gridSpan w:val="2"/>
            <w:tcBorders/>
          </w:tcPr>
          <w:p>
            <w:pPr>
              <w:pStyle w:val="TableContents"/>
              <w:bidi w:val="0"/>
              <w:spacing w:before="0" w:after="283"/>
              <w:jc w:val="left"/>
              <w:rPr>
                <w:sz w:val="4"/>
                <w:szCs w:val="4"/>
              </w:rPr>
            </w:pPr>
            <w:r>
              <w:rPr>
                <w:sz w:val="4"/>
                <w:szCs w:val="4"/>
              </w:rPr>
            </w:r>
          </w:p>
        </w:tc>
      </w:tr>
      <w:tr>
        <w:trPr/>
        <w:tc>
          <w:tcPr>
            <w:tcW w:w="8819" w:type="dxa"/>
            <w:tcBorders/>
            <w:tcMar>
              <w:top w:w="0" w:type="dxa"/>
              <w:left w:w="0" w:type="dxa"/>
              <w:bottom w:w="0" w:type="dxa"/>
              <w:right w:w="0" w:type="dxa"/>
            </w:tcMar>
            <w:vAlign w:val="center"/>
          </w:tcPr>
          <w:p>
            <w:pPr>
              <w:pStyle w:val="TableContents"/>
              <w:bidi w:val="0"/>
              <w:spacing w:before="0" w:after="283"/>
              <w:jc w:val="left"/>
              <w:rPr/>
            </w:pPr>
            <w:hyperlink w:anchor="schedulesofinvestmentsasofdecember312019">
              <w:r>
                <w:rPr>
                  <w:rStyle w:val="InternetLink"/>
                  <w:rFonts w:ascii="Times New Roman" w:hAnsi="Times New Roman"/>
                  <w:color w:val="0000FF"/>
                  <w:sz w:val="20"/>
                  <w:u w:val="single"/>
                </w:rPr>
                <w:t>Consolidated Schedules of Investments as of December 31, 2025 and 2024</w:t>
              </w:r>
            </w:hyperlink>
            <w:hyperlink w:anchor="schedulesofinvestmentsasofdecember312019">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4" w:type="dxa"/>
            <w:gridSpan w:val="2"/>
            <w:tcBorders/>
          </w:tcPr>
          <w:p>
            <w:pPr>
              <w:pStyle w:val="TableContents"/>
              <w:bidi w:val="0"/>
              <w:spacing w:before="0" w:after="283"/>
              <w:jc w:val="left"/>
              <w:rPr>
                <w:sz w:val="4"/>
                <w:szCs w:val="4"/>
              </w:rPr>
            </w:pPr>
            <w:r>
              <w:rPr>
                <w:sz w:val="4"/>
                <w:szCs w:val="4"/>
              </w:rPr>
            </w:r>
          </w:p>
        </w:tc>
      </w:tr>
      <w:tr>
        <w:trPr/>
        <w:tc>
          <w:tcPr>
            <w:tcW w:w="8819" w:type="dxa"/>
            <w:tcBorders/>
            <w:tcMar>
              <w:top w:w="0" w:type="dxa"/>
              <w:left w:w="0" w:type="dxa"/>
              <w:bottom w:w="0" w:type="dxa"/>
              <w:right w:w="0" w:type="dxa"/>
            </w:tcMar>
            <w:vAlign w:val="center"/>
          </w:tcPr>
          <w:p>
            <w:pPr>
              <w:pStyle w:val="TableContents"/>
              <w:bidi w:val="0"/>
              <w:spacing w:before="0" w:after="283"/>
              <w:jc w:val="left"/>
              <w:rPr/>
            </w:pPr>
            <w:hyperlink w:anchor="notestofinancialstatementsasofdecember31">
              <w:r>
                <w:rPr>
                  <w:rStyle w:val="InternetLink"/>
                  <w:rFonts w:ascii="Times New Roman" w:hAnsi="Times New Roman"/>
                  <w:color w:val="0000FF"/>
                  <w:sz w:val="20"/>
                  <w:u w:val="single"/>
                </w:rPr>
                <w:t>Notes to Consolidated Financial Statements</w:t>
              </w:r>
            </w:hyperlink>
            <w:hyperlink w:anchor="notestofinancialstatementsasofdecember31">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4" w:type="dxa"/>
            <w:gridSpan w:val="2"/>
            <w:tcBorders/>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center"/>
        <w:rPr>
          <w:rFonts w:ascii="Times New Roman" w:hAnsi="Times New Roman"/>
          <w:b/>
          <w:color w:val="000000"/>
          <w:sz w:val="20"/>
        </w:rPr>
      </w:pPr>
      <w:bookmarkStart w:id="18" w:name="report_of_independent_auditors_deloitte"/>
      <w:bookmarkEnd w:id="18"/>
      <w:r>
        <w:rPr>
          <w:rFonts w:ascii="Times New Roman" w:hAnsi="Times New Roman"/>
          <w:b/>
          <w:color w:val="000000"/>
          <w:sz w:val="20"/>
        </w:rPr>
        <w:t>Report of Independent Registered Public Accounting Firm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the shareholders and the Board of Directors of Runway Growth Finance Corp.</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Opinion on the Consolidated Financial Statements and Financial Highlights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audited the accompanying consolidated statements of assets and liabilities of Runway Growth Finance Corp. and subsidiary (the "Company"), including the consolidated schedule of investments, as of December 31, 2025 and 2024, the related consolidated statements of operations, cash flows, and changes in net assets for each of the two years in the period then ended, financial highlights for each of the two years in the period then ended, and the related notes (collectively referred to as the “financial statements and financial highlights”). In our opinion, the financial statements and financial highlights present fairly, in all material respects, the financial position of the Company as of December 31, 2025 and 2024, and the results of its operations, changes in net assets, and cash flows for each of the two years in the period then ended, and the financial highlights for each of the two years in the period then ended in conformity with accounting principles generally accepted in the United States of America. The related consolidated statements of operations, cash flows, and changes in net assets for the year ended December 31, 2023, and financial highlights for the years ended 2023, 2022, 2021, 2020, 2019, 2018, 2017 and 2016 were audited by other auditors whose report, dated March 7, 2024, expressed an unqualified opinion on those financial statements and financial highlights.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financial statements and financial highlights are the responsibility of the Company's management. Our responsibility is to express an opinion on the Company's financial statements and financial highlights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and financial highlights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and financial highlights, whether due to error or fraud, and performing procedures that respond to those risks. Such procedures included examining, on a test basis, evidence regarding the amounts and disclosures in the financial statements and financial highlights. Our audits also included evaluating the accounting principles used and significant estimates made by management, as well as evaluating the overall presentation of the financial statements and financial highlights. Our procedures included confirmation of investments owned as of December 31, 2025 and 2024, by correspondence with the custodian, loan agents, and borrowers; when replies were not received, we performed other auditing procedures. We believe that our audits provide a reasonable basis for our opinion.</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New York, New York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March 12,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served as the Company’s auditor since 2025.</w:t>
      </w:r>
    </w:p>
    <w:p>
      <w:pPr>
        <w:pStyle w:val="TextBody"/>
        <w:bidi w:val="0"/>
        <w:spacing w:before="0" w:after="240"/>
        <w:jc w:val="both"/>
        <w:rPr/>
      </w:pPr>
      <w:r>
        <w:rPr/>
        <w:t> </w:t>
      </w:r>
    </w:p>
    <w:p>
      <w:pPr>
        <w:pStyle w:val="TextBody"/>
        <w:bidi w:val="0"/>
        <w:spacing w:before="0" w:after="240"/>
        <w:jc w:val="center"/>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center"/>
        <w:rPr>
          <w:rFonts w:ascii="Times New Roman" w:hAnsi="Times New Roman"/>
          <w:b/>
          <w:color w:val="000000"/>
          <w:sz w:val="20"/>
        </w:rPr>
      </w:pPr>
      <w:bookmarkStart w:id="19" w:name="report_of_independent_auditors_rsm"/>
      <w:bookmarkEnd w:id="19"/>
      <w:r>
        <w:rPr>
          <w:rFonts w:ascii="Times New Roman" w:hAnsi="Times New Roman"/>
          <w:b/>
          <w:color w:val="000000"/>
          <w:sz w:val="20"/>
        </w:rPr>
        <w:t>Report of Independent Registered Public Accounting Firm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the shareholders and the Board of Directors of Runway Growth Finance Corp.</w:t>
      </w:r>
    </w:p>
    <w:p>
      <w:pPr>
        <w:pStyle w:val="TextBody"/>
        <w:bidi w:val="0"/>
        <w:spacing w:before="240" w:after="120"/>
        <w:jc w:val="both"/>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audited the accompanying consolidated statements of operations, changes in net assets, and cash flows for the year ended December 31, 2023 and the related notes to the consolidated financial statements (collectively, the financial statements). In our opinion, the financial statements referred to above present fairly, in all material respects, the results of Runway Growth Finance Corp.’s (the Company) operations, changes in net assets and cash flows for the year ended December 31, 2023, in conformity with accounting principles generally accepted in the United States of America.</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 RSM US LLP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served as the Company's auditor from 2015 to January 23, 2025.</w:t>
      </w:r>
    </w:p>
    <w:p>
      <w:pPr>
        <w:pStyle w:val="TextBody"/>
        <w:bidi w:val="0"/>
        <w:jc w:val="both"/>
        <w:rPr>
          <w:rFonts w:ascii="Times New Roman" w:hAnsi="Times New Roman"/>
          <w:color w:val="000000"/>
          <w:sz w:val="20"/>
        </w:rPr>
      </w:pPr>
      <w:r>
        <w:rPr>
          <w:rFonts w:ascii="Times New Roman" w:hAnsi="Times New Roman"/>
          <w:color w:val="000000"/>
          <w:sz w:val="20"/>
        </w:rPr>
        <w:t>Chicago, Illinois</w:t>
      </w:r>
    </w:p>
    <w:p>
      <w:pPr>
        <w:pStyle w:val="TextBody"/>
        <w:bidi w:val="0"/>
        <w:jc w:val="both"/>
        <w:rPr>
          <w:rFonts w:ascii="Times New Roman" w:hAnsi="Times New Roman"/>
          <w:color w:val="000000"/>
          <w:sz w:val="20"/>
        </w:rPr>
      </w:pPr>
      <w:r>
        <w:rPr>
          <w:rFonts w:ascii="Times New Roman" w:hAnsi="Times New Roman"/>
          <w:color w:val="000000"/>
          <w:sz w:val="20"/>
        </w:rPr>
        <w:t>March 7, 2024</w:t>
      </w:r>
    </w:p>
    <w:p>
      <w:pPr>
        <w:pStyle w:val="TextBody"/>
        <w:bidi w:val="0"/>
        <w:spacing w:before="0" w:after="12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20" w:name="statementsofassetsandliabilities_984676"/>
      <w:bookmarkEnd w:id="20"/>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98"/>
        <w:gridCol w:w="146"/>
        <w:gridCol w:w="228"/>
        <w:gridCol w:w="170"/>
        <w:gridCol w:w="1069"/>
        <w:gridCol w:w="166"/>
        <w:gridCol w:w="146"/>
        <w:gridCol w:w="228"/>
        <w:gridCol w:w="170"/>
        <w:gridCol w:w="1069"/>
        <w:gridCol w:w="415"/>
      </w:tblGrid>
      <w:tr>
        <w:trPr/>
        <w:tc>
          <w:tcPr>
            <w:tcW w:w="6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Non-control/non-affiliate investments at fair value (cost of $961,646</w:t>
            </w:r>
            <w:r>
              <w:rPr>
                <w:rFonts w:ascii="Times New Roman" w:hAnsi="Times New Roman"/>
                <w:color w:val="000000"/>
                <w:sz w:val="20"/>
              </w:rPr>
              <w:t> </w:t>
            </w:r>
            <w:r>
              <w:rPr>
                <w:rFonts w:ascii="Times New Roman" w:hAnsi="Times New Roman"/>
                <w:color w:val="000000"/>
                <w:sz w:val="16"/>
              </w:rPr>
              <w:t>and $1,038,135,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1,005,328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Affiliate investments at fair value (cost of $4,551</w:t>
            </w:r>
            <w:r>
              <w:rPr>
                <w:rFonts w:ascii="Times New Roman" w:hAnsi="Times New Roman"/>
                <w:color w:val="000000"/>
                <w:sz w:val="20"/>
              </w:rPr>
              <w:t> </w:t>
            </w:r>
            <w:r>
              <w:rPr>
                <w:rFonts w:ascii="Times New Roman" w:hAnsi="Times New Roman"/>
                <w:color w:val="000000"/>
                <w:sz w:val="16"/>
              </w:rPr>
              <w:t>and $59,198,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Control investments at fair value (cost of $13,233</w:t>
            </w:r>
            <w:r>
              <w:rPr>
                <w:rFonts w:ascii="Times New Roman" w:hAnsi="Times New Roman"/>
                <w:color w:val="000000"/>
                <w:sz w:val="20"/>
              </w:rPr>
              <w:t> </w:t>
            </w:r>
            <w:r>
              <w:rPr>
                <w:rFonts w:ascii="Times New Roman" w:hAnsi="Times New Roman"/>
                <w:color w:val="000000"/>
                <w:sz w:val="16"/>
              </w:rPr>
              <w:t>and $6,550,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Total investments at fair value (cost of $979,430</w:t>
            </w:r>
            <w:r>
              <w:rPr>
                <w:rFonts w:ascii="Times New Roman" w:hAnsi="Times New Roman"/>
                <w:color w:val="000000"/>
                <w:sz w:val="20"/>
              </w:rPr>
              <w:t> </w:t>
            </w:r>
            <w:r>
              <w:rPr>
                <w:rFonts w:ascii="Times New Roman" w:hAnsi="Times New Roman"/>
                <w:color w:val="000000"/>
                <w:sz w:val="16"/>
              </w:rPr>
              <w:t>and $1,103,883,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4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5,751</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fees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8,141</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1,091,355</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311,000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(5,918</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debt, less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552,332</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14,106</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7,743</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576,486</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Contingencies, and Off-Balance Sheet Arrangements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Common stock,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557,992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undistributed (overdistributed)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(43,496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514,869</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w:t>
            </w:r>
            <w:r>
              <w:rPr>
                <w:rFonts w:ascii="Times New Roman" w:hAnsi="Times New Roman"/>
                <w:color w:val="000000"/>
                <w:sz w:val="20"/>
              </w:rPr>
              <w:t> </w:t>
            </w:r>
            <w:r>
              <w:rPr>
                <w:rFonts w:ascii="Times New Roman" w:hAnsi="Times New Roman"/>
                <w:color w:val="000000"/>
                <w:sz w:val="16"/>
              </w:rPr>
              <w:t>of common stock outstanding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37,347,428</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21" w:name="statementsofoperations_538321"/>
      <w:bookmarkEnd w:id="21"/>
      <w:r>
        <w:rPr>
          <w:rFonts w:ascii="Times New Roman" w:hAnsi="Times New Roman"/>
          <w:b/>
          <w:color w:val="000000"/>
          <w:sz w:val="20"/>
        </w:rPr>
        <w:t>Consolidated Statements of Operations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5236"/>
        <w:gridCol w:w="196"/>
        <w:gridCol w:w="146"/>
        <w:gridCol w:w="916"/>
        <w:gridCol w:w="166"/>
        <w:gridCol w:w="146"/>
        <w:gridCol w:w="196"/>
        <w:gridCol w:w="146"/>
        <w:gridCol w:w="916"/>
        <w:gridCol w:w="166"/>
        <w:gridCol w:w="146"/>
        <w:gridCol w:w="256"/>
        <w:gridCol w:w="146"/>
        <w:gridCol w:w="916"/>
        <w:gridCol w:w="511"/>
      </w:tblGrid>
      <w:tr>
        <w:trPr/>
        <w:tc>
          <w:tcPr>
            <w:tcW w:w="5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8"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non-control/non-affiliate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136,912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Payment-in-kind 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20,083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affiliate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investment income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164,209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Management fees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Incentive fees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Professional fees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Insurance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85,934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net change in unrealized gain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 investments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 on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forward contracts and foreign currency transactions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 investments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forward contracts and foreign currency transactions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common share (basic and 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 per common share (basic and diluted)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outstanding (basic and diluted)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36,697,936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38,852,271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22" w:name="statementsofchangesinnetassets_610557"/>
      <w:bookmarkEnd w:id="22"/>
      <w:r>
        <w:rPr>
          <w:rFonts w:ascii="Times New Roman" w:hAnsi="Times New Roman"/>
          <w:b/>
          <w:color w:val="000000"/>
          <w:sz w:val="20"/>
        </w:rPr>
        <w:t>Consolidated Statements of Changes in Net Assets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777"/>
        <w:gridCol w:w="1034"/>
        <w:gridCol w:w="346"/>
        <w:gridCol w:w="146"/>
        <w:gridCol w:w="916"/>
        <w:gridCol w:w="166"/>
        <w:gridCol w:w="146"/>
        <w:gridCol w:w="204"/>
        <w:gridCol w:w="152"/>
        <w:gridCol w:w="392"/>
        <w:gridCol w:w="166"/>
        <w:gridCol w:w="146"/>
        <w:gridCol w:w="196"/>
        <w:gridCol w:w="146"/>
        <w:gridCol w:w="661"/>
        <w:gridCol w:w="166"/>
        <w:gridCol w:w="146"/>
        <w:gridCol w:w="207"/>
        <w:gridCol w:w="154"/>
        <w:gridCol w:w="731"/>
        <w:gridCol w:w="166"/>
        <w:gridCol w:w="146"/>
        <w:gridCol w:w="225"/>
        <w:gridCol w:w="167"/>
        <w:gridCol w:w="763"/>
        <w:gridCol w:w="166"/>
        <w:gridCol w:w="146"/>
        <w:gridCol w:w="211"/>
        <w:gridCol w:w="157"/>
        <w:gridCol w:w="745"/>
        <w:gridCol w:w="315"/>
      </w:tblGrid>
      <w:tr>
        <w:trPr/>
        <w:tc>
          <w:tcPr>
            <w:tcW w:w="7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Shares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Stock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576,052</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78,275</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(73,322</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reclassification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December 31, 2023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547,071</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63,751</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(3,161,805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(35,950</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Reclassification of share repurchases</w:t>
            </w:r>
            <w:r>
              <w:rPr>
                <w:rFonts w:ascii="Times New Roman" w:hAnsi="Times New Roman"/>
                <w:color w:val="000000"/>
                <w:sz w:val="11"/>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Shares Retired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(69,860</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reclassification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37,347,428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514,869</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56,910</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2,835</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(25,696</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(51,449</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reclassification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484,969</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color w:val="000000"/>
          <w:sz w:val="2"/>
        </w:rPr>
      </w:pPr>
      <w:r>
        <w:rPr>
          <w:rFonts w:ascii="Times New Roman" w:hAnsi="Times New Roman"/>
          <w:b/>
          <w:color w:val="000000"/>
          <w:sz w:val="2"/>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pPr>
      <w:r>
        <w:rPr>
          <w:rFonts w:ascii="Times New Roman" w:hAnsi="Times New Roman"/>
          <w:color w:val="000000"/>
          <w:sz w:val="16"/>
        </w:rPr>
        <w:t>Number of shares is shown net of cumulative share repurchases of 5,246,541</w:t>
      </w:r>
      <w:r>
        <w:rPr>
          <w:color w:val="000000"/>
        </w:rPr>
        <w:t xml:space="preserve"> </w:t>
      </w:r>
      <w:r>
        <w:rPr>
          <w:rFonts w:ascii="Times New Roman" w:hAnsi="Times New Roman"/>
          <w:color w:val="000000"/>
          <w:sz w:val="16"/>
        </w:rPr>
        <w:t>and 4,033,150</w:t>
      </w:r>
      <w:r>
        <w:rPr>
          <w:color w:val="000000"/>
        </w:rPr>
        <w:t xml:space="preserve"> </w:t>
      </w:r>
      <w:r>
        <w:rPr>
          <w:rFonts w:ascii="Times New Roman" w:hAnsi="Times New Roman"/>
          <w:color w:val="000000"/>
          <w:sz w:val="16"/>
        </w:rPr>
        <w:t>shares as of December 31, 2025 and December 31, 2024, respectively.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pPr>
      <w:r>
        <w:rPr>
          <w:rFonts w:ascii="Times New Roman" w:hAnsi="Times New Roman"/>
          <w:color w:val="000000"/>
          <w:sz w:val="16"/>
        </w:rPr>
        <w:t>Refer to "Note 2 </w:t>
      </w:r>
      <w:r>
        <w:rPr>
          <w:color w:val="000000"/>
        </w:rPr>
        <w:t>– </w:t>
      </w:r>
      <w:r>
        <w:rPr>
          <w:rFonts w:ascii="Times New Roman" w:hAnsi="Times New Roman"/>
          <w:color w:val="000000"/>
          <w:sz w:val="16"/>
        </w:rPr>
        <w:t>Summary of Significant Accounting Policies, Repurchases of Common Stock" for more information.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23" w:name="statementsofcashflows_699252"/>
      <w:bookmarkEnd w:id="23"/>
      <w:r>
        <w:rPr>
          <w:rFonts w:ascii="Times New Roman" w:hAnsi="Times New Roman"/>
          <w:b/>
          <w:color w:val="000000"/>
          <w:sz w:val="20"/>
        </w:rPr>
        <w:t>Consolidated Statements of Cash Flows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645"/>
        <w:gridCol w:w="146"/>
        <w:gridCol w:w="196"/>
        <w:gridCol w:w="146"/>
        <w:gridCol w:w="751"/>
        <w:gridCol w:w="166"/>
        <w:gridCol w:w="146"/>
        <w:gridCol w:w="196"/>
        <w:gridCol w:w="146"/>
        <w:gridCol w:w="751"/>
        <w:gridCol w:w="166"/>
        <w:gridCol w:w="146"/>
        <w:gridCol w:w="196"/>
        <w:gridCol w:w="146"/>
        <w:gridCol w:w="751"/>
        <w:gridCol w:w="511"/>
      </w:tblGrid>
      <w:tr>
        <w:trPr/>
        <w:tc>
          <w:tcPr>
            <w:tcW w:w="5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3"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increase in net assets resulting from operations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(200,464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(76,973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or repayments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296,409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or maturities of 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for derivative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derivative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forward contracts and 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15,547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forward contracts and 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fixed income premiums or accretion of discounts and end-of-term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interest and fees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incentive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112,437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Borrowings under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Repayments under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(275,000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Repayments of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Repayments of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Retirement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(73,322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(173,895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(66,977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(115,228</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Effect of foreign currency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and non-cash financing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6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38,099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bookmarkStart w:id="24" w:name="schedulesofinvestmentsasofdecember312019"/>
      <w:bookmarkEnd w:id="24"/>
      <w:r>
        <w:rPr>
          <w:rFonts w:ascii="Times New Roman" w:hAnsi="Times New Roman"/>
          <w:b/>
          <w:color w:val="000000"/>
          <w:sz w:val="20"/>
        </w:rPr>
        <w:t>RUNWAY GROWTH FINANCE CORP.</w:t>
      </w:r>
    </w:p>
    <w:p>
      <w:pPr>
        <w:pStyle w:val="TextBody"/>
        <w:bidi w:val="0"/>
        <w:jc w:val="center"/>
        <w:rPr/>
      </w:pPr>
      <w:r>
        <w:rPr>
          <w:color w:val="000000"/>
        </w:rPr>
        <w:t> </w:t>
      </w:r>
      <w:r>
        <w:rPr>
          <w:rFonts w:ascii="Times New Roman" w:hAnsi="Times New Roman"/>
          <w:b/>
          <w:color w:val="000000"/>
          <w:sz w:val="20"/>
        </w:rPr>
        <w:t>Consolidated Schedule of Investments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272"/>
        <w:gridCol w:w="146"/>
        <w:gridCol w:w="829"/>
        <w:gridCol w:w="146"/>
        <w:gridCol w:w="1231"/>
        <w:gridCol w:w="146"/>
        <w:gridCol w:w="933"/>
        <w:gridCol w:w="146"/>
        <w:gridCol w:w="703"/>
        <w:gridCol w:w="146"/>
        <w:gridCol w:w="157"/>
        <w:gridCol w:w="555"/>
        <w:gridCol w:w="146"/>
        <w:gridCol w:w="146"/>
        <w:gridCol w:w="146"/>
        <w:gridCol w:w="146"/>
        <w:gridCol w:w="586"/>
        <w:gridCol w:w="151"/>
        <w:gridCol w:w="146"/>
        <w:gridCol w:w="146"/>
        <w:gridCol w:w="146"/>
        <w:gridCol w:w="586"/>
        <w:gridCol w:w="146"/>
        <w:gridCol w:w="146"/>
        <w:gridCol w:w="8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93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Airship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SOFR+3.75%, 9.08% floor, 3.00% PIK, 3.25%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SOFR+8.25% PIK, 13.25%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Blueshift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SOFR+8.25% PIK, 13.25%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SOFR+8.25% PIK, 13.25%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SOFR+7.25%, 11.75% floor, 1.60%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SOFR+7.25%, 11.25%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VTX Intermediate Holdings, Inc. (dba VertexOne)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SOFR+7.00%, 8.00% floor, 1.00% PIK,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VTX Intermediate Holdings, Inc. (dba VertexOne)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Second 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FIXED 12.50% PIK, 31.05%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SOFR+6.00%, 7.50%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39,362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- 45.55%*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222,434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SOFR+4.75%, 6.75% floor, 3.25% PIK, 1.10%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31,425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SOFR+7.50%, 12.78% floor, 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Shepherd Intermediate, LLC (dba FHAS)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SOFR+7.25%, 8.25%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Shepherd Intermediate, LLC (dba FHAS)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SOFR+7.25%, 8.25%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SOFR+7.00%, 10.80% floor, 3.50%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Swing Education,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SOFR+6.65%, 10.45%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Commercial &amp; Professional Services - 17.55%*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83,865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FINN GmbH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SOFR+8.75%, 10.75%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Consumer Services - 3.95%*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Consumer Staples Distribution &amp;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SOFR+ 8.75% PIK, 9.51% floor,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46,457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(9) (10) (11)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SOFR+ 8.75% PIK, 9.51%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(9) (10)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SOFR+ 8.75% PIK, 9.51%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(9) (10)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SOFR+ 8.75% PIK, 9.51%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(9) (10) (14)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Marley Spoon SE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SOFR+ 8.75% PIK, 9.51%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(9) (10) (14)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Consumer Staples Distribution &amp; Retail - 9.86%*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61,442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140"/>
        <w:gridCol w:w="146"/>
        <w:gridCol w:w="849"/>
        <w:gridCol w:w="146"/>
        <w:gridCol w:w="1232"/>
        <w:gridCol w:w="146"/>
        <w:gridCol w:w="978"/>
        <w:gridCol w:w="146"/>
        <w:gridCol w:w="721"/>
        <w:gridCol w:w="146"/>
        <w:gridCol w:w="160"/>
        <w:gridCol w:w="568"/>
        <w:gridCol w:w="146"/>
        <w:gridCol w:w="146"/>
        <w:gridCol w:w="146"/>
        <w:gridCol w:w="146"/>
        <w:gridCol w:w="586"/>
        <w:gridCol w:w="146"/>
        <w:gridCol w:w="146"/>
        <w:gridCol w:w="146"/>
        <w:gridCol w:w="146"/>
        <w:gridCol w:w="586"/>
        <w:gridCol w:w="146"/>
        <w:gridCol w:w="146"/>
        <w:gridCol w:w="88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820"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9"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Autobooks,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SOFR+7.50%, 11.77% floor, 2.75%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Hurricane Cleanco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FIXED 6.25%, 6.25%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(10)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Vesta Payment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SOFR+7.00%, 9.00% floor, 6.00%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Financial Services - 17.03%*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PRIME+4.90%, 8.90% floor, 4.50%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SOFR+9.75%, 12.26% floor, 10.50%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PRIME+5.25%, 8.75% floor, 3.50%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SOFR+6.50%, 10.75% floor, 2.50%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 (9) (11) (12)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SOFR+7.00%, 9.00% floor, 3.95%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Equipment &amp; Services - 22.90%*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111,059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Household &amp; Personal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PRIME+5.00%, 12.50% floor,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8/29/2029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Household &amp; Personal Products - 8.11%*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PRIME+5.00%, 12.00% floor, 2.00%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PRIME+5.00%, 12.00% floor, 2.00%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(24)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Insurance - 9.05%*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Media &amp;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Skillshare,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SOFR+6.75%, 10.96% floor, 2.00%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SOFR+7.50%, 12.10% floor, 3.83%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Media &amp; Entertainment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Multi-Sector Holdings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SPB C-2024,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FIXED 15.00% PIK, 1.57%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(10) (11)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Multi-Sector Holdings - 2.06%*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 Biotechnology &amp; Life 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Shield Therapeutics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SOFR+9.25%, 14.25% floor, 5.00%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(11) (12)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3"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Pharmaceuticals, Biotechnology &amp; Life Sciences - 0.40%*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194"/>
        <w:gridCol w:w="146"/>
        <w:gridCol w:w="811"/>
        <w:gridCol w:w="146"/>
        <w:gridCol w:w="1240"/>
        <w:gridCol w:w="146"/>
        <w:gridCol w:w="894"/>
        <w:gridCol w:w="146"/>
        <w:gridCol w:w="687"/>
        <w:gridCol w:w="146"/>
        <w:gridCol w:w="148"/>
        <w:gridCol w:w="701"/>
        <w:gridCol w:w="146"/>
        <w:gridCol w:w="146"/>
        <w:gridCol w:w="146"/>
        <w:gridCol w:w="146"/>
        <w:gridCol w:w="586"/>
        <w:gridCol w:w="151"/>
        <w:gridCol w:w="146"/>
        <w:gridCol w:w="146"/>
        <w:gridCol w:w="146"/>
        <w:gridCol w:w="586"/>
        <w:gridCol w:w="146"/>
        <w:gridCol w:w="146"/>
        <w:gridCol w:w="85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844"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3"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Systems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3PL Central LLC (dba Extensiv)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SOFR+7.00%, 9.00% floor, 5.10%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75,853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Digicert,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SOFR+5.75%, 6.50%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Digicert, Inc.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SOFR+5.75%, 6.50%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SOFR+9.50%, 12.26% floor, 7.50%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22,102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Systems Software - 20.04%*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107,120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Technology Hardware &amp;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SOFR+7.25%, 11.29% floor, 2.53%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Linxup,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PRIME+3.25%, 11.75% floor, 2.25%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Technology Hardware &amp; Equipment - 14.82%*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69,965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3"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 - 177.40%*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884,105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860,327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3"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Aria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G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VTX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3,015,219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JobGet Holdings, Inc. (fka Snagajob.com,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Commercial &amp; Professional Services - 5.39%*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Consumer Staples Distribution &amp;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(9) (13) (14) (15)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Consumer Staples Distribution &amp; Retail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CareCloud,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8.75% Series A Cumulative Redeemable Perpetual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Equipment &amp; Services - 1.99%*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Media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Minute Media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Minute Media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Media &amp; Entertainment - 0.04%*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3"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 - 7.49%*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52,784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1479"/>
        <w:gridCol w:w="146"/>
        <w:gridCol w:w="852"/>
        <w:gridCol w:w="146"/>
        <w:gridCol w:w="1027"/>
        <w:gridCol w:w="146"/>
        <w:gridCol w:w="985"/>
        <w:gridCol w:w="146"/>
        <w:gridCol w:w="725"/>
        <w:gridCol w:w="146"/>
        <w:gridCol w:w="150"/>
        <w:gridCol w:w="711"/>
        <w:gridCol w:w="146"/>
        <w:gridCol w:w="146"/>
        <w:gridCol w:w="146"/>
        <w:gridCol w:w="146"/>
        <w:gridCol w:w="436"/>
        <w:gridCol w:w="146"/>
        <w:gridCol w:w="146"/>
        <w:gridCol w:w="148"/>
        <w:gridCol w:w="148"/>
        <w:gridCol w:w="444"/>
        <w:gridCol w:w="146"/>
        <w:gridCol w:w="146"/>
        <w:gridCol w:w="895"/>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95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3DNA Corp. (dba NationBuilder)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Airship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3/22/2034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INRIX,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7/26/2019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JWP Holdco LLC (fka Longtail Ad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Predactiv, Inc. (fka Sharethis,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AllClear ID,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8/31/2017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870,514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Bombora,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CloudPay,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Earnout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Commercial &amp; Professional Services - 0.52%*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Consumer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FINN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(9) (13) (17) (25)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Consumer Services - 0.14%*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Autobooks,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Betterment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Betterment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Credit Sesame,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1/7/2020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Financial Services - 0.28%*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284"/>
        <w:gridCol w:w="146"/>
        <w:gridCol w:w="875"/>
        <w:gridCol w:w="146"/>
        <w:gridCol w:w="1080"/>
        <w:gridCol w:w="146"/>
        <w:gridCol w:w="1035"/>
        <w:gridCol w:w="146"/>
        <w:gridCol w:w="745"/>
        <w:gridCol w:w="146"/>
        <w:gridCol w:w="151"/>
        <w:gridCol w:w="716"/>
        <w:gridCol w:w="146"/>
        <w:gridCol w:w="146"/>
        <w:gridCol w:w="146"/>
        <w:gridCol w:w="146"/>
        <w:gridCol w:w="436"/>
        <w:gridCol w:w="146"/>
        <w:gridCol w:w="146"/>
        <w:gridCol w:w="149"/>
        <w:gridCol w:w="149"/>
        <w:gridCol w:w="446"/>
        <w:gridCol w:w="146"/>
        <w:gridCol w:w="146"/>
        <w:gridCol w:w="93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Nalu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Onward Medical,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 (9) (13) (14)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Route 92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SetPoint Medical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 Care Equipment &amp; Services - 0.47%*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Household &amp; Personal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Madison Reed,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Household &amp; Personal Products - 0.09%*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Insurance - 0.20%*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Media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Snap! Mobile,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9/30/2034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Media &amp; Entertainment - 0.13%*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Pharmaceuticals, Biotechnology &amp; Life Sciences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Mustang Bio,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Shield Therapeutics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906,468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(13) (14)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Pharmaceuticals, Biotechnology &amp; Life Sciences - 0.01%*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2025</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042"/>
        <w:gridCol w:w="146"/>
        <w:gridCol w:w="881"/>
        <w:gridCol w:w="146"/>
        <w:gridCol w:w="1094"/>
        <w:gridCol w:w="146"/>
        <w:gridCol w:w="1048"/>
        <w:gridCol w:w="146"/>
        <w:gridCol w:w="751"/>
        <w:gridCol w:w="146"/>
        <w:gridCol w:w="151"/>
        <w:gridCol w:w="718"/>
        <w:gridCol w:w="146"/>
        <w:gridCol w:w="146"/>
        <w:gridCol w:w="146"/>
        <w:gridCol w:w="146"/>
        <w:gridCol w:w="586"/>
        <w:gridCol w:w="146"/>
        <w:gridCol w:w="146"/>
        <w:gridCol w:w="146"/>
        <w:gridCol w:w="146"/>
        <w:gridCol w:w="586"/>
        <w:gridCol w:w="146"/>
        <w:gridCol w:w="146"/>
        <w:gridCol w:w="8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616"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5"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9"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Systems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A-6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A-6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10/31/2019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Scale Computing,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3/29/2019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9,665,667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Synack,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9"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Systems Software - 0.13%*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9"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Technology Hardware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Brivo,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5/31/2019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 (9) (13) (17)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11/3/2033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10/5/2018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3"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Technology Hardware &amp; Equipment - 0.21%*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5"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Warrants - 3.30%*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Non-Control/Non-Affiliate Investments - 188.19%*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961,646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December 31, 2025</w:t>
      </w:r>
    </w:p>
    <w:tbl>
      <w:tblPr>
        <w:tblW w:w="10597" w:type="dxa"/>
        <w:jc w:val="left"/>
        <w:tblInd w:w="0" w:type="dxa"/>
        <w:tblLayout w:type="fixed"/>
        <w:tblCellMar>
          <w:top w:w="28" w:type="dxa"/>
          <w:left w:w="28" w:type="dxa"/>
          <w:bottom w:w="28" w:type="dxa"/>
          <w:right w:w="28" w:type="dxa"/>
        </w:tblCellMar>
      </w:tblPr>
      <w:tblGrid>
        <w:gridCol w:w="161"/>
        <w:gridCol w:w="146"/>
        <w:gridCol w:w="1216"/>
        <w:gridCol w:w="146"/>
        <w:gridCol w:w="901"/>
        <w:gridCol w:w="146"/>
        <w:gridCol w:w="976"/>
        <w:gridCol w:w="146"/>
        <w:gridCol w:w="916"/>
        <w:gridCol w:w="146"/>
        <w:gridCol w:w="766"/>
        <w:gridCol w:w="146"/>
        <w:gridCol w:w="146"/>
        <w:gridCol w:w="826"/>
        <w:gridCol w:w="146"/>
        <w:gridCol w:w="146"/>
        <w:gridCol w:w="196"/>
        <w:gridCol w:w="146"/>
        <w:gridCol w:w="691"/>
        <w:gridCol w:w="146"/>
        <w:gridCol w:w="146"/>
        <w:gridCol w:w="19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9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Affiliate Investments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Multi-Sector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Multi-Sector Holdings - 2.73%*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Control Investments - 3.04%*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- 191.23%*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979,430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Cash and Cash Equivalents and Short 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Goldman Sachs Financial Square Government Fund Institutional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FGTXX/38141W273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and Cash Equivalents and Short Term Investments - 3.75%*</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Cash and Cash Equivalents and Short Term Investments - 194.98%*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277"/>
        <w:gridCol w:w="146"/>
        <w:gridCol w:w="9782"/>
      </w:tblGrid>
      <w:tr>
        <w:trPr/>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2" w:type="dxa"/>
            <w:tcBorders/>
            <w:vAlign w:val="center"/>
          </w:tcPr>
          <w:p>
            <w:pPr>
              <w:pStyle w:val="TableContents"/>
              <w:bidi w:val="0"/>
              <w:spacing w:before="0" w:after="283"/>
              <w:jc w:val="left"/>
              <w:rPr>
                <w:sz w:val="4"/>
                <w:szCs w:val="4"/>
              </w:rPr>
            </w:pPr>
            <w:r>
              <w:rPr>
                <w:sz w:val="4"/>
                <w:szCs w:val="4"/>
              </w:rPr>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December 31, 2025, the U.S. PRIME Rate was 6.75%, the 1-Month SOFR was 3.69%, and the 3-Month SOFR was 3.65%.</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held at Fair Value net of the Fair Value of Unfunded Commitments. Refer to "Note 8 – Commitments, Contingencies, and Off-Balance Sheet Arrangements "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portfolio companies are domiciled in the United States, unless otherwise noted.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United Kingdom. Fair value of United Kingdom domiciled investments represents 7.10%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Germany. Fair value of German domiciled investments represents 13.95%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Canada. Fair value of Canadian domiciled investments represents 0.03%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Netherlands. Fair value of Dutch domiciled investments represents 3.61%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qualifying investment as defined under Section 55(a) of the Investment Company Act of 1940, as amended. The fair value of non-qualifying assets represents 14.89% of total assets as of December 31, 2025.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a PIK security. PIK interest will be accrued and paid at maturity.</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end-of-term payments ("ETP") are one-time payments stated as a percentage of principal amount.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is an eligible loan investment in the collateral under the Credit Facility (as defined in "Note 7 – Borrowings").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a publicly traded company whose securities are listed on a national securities exchange.</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"restricted security" under the Securities Act.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either a cash success fee payable or earnout of shares based on the consummation of certain trigger events.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represents a security with a tiered fee that increases over time, dependent upon the timing of repayment. Such fees are recorded in "Fee income" on the Consolidated Statements of Operations.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assets recovered on the senior secured term loan to Pivot3, Inc. were contributed to P3 Holdco LLC by the Company, a wholly owned subsidiary of the Company. For more information, refer to "Note 2 – Summary of Significant Accounting Policies, Principles of Consolidation".</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Control portfolio company, as defined under the 1940 Act, in which the Company owns more than 25% of the investment’s voting securities or has greater than 50% representation on its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on non-accrual status as of December 31, 2025 and is therefore considered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 has the right of first refusal on sale of preferred stock.</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The Company sold a participating interest representing $15.0</w:t>
            </w:r>
            <w:r>
              <w:rPr>
                <w:rFonts w:ascii="Times New Roman" w:hAnsi="Times New Roman"/>
                <w:color w:val="000000"/>
                <w:sz w:val="20"/>
              </w:rPr>
              <w:t> </w:t>
            </w:r>
            <w:r>
              <w:rPr>
                <w:rFonts w:ascii="Times New Roman" w:hAnsi="Times New Roman"/>
                <w:color w:val="000000"/>
                <w:sz w:val="16"/>
              </w:rPr>
              <w:t>million of the aggregate outstanding principal balance of the portfolio company's senior secured loan. As the transaction did not qualify for sale accounting under applicable guidance, the Company recorded a corresponding secured borrowing, measured at fair value and included in "Secured borrowings" on the Company's Consolidated Statements of Assets and Liabilities. See "Note 2 – Summary of Significant Accounting Policies, Secured Borrowings"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The Company has confirmed the fully diluted share count as of December 31, 2025. Based on the current share count and the contractual warrant entitlement per the warrant agreement, the Company would own 333</w:t>
            </w:r>
            <w:r>
              <w:rPr>
                <w:rFonts w:ascii="Times New Roman" w:hAnsi="Times New Roman"/>
                <w:color w:val="000000"/>
                <w:sz w:val="20"/>
              </w:rPr>
              <w:t> </w:t>
            </w:r>
            <w:r>
              <w:rPr>
                <w:rFonts w:ascii="Times New Roman" w:hAnsi="Times New Roman"/>
                <w:color w:val="000000"/>
                <w:sz w:val="16"/>
              </w:rPr>
              <w:t>shares if converted as of December 31, 2025.</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a percentage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 reclassified certain industry groupings of its portfolio companies presented in the consolidated financial statements as of December 31, 2025, to align with Global Industry Classification Standards (“GICS”), where applicable.</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245"/>
        <w:gridCol w:w="146"/>
        <w:gridCol w:w="832"/>
        <w:gridCol w:w="146"/>
        <w:gridCol w:w="1266"/>
        <w:gridCol w:w="146"/>
        <w:gridCol w:w="940"/>
        <w:gridCol w:w="146"/>
        <w:gridCol w:w="706"/>
        <w:gridCol w:w="146"/>
        <w:gridCol w:w="157"/>
        <w:gridCol w:w="557"/>
        <w:gridCol w:w="146"/>
        <w:gridCol w:w="146"/>
        <w:gridCol w:w="146"/>
        <w:gridCol w:w="146"/>
        <w:gridCol w:w="586"/>
        <w:gridCol w:w="146"/>
        <w:gridCol w:w="146"/>
        <w:gridCol w:w="146"/>
        <w:gridCol w:w="146"/>
        <w:gridCol w:w="586"/>
        <w:gridCol w:w="146"/>
        <w:gridCol w:w="146"/>
        <w:gridCol w:w="833"/>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55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94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Airship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SOFR+3.75%, 9.08% floor, 3.00% PIK, 3.25%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SOFR+6.25%, 11.25% floor, 2.00% PIK,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Bridge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SOFR+9.50%, 12.26% floor, 7.50%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PRIME+5.00%, 9.00% floor, 1.00% PIK, 5.75%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(12)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SOFR+7.25%, 11.25%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SOFR+7.50%, 12.10% floor, 3.83%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VTX Intermediate Holdings, Inc. (dba VertexOne)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SOFR+7.00%, 8.00% floor, 1.00% PIK, 3.00%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Second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FIXED 12.50% PIK, 31.05%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- 44.64%*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Data Processing &amp; Outsourced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SOFR+7.50%, 12.78%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Hurricane Cleanco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FIXED 6.25%, 6.25%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(10) (22)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Interactions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SOFR+9.26%, 9.76% floor, 3.9375%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Vesta Payment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SOFR+7.00%, 9.00% floor, 5.00%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Data Processing &amp; Outsourced Services - 22.32%*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Electronic Equipment &amp;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SOFR+7.25%, 11.29% floor, 2.53%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Electronic Equipment &amp; Instruments - 7.71%*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Moximed,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PRIME+5.25%, 8.75% floor, 3.50%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Healthcare Equipment - 2.98%*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263"/>
        <w:gridCol w:w="146"/>
        <w:gridCol w:w="823"/>
        <w:gridCol w:w="146"/>
        <w:gridCol w:w="1282"/>
        <w:gridCol w:w="146"/>
        <w:gridCol w:w="921"/>
        <w:gridCol w:w="146"/>
        <w:gridCol w:w="698"/>
        <w:gridCol w:w="146"/>
        <w:gridCol w:w="156"/>
        <w:gridCol w:w="551"/>
        <w:gridCol w:w="146"/>
        <w:gridCol w:w="146"/>
        <w:gridCol w:w="146"/>
        <w:gridCol w:w="146"/>
        <w:gridCol w:w="586"/>
        <w:gridCol w:w="146"/>
        <w:gridCol w:w="146"/>
        <w:gridCol w:w="146"/>
        <w:gridCol w:w="146"/>
        <w:gridCol w:w="586"/>
        <w:gridCol w:w="146"/>
        <w:gridCol w:w="146"/>
        <w:gridCol w:w="842"/>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96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PRIME+4.90%, 8.90% floor, 4.50%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SOFR+9.75%, 12.26% floor, 10.50%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(27)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Nalu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PRIME+2.70%, 6.70% floor, 2.00% PIK, 4.50%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SOFR+6.50%, 10.75% floor, 2.50%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 (9) (11) (12)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SOFR+8.48%, 8.98% floor, 3.95%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SOFR+5.75%, 9.00% floor, 4.00%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Healthcare Technology - 27.65%*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142,937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SOFR+8.50% PIK, 9.00%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(27)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Human Resource &amp; Employment Services - 0.67%*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&amp; Direct Marketing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Madison Reed,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PRIME+4.75%, 11.00% floor, 11.00% cash cap, 3.00%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SOFR+8.50% PIK, 9.26% floor, 1.00%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(9) (10) (11) (18)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&amp; Direct Marketing Retail - 9.81%*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Software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SOFR+4.75%, 6.75% floor, 3.25% PIK, 0.96%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CarNow,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SOFR+7.25%, 11.75% floor, 1.60%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SOFR+6.50%, 10.72% floor,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Synack,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SOFR+7.00%, 11.07% floor,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SOFR+8.00%, 10.00%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Software and Services - 30.31%*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Property &amp; Casualty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PRIME+6.25%, 12.50% floor, 3.30%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75,912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Property &amp; Casualty Insurance - 14.88%*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76,626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System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3PL Central LLC (dba Extensiv)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SOFR+4.50%, 6.50% floor, 2.50% PIK, 2.34%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PRIME+3.25%, 11.75% floor, 2.25%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Second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SOFR+8.00%, 8.50% floor, 2.00% PIK,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 (9) (10)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System Software - 22.19%*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 - 183.16%*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943,027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238"/>
        <w:gridCol w:w="146"/>
        <w:gridCol w:w="819"/>
        <w:gridCol w:w="146"/>
        <w:gridCol w:w="1296"/>
        <w:gridCol w:w="146"/>
        <w:gridCol w:w="911"/>
        <w:gridCol w:w="146"/>
        <w:gridCol w:w="694"/>
        <w:gridCol w:w="146"/>
        <w:gridCol w:w="148"/>
        <w:gridCol w:w="703"/>
        <w:gridCol w:w="146"/>
        <w:gridCol w:w="146"/>
        <w:gridCol w:w="146"/>
        <w:gridCol w:w="146"/>
        <w:gridCol w:w="511"/>
        <w:gridCol w:w="146"/>
        <w:gridCol w:w="146"/>
        <w:gridCol w:w="146"/>
        <w:gridCol w:w="146"/>
        <w:gridCol w:w="511"/>
        <w:gridCol w:w="146"/>
        <w:gridCol w:w="146"/>
        <w:gridCol w:w="877"/>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95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Minute Media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Advertising - 0.03%*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Aria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G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230,881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 (19)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VTX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3,015,219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CareCloud,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Series A Cumulative Redeemable Perpetual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(15) (19)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Healthcare Technology - 1.78%*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389,048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Human Resource &amp; Employment Services - 6.91%*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&amp; Direct Marketing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(9) (13) (18) (19) (22)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&amp; Direct Marketing Retail - 0.01%*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Technology Hardware, Storage &amp; Peripherals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Quantum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(13) (15) (19)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zSpace,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Technology Hardware, Storage &amp; Peripherals - 0.49%*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 - 9.35%*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3DNA Corp. (dba NationBuilder)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Airship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A-6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A-6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10/31/2019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FiscalNote,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7/29/2027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Piano Software,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Snap! Mobile,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9/30/2034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Asset Management &amp; Custody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Betterment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Asset Management &amp; Custody Banks - 0.03%*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500"/>
        <w:gridCol w:w="146"/>
        <w:gridCol w:w="850"/>
        <w:gridCol w:w="146"/>
        <w:gridCol w:w="1022"/>
        <w:gridCol w:w="146"/>
        <w:gridCol w:w="980"/>
        <w:gridCol w:w="146"/>
        <w:gridCol w:w="722"/>
        <w:gridCol w:w="146"/>
        <w:gridCol w:w="150"/>
        <w:gridCol w:w="710"/>
        <w:gridCol w:w="146"/>
        <w:gridCol w:w="146"/>
        <w:gridCol w:w="146"/>
        <w:gridCol w:w="146"/>
        <w:gridCol w:w="436"/>
        <w:gridCol w:w="146"/>
        <w:gridCol w:w="146"/>
        <w:gridCol w:w="148"/>
        <w:gridCol w:w="148"/>
        <w:gridCol w:w="443"/>
        <w:gridCol w:w="146"/>
        <w:gridCol w:w="146"/>
        <w:gridCol w:w="8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180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971"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0"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Biotechnology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Mustang Bio,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TRACON Pharmaceuticals,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Biotechnology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Computer &amp; Electronics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Massdrop,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Computer &amp; Electronics Retail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Data Processing &amp; Outsourced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7/10/2033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7/17/2034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Interactions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Predactiv, Inc. (fka Sharethis,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Data Processing &amp; Outsourced Services - 0.12%*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Electronic Equipment &amp;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Brivo,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Epic IO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Electronic Equipment &amp; Instruments - 0.13%*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Healthcare Equipment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 (28)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6/14/2022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 (28)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 (28)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(14) (21) (28)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(16)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CC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Nalu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10/12/2032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(8) (9) (13) (17) (22)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VERO Biotech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Healthcare Technology - 0.50%*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JobGet Holdings, Inc. (fka Snagajob.com,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B-1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4"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Human Resource &amp; Employment Services - 0.30%*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311"/>
        <w:gridCol w:w="146"/>
        <w:gridCol w:w="825"/>
        <w:gridCol w:w="146"/>
        <w:gridCol w:w="964"/>
        <w:gridCol w:w="146"/>
        <w:gridCol w:w="926"/>
        <w:gridCol w:w="146"/>
        <w:gridCol w:w="700"/>
        <w:gridCol w:w="146"/>
        <w:gridCol w:w="148"/>
        <w:gridCol w:w="704"/>
        <w:gridCol w:w="146"/>
        <w:gridCol w:w="146"/>
        <w:gridCol w:w="146"/>
        <w:gridCol w:w="146"/>
        <w:gridCol w:w="691"/>
        <w:gridCol w:w="146"/>
        <w:gridCol w:w="146"/>
        <w:gridCol w:w="146"/>
        <w:gridCol w:w="146"/>
        <w:gridCol w:w="691"/>
        <w:gridCol w:w="146"/>
        <w:gridCol w:w="146"/>
        <w:gridCol w:w="74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699"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8"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&amp; Direct Marketing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&amp; Direct Marketing Retail - 0.04%*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Internet Software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3/31/2031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3/22/2034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Fidelis Cybersecurity,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3/25/2032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INRIX,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7/26/2019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7/26/2029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JWP Holdco LLC (fka Longtail Ad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Synack,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6/30/2032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Internet Software and Services - 0.79%*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Property &amp; Casualty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Property &amp; Casualty Insurance - 0.06%*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Specialized 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AllClear ID,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8/31/2017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8/31/2027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10/17/2018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8/31/2027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Credit Sesame,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1/7/2020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Specialized Consumer Services - 0.07%*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System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Dejero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5/31/2019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333,621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(7)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Linxup,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11/3/2033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Scale Computing,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3/29/2019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3/29/2029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9,665,667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System Software - 0.07%*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Technology Hardware, Storage &amp;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6/27/2029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4"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Technology Hardware, Storage &amp; Peripherals - 0.07%*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8"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Warrants - 2.76%*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9"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Non-Control/Non-Affiliate Investments - 195.27%*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1,038,135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1,005,328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1"/>
        <w:gridCol w:w="146"/>
        <w:gridCol w:w="1071"/>
        <w:gridCol w:w="146"/>
        <w:gridCol w:w="829"/>
        <w:gridCol w:w="146"/>
        <w:gridCol w:w="1127"/>
        <w:gridCol w:w="146"/>
        <w:gridCol w:w="933"/>
        <w:gridCol w:w="146"/>
        <w:gridCol w:w="703"/>
        <w:gridCol w:w="146"/>
        <w:gridCol w:w="149"/>
        <w:gridCol w:w="705"/>
        <w:gridCol w:w="146"/>
        <w:gridCol w:w="146"/>
        <w:gridCol w:w="181"/>
        <w:gridCol w:w="146"/>
        <w:gridCol w:w="691"/>
        <w:gridCol w:w="146"/>
        <w:gridCol w:w="146"/>
        <w:gridCol w:w="181"/>
        <w:gridCol w:w="146"/>
        <w:gridCol w:w="691"/>
        <w:gridCol w:w="146"/>
        <w:gridCol w:w="146"/>
        <w:gridCol w:w="73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Investment </w:t>
              <w:br/>
              <w:t>Description</w:t>
            </w:r>
            <w:r>
              <w:rPr>
                <w:rFonts w:ascii="Times New Roman" w:hAnsi="Times New Roman"/>
                <w:b/>
                <w:color w:val="000000"/>
                <w:sz w:val="9"/>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 xml:space="preserve">Fair </w:t>
              <w:br/>
              <w:t xml:space="preserve">Value ($) </w:t>
            </w:r>
            <w:r>
              <w:rPr>
                <w:rFonts w:ascii="Times New Roman" w:hAnsi="Times New Roman"/>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Footnotes</w:t>
            </w:r>
          </w:p>
        </w:tc>
      </w:tr>
      <w:tr>
        <w:trPr/>
        <w:tc>
          <w:tcPr>
            <w:tcW w:w="3626"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SOFR+8.75%, 8.00% ceiling, 5.00%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11/30/2026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Healthcare Technology - 5.29%*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Debt Investments - 5.29%*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1,040,160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Gynesonics,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3,266,668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(30)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10/24/2023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(30)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Healthcare Technology - 7.26%*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 - 7.26%*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Application Software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Gynesonics,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(13)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Healthcare Technology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Warrants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6"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Affiliate Investments - 12.55%*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6"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Data Processing &amp; Outsourced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Pivot3,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100%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12/31/2023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Data Processing &amp; Outsourced Services - 0.23%*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Multi-Sector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9"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Multi-Sector Holdings - 1.12%*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Equity Investments - 1.35%*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6"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Control Investments - 1.35%*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6"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u w:val="single"/>
              </w:rPr>
            </w:pPr>
            <w:r>
              <w:rPr>
                <w:rFonts w:ascii="Times New Roman" w:hAnsi="Times New Roman"/>
                <w:b/>
                <w:color w:val="000000"/>
                <w:sz w:val="14"/>
                <w:u w:val="single"/>
              </w:rPr>
              <w:t>Total Investments - 209.17%*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1,103,883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1,076,840</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77"/>
        <w:gridCol w:w="146"/>
        <w:gridCol w:w="9782"/>
      </w:tblGrid>
      <w:tr>
        <w:trPr/>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2" w:type="dxa"/>
            <w:tcBorders/>
            <w:vAlign w:val="center"/>
          </w:tcPr>
          <w:p>
            <w:pPr>
              <w:pStyle w:val="TableContents"/>
              <w:bidi w:val="0"/>
              <w:spacing w:before="0" w:after="283"/>
              <w:jc w:val="left"/>
              <w:rPr>
                <w:sz w:val="4"/>
                <w:szCs w:val="4"/>
              </w:rPr>
            </w:pPr>
            <w:r>
              <w:rPr>
                <w:sz w:val="4"/>
                <w:szCs w:val="4"/>
              </w:rPr>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December 31, 2024, the U.S. PRIME Rate was 7.50%, the 1-Month SOFR was 4.33%, and the 3-Month SOFR was 4.31%.</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held at Fair Value net of the Fair Value of Unfunded Commitments. Refer to "Note 8 – Commitments, Contingencies, and Off-Balance Sheet Arrangements"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portfolio companies are domiciled in the United States, unless otherwise noted.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United Kingdom. Fair value of United Kingdom domiciled investments represents 5.51%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Germany. Fair value of German domiciled investments represents 6.64%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Canada. Fair value of Canadian domiciled investments represents 2.83%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Netherlands. Fair value of Dutch domiciled investments represents 3.34%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qualifying investment as defined under Section 55(a) of the Investment Company Act of 1940, as amended. The fair value of non-qualifying assets represents 9.28% of total assets as of December 31, 2024.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a PIK security. PIK interest will be accrued and paid at maturity. For any investments denoting a "cash cap", any interest above such cap will be recorded as PIK interest.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end-of-term payments ("ETP") are one-time payments stated as a percentage of principal amount.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is an eligible loan investment in the collateral under the Credit Facility (as defined in "Note 7 – Borrowings").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NYSE.</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NASDAQ.</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Australian Stock Exchange.</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Euronext.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Deutsche Borse Xetra.</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"restricted security" under the Securities Act.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warrant count is based upon a percentage of ownership of Fidelis Cybersecurity, Inc.</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either a cash success fee payable or earnout of shares based on the consummation of certain trigger events.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represents a security with a tiered fee that increases quarterly, dependent upon the timing of repayment. Such fees are recorded in "Fee income" on the Consolidated Statements of Operations.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assets recovered on the senior secured term loan to Pivot3, Inc. were contributed to P3 Holdco LLC by the Company, a wholly owned subsidiary of the Company. For more information, refer to "Note 2 – Summary of Significant Accounting Policies, Principles of Consolidation".</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Control portfolio company, as defined under the 1940 Act, in which the Company owns more than 25% of the investment’s voting securities or has greater than 50% representation on its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was on non-accrual status as of December 31, 2024 and was therefore considered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equity security was subject to a lock-up period until January 22, 2025.</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 has the right of first refusal on sale of preferred stock.</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 had the right of first refusal on sale of preferred stock.</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a percentage of net assets.</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spacing w:before="0" w:after="240"/>
        <w:jc w:val="center"/>
        <w:rPr>
          <w:rFonts w:ascii="Times New Roman" w:hAnsi="Times New Roman"/>
          <w:b/>
          <w:color w:val="000000"/>
          <w:sz w:val="20"/>
        </w:rPr>
      </w:pPr>
      <w:bookmarkStart w:id="25" w:name="notestofinancialstatementsasofdecember31"/>
      <w:bookmarkEnd w:id="25"/>
      <w:r>
        <w:rPr>
          <w:rFonts w:ascii="Times New Roman" w:hAnsi="Times New Roman"/>
          <w:b/>
          <w:color w:val="000000"/>
          <w:sz w:val="20"/>
        </w:rPr>
        <w:t>Notes to Consolidated Financial Statements as of December 31, 2025</w:t>
      </w:r>
    </w:p>
    <w:p>
      <w:pPr>
        <w:pStyle w:val="Heading1"/>
        <w:bidi w:val="0"/>
        <w:spacing w:before="120" w:after="240"/>
        <w:jc w:val="left"/>
        <w:rPr>
          <w:rFonts w:ascii="Times New Roman" w:hAnsi="Times New Roman"/>
          <w:color w:val="000000"/>
          <w:sz w:val="20"/>
        </w:rPr>
      </w:pPr>
      <w:r>
        <w:rPr>
          <w:rFonts w:ascii="Times New Roman" w:hAnsi="Times New Roman"/>
          <w:color w:val="000000"/>
          <w:sz w:val="20"/>
        </w:rPr>
        <w:t>Note 1 – Organization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Runway Growth Finance Corp.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was formed primarily to lend to, and selectively invest in, high growth-potential companies in technology, healthcare, business services, financial services, and select consumer services and products in other high-growth industries. The Company’s investment objective is to maximize its total return to its stockholders primarily through current income on its loan portfolio, and secondarily through capital gain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 On January 30, 2025, a private investment fund advised by BC Partners Advisors L.P. ("BC Partners") acquired the majority equity interest of RGC, and Mount Logan Capital Inc., an affiliate of BC Partners, acquired the remaining minority equity interest, together acquiring the entirety of the outstanding equity interest of RGC (the "BCP Transaction").</w:t>
      </w:r>
    </w:p>
    <w:p>
      <w:pPr>
        <w:pStyle w:val="TextBody"/>
        <w:bidi w:val="0"/>
        <w:jc w:val="both"/>
        <w:rPr>
          <w:rFonts w:ascii="Times New Roman" w:hAnsi="Times New Roman"/>
          <w:color w:val="000000"/>
          <w:sz w:val="20"/>
        </w:rPr>
      </w:pPr>
      <w:r>
        <w:rPr>
          <w:rFonts w:ascii="Times New Roman" w:hAnsi="Times New Roman"/>
          <w:color w:val="000000"/>
          <w:sz w:val="20"/>
        </w:rPr>
        <w:t>On October 25, 2021, the Company closed its initial public offering ("IPO"), issuing 6,850,000 shares of its common stock at a public offering price of $14.60 per share. Net of underwriting fees and offering costs, the Company received net proceeds of $93.0 million. The Company's common stock began trading on the Nasdaq Global Select Market LLC ("NASDAQ") on October 21, 2021 under the symbol "RWAY."</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2 –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both"/>
        <w:rPr>
          <w:rFonts w:ascii="Times New Roman" w:hAnsi="Times New Roman"/>
          <w:sz w:val="20"/>
        </w:rPr>
      </w:pPr>
      <w:r>
        <w:rPr>
          <w:rFonts w:ascii="Times New Roman" w:hAnsi="Times New Roman"/>
          <w:color w:val="000000"/>
          <w:sz w:val="20"/>
        </w:rPr>
        <w:t>The accompanying consolidated financial statements of the Company are prepared on the accrual basis of accounting in conformity with U.S. Generally Accepted Accounting Principles ("U.S. GAAP") and pursuant to the requirements for reporting on Form 10</w:t>
        <w:noBreakHyphen/>
        <w:t xml:space="preserve">K and in compliance with Regulation S-X under the Securities Exchange Act of 1934, as amended. The Company is an investment company following the specialized accounting and reporting guidance specified in the Financial Accounting Standards Board’s ("FASB") Accounting Standards Codification ("ASC") Topic 946, </w:t>
      </w:r>
      <w:r>
        <w:rPr>
          <w:rFonts w:ascii="Times New Roman" w:hAnsi="Times New Roman"/>
          <w:i/>
          <w:color w:val="000000"/>
          <w:sz w:val="20"/>
        </w:rPr>
        <w:t>Financial Services </w:t>
      </w:r>
      <w:r>
        <w:rPr>
          <w:rFonts w:ascii="Times New Roman" w:hAnsi="Times New Roman"/>
          <w:color w:val="000000"/>
          <w:sz w:val="20"/>
        </w:rPr>
        <w:t>– </w:t>
      </w:r>
      <w:r>
        <w:rPr>
          <w:rFonts w:ascii="Times New Roman" w:hAnsi="Times New Roman"/>
          <w:i/>
          <w:color w:val="000000"/>
          <w:sz w:val="20"/>
        </w:rPr>
        <w:t>Investment Companies</w:t>
      </w:r>
      <w:r>
        <w:rPr>
          <w:rFonts w:ascii="Times New Roman" w:hAnsi="Times New Roman"/>
          <w:color w:val="000000"/>
          <w:sz w:val="20"/>
        </w:rPr>
        <w:t xml:space="preserve"> ("ASC 946").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Under ASC 946, the Company is precluded from consolidating portfolio company investments, including those in which it has a controlling interest, unless the portfolio company is another investment company that is substantially wholly owned by it. An exception to this general principle occurs if the Company holds a controlling interest in an operating company that provides all or substantially all of its services directly to the Company or to its portfolio companies. None of the portfolio investments made by the Company qualify for this exception. Therefore, the Company’s investment portfolio is carried on the Consolidated Statements of Assets and Liabilities at fair value, as discussed further in "Note 4 – Investments," with any adjustments to fair value recognized as "Net change in unrealized gain (loss) on investments" on the Consolidated Statements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Company’s consolidated operations include the activities of its wholly owned subsidiary, P3 Holdco LLC ("P3 Holdco"). P3 Holdco serves to facilitate the Company’s investment in Pivot 3, Inc. ("Pivot3"). As a result, the Company consolidates the financial results of P3 Holdco in its consolidated financial statements in accordance with ASC 946 and treats its indirect investment in Pivot3 as a portfolio investment held at fair value. All intercompany balances and transactions have been eliminated.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determined that the JV is an investment company under ASC Topic 946. However, in accordance with such guidance, the Company will generally not consolidate its investment in a company other than a substantially wholly owned investment company subsidiary, which is an extension of the operations of the Company, or a controlled operating company whose business consists of providing services to the Company. The Company does not consolidate its interest in the JV as it is not a substantially wholly owned investment company subsidiary of the Company. In addition, the JV is not an operating company and the Company does not control the JV, as voting rights are allocated equally among the two JV members. As a result, the JV is accounted for as a portfolio investment of the Company held at fair value and not included as a consolidated subsidiary in the Company's consolidated financial statements. Refer to the Consolidated Schedule of Investments for the Company’s equity interests in Pivot3 and the JV as of December 31, 2025 and December 31, 2024.</w:t>
      </w:r>
    </w:p>
    <w:p>
      <w:pPr>
        <w:pStyle w:val="TextBody"/>
        <w:bidi w:val="0"/>
        <w:jc w:val="both"/>
        <w:rPr>
          <w:rFonts w:ascii="Times New Roman" w:hAnsi="Times New Roman"/>
          <w:color w:val="000000"/>
          <w:sz w:val="20"/>
        </w:rPr>
      </w:pPr>
      <w:r>
        <w:rPr>
          <w:rFonts w:ascii="Times New Roman" w:hAnsi="Times New Roman"/>
          <w:color w:val="000000"/>
          <w:sz w:val="20"/>
        </w:rPr>
        <w:t>In accordance with Rule 3-09 of Regulation S-X, as amended, the Company must determine which of its unconsolidated controlled subsidiaries, if any, are considered "significant subsidiaries." In evaluating these unconsolidated controlled subsidiaries, there are two significance tests utilized per Rule 1-02(w) of Regulation S-X to determine if any of the Company’s investments or unconsolidated controlled subsidiaries are considered significant: the investment test and the income test. As of December 31, 2025, and December 31, 2024, none of the Company’s investments or unconsolidated controlled subsidiaries met either of these two significance tests.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Secured Borrowings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follows the guidance in ASC Topic 860, </w:t>
      </w:r>
      <w:r>
        <w:rPr>
          <w:rFonts w:ascii="Times New Roman" w:hAnsi="Times New Roman"/>
          <w:i/>
          <w:color w:val="000000"/>
          <w:sz w:val="20"/>
        </w:rPr>
        <w:t>Transfers and Servicing</w:t>
      </w:r>
      <w:r>
        <w:rPr>
          <w:rFonts w:ascii="Times New Roman" w:hAnsi="Times New Roman"/>
          <w:color w:val="000000"/>
          <w:sz w:val="20"/>
        </w:rPr>
        <w:t xml:space="preserve"> ("ASC 860"), when accounting for participations or other partial loan sales. Under ASC 860, a transfer of a financial asset may be accounted for as a sale only if the transferred interest meets the definition of a "participating interest," as defined in the guidance, and all of the following conditions are met: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w:t>
      </w:r>
      <w:r>
        <w:rPr>
          <w:rFonts w:ascii="Times New Roman" w:hAnsi="Times New Roman"/>
          <w:i/>
          <w:color w:val="000000"/>
          <w:sz w:val="20"/>
        </w:rPr>
        <w:t>not</w:t>
      </w:r>
      <w:r>
        <w:rPr>
          <w:rFonts w:ascii="Times New Roman" w:hAnsi="Times New Roman"/>
          <w:color w:val="000000"/>
          <w:sz w:val="20"/>
        </w:rPr>
        <w:t xml:space="preserve">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Participations or other partial loan sales that do not meet the definition of a participating interest or the above conditions, should remain on the Company's Consolidated Statements of Assets and Liabilities and the proceeds recorded as a secured borrowing until the definition is met. Secured borrowings are carried at fair value.</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Runway-Cadma I LLC</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entered into a joint venture agreement, effective as of March 6, 2024, with Cadma to create and co-manage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with respect to the JV must be approved by the board of managers of the JV, consisting of an equal number of representatives of the Company and Cadma. Capital contributions are called from the Company and Cadma on a pro-rata basis based on their total capital commitments. For more information, refer to "Note 3 – Related Party Agreements and Transactions."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income and expense during the reporting period. Changes in the economic and regulatory environment, financial markets, the credit worthiness of the Company's portfolio companies, and any other parameters used in determining these estimates and assumptions could cause actual results to differ from these estimates and assumptions.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Cash consists solely of funds deposited with financial institutions, while cash equivalents consist of short-term liquid investments in money market funds. Cash and cash equivalents are carried at cost, which approximates fair value. As of December 31, 2025 and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December 31, 2024, the Company had $2.8 million and $4.0 million invested in money market funds, respectively. Dividends earned from money market funds are recorded in "Other income" on the Consolidated Statements of Operations. The Company may hold foreign cash from time to time as a result of transactions related to investments denominated in foreign currencies. Foreign cash includes the value of foreign currencies held and translated to U.S. dollars using the prevailing foreign exchange rates as of December 31, 2025. Temporary fluctuations in any foreign currency held on the balance sheet date are recorded in "Net change in unrealized gain (loss) on forward contracts and foreign currency transactions" on the Consolidated Statements of Operations. Any realized gains or losses recognized upon foreign currency translated into local currency are recorded in "Net realized gain (loss) on forward contracts and foreign currency transactions" on the Consolidated Statements of Operations.</w:t>
      </w:r>
    </w:p>
    <w:p>
      <w:pPr>
        <w:pStyle w:val="TextBody"/>
        <w:bidi w:val="0"/>
        <w:spacing w:before="160" w:after="240"/>
        <w:jc w:val="both"/>
        <w:rPr>
          <w:rFonts w:ascii="Times New Roman" w:hAnsi="Times New Roman"/>
          <w:b/>
          <w:i/>
          <w:color w:val="000000"/>
          <w:sz w:val="20"/>
        </w:rPr>
      </w:pPr>
      <w:r>
        <w:rPr>
          <w:rFonts w:ascii="Times New Roman" w:hAnsi="Times New Roman"/>
          <w:b/>
          <w:i/>
          <w:color w:val="000000"/>
          <w:sz w:val="20"/>
        </w:rPr>
        <w:t>Investments Denominated in Foreign Currency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At each balance sheet date, portfolio company investments denominated in foreign currencies and any related receivables are translated into U.S. dollars using the spot exchange rate on the last business day of the period. Purchases and sales of foreign portfolio company investments, and any income from such investments, are translated into U.S. dollars using the rates of exchange prevailing on the respective dates of such transactions. As of December 31, 2025 and December 31, 2024, the Company held two investment denominated in British pound sterling, one investment denominated in Canadian Dollars, and five investments denominated in Euros. Refer to the Consolidated Schedule of Investments and respective footnotes to the Consolidated Schedule of Investments for more details on the portfolio company investments held in foreign currencies as of December 31, 2025 and December 31, 2024.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Although the fair values of foreign portfolio company investments and the fluctuation in such fair values are translated into U.S. dollars using the applicable foreign exchange rates described above, the Company does not distinguish the portion of the change in fair value resulting from foreign currency exchange rate fluctuations from the change in fair value of the underlying investment. All fluctuations in fair value are included in "Net change in unrealized gain (loss) on non-control/non-affiliate investments" on the Consolidated Statements of Operations. Any realized gains or losses upon settlement of investments and related receivables denominated in foreign currency are recorded in "Net realized gain (loss) on forward contracts and foreign currency transactions" on the Consolidated Statements of Operations.</w:t>
      </w:r>
    </w:p>
    <w:p>
      <w:pPr>
        <w:pStyle w:val="TextBody"/>
        <w:bidi w:val="0"/>
        <w:spacing w:before="0" w:after="200"/>
        <w:jc w:val="both"/>
        <w:rPr>
          <w:rFonts w:ascii="Times New Roman" w:hAnsi="Times New Roman"/>
          <w:sz w:val="20"/>
        </w:rPr>
      </w:pPr>
      <w:r>
        <w:rPr>
          <w:rFonts w:ascii="Times New Roman" w:hAnsi="Times New Roman"/>
          <w:color w:val="000000"/>
          <w:sz w:val="20"/>
        </w:rPr>
        <w:t xml:space="preserve">The Company may also enter into foreign currency forward contracts to mitigate its exposure to foreign currency fluctuations associated with certain investments denominated in foreign currencies. These contracts are recognized as derivative instruments and measured at fair value in accordance with ASC Topic 815, </w:t>
      </w:r>
      <w:r>
        <w:rPr>
          <w:rFonts w:ascii="Times New Roman" w:hAnsi="Times New Roman"/>
          <w:i/>
          <w:color w:val="000000"/>
          <w:sz w:val="20"/>
        </w:rPr>
        <w:t xml:space="preserve">Derivatives and Hedging </w:t>
      </w:r>
      <w:r>
        <w:rPr>
          <w:rFonts w:ascii="Times New Roman" w:hAnsi="Times New Roman"/>
          <w:color w:val="000000"/>
          <w:sz w:val="20"/>
        </w:rPr>
        <w:t>("ASC 815"), and are recorded as "Foreign currency forward contracts" on the Consolidated Statements of Assets and Liabilities. Changes in fair value are recorded in "Net change in unrealized gain (loss) on forward contracts and foreign currency transactions" on the Consolidated Statements of Operations. The payments and proceeds from derivative contracts are included in "Payments for derivative contracts" and "Proceeds from derivative contracts," respectively, on the Consolidated Statements of Cash Flows. The net cash flows realized on settlement of derivatives are included in "Net realized (gain) loss on forward contracts and foreign currency transactions" on the Consolidated Statements of Operations and Consolidated Statements of Cash Flows. Refer to "Note 4 – Investments" for more information regarding the foreign currency forward contracts.</w:t>
      </w:r>
    </w:p>
    <w:p>
      <w:pPr>
        <w:pStyle w:val="TextBody"/>
        <w:bidi w:val="0"/>
        <w:spacing w:before="160" w:after="240"/>
        <w:jc w:val="left"/>
        <w:rPr>
          <w:rFonts w:ascii="Times New Roman" w:hAnsi="Times New Roman"/>
          <w:b/>
          <w:i/>
          <w:color w:val="000000"/>
          <w:sz w:val="20"/>
        </w:rPr>
      </w:pPr>
      <w:r>
        <w:rPr>
          <w:rFonts w:ascii="Times New Roman" w:hAnsi="Times New Roman"/>
          <w:b/>
          <w:i/>
          <w:color w:val="000000"/>
          <w:sz w:val="20"/>
        </w:rPr>
        <w:t>Investment Transactions and Related Investment Income</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investment portfolio generates interest, fee, and dividend income. The Company records interest income on an accrual basis, recognizing income as earned in accordance with the contractual terms of the loan agreement, to the extent that such amounts are expected to be collected. The cost of each debt investment is adjusted for any discounts, premiums, upfront fees, and carve-outs representing the value of detachable equity, warrants, or another asset obtained in conjunction with the acquisition of debt investments (collectively "OID"), as well as any contractual end of term payments ("ETP"). The OID and ETP are capitalized into the adjusted cost basis and recorded as interest income over the term of the loan as a yield enhancement following the effective interest method. Upon prepayment of a debt investment, any unamortized OID and ETP is recorded as interest income and any prepayment penalties are recorded as fee income. Upon amending terms of an existing investment, any amendment fees charged are recorded as fee income. Fee income may also include income from bridge loans.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currently holds, and expects to hold in the future, some investments in its portfolio with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taxable income and therefore affects the amount of income the Company is required to distribute to stockholders to maintain its qualification as a RIC for U.S. federal income tax purposes. For the years ended December 31, 2025, December 31, 2024, and December 31, 2023, 11.8%, 8.4%, and 12.2%, respectively, of the Company’s total investment income was attributable to non-cash PIK interest.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Dividend income is recorded on an accrual basis to the extent that such amounts are payable and expected to be collected. Dividend income is recorded on the record date for private portfolio companies and on the ex-dividend date for publicly traded portfolio companies. Interest income, if any, adjusted for amortization of market premium and accretion of OID and ETP, is recorded on an accrual basis to the extent that the Company expects to collect such amounts.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Security transactions, if any, are recorded on a trade-date basis. Realized gains or losses from the repayment or sale of investments are measured using the specific identification method. The Company reports changes in fair value of investments from the prior period as a component of "Net change in unrealized gain (loss) on investments" on the Consolidated Statements of Operations.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Debt and Deferred Financing Costs</w:t>
      </w:r>
    </w:p>
    <w:p>
      <w:pPr>
        <w:pStyle w:val="TextBody"/>
        <w:bidi w:val="0"/>
        <w:jc w:val="both"/>
        <w:rPr>
          <w:rFonts w:ascii="Times New Roman" w:hAnsi="Times New Roman"/>
          <w:color w:val="000000"/>
          <w:sz w:val="20"/>
        </w:rPr>
      </w:pPr>
      <w:r>
        <w:rPr>
          <w:rFonts w:ascii="Times New Roman" w:hAnsi="Times New Roman"/>
          <w:color w:val="000000"/>
          <w:sz w:val="20"/>
        </w:rPr>
        <w:t>The debt of the Company is carried at amortized cost on the Consolidated Statements of Assets and Liabilities, which is comprised of the principal amount borrowed, net of deferred financing costs. Deferred financing costs ("DFC") are fees and other direct incremental costs incurred by the Company in relation to debt financing and are amortized over the life of the related debt instrument or the life of such cost's respective service, if shorter, using the straight-line method, which closely approximates the effective yield method. Amortization of such debt financing costs and interest expense on the outstanding principal balance are recorded in "Interest and other debt financing expenses" on the Consolidated Statements of Operations. Debt financing costs that have not yet been amortized are recorded as "Deferred financing costs" on the Consolidated Statements of Assets and Liabilities. To the extent there are no outstanding borrowings, the deferred financing costs are presented as an asset on the Consolidated Statements of Assets and Liabilities. Accrued but unpaid interest is included within "Interest payable" on the Consolidated Statements of Assets and Liabilities. For more information, refer to "Note 7 – Borrowings."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Non-Accrual Investments</w:t>
      </w:r>
    </w:p>
    <w:p>
      <w:pPr>
        <w:pStyle w:val="TextBody"/>
        <w:bidi w:val="0"/>
        <w:jc w:val="both"/>
        <w:rPr>
          <w:rFonts w:ascii="Times New Roman" w:hAnsi="Times New Roman"/>
          <w:color w:val="000000"/>
          <w:sz w:val="20"/>
        </w:rPr>
      </w:pPr>
      <w:r>
        <w:rPr>
          <w:rFonts w:ascii="Times New Roman" w:hAnsi="Times New Roman"/>
          <w:color w:val="000000"/>
          <w:sz w:val="20"/>
        </w:rPr>
        <w:t>Debt investments are placed on non-accrual status when principal, interest, and other obligations become materially past due or when it is probable that principal, interest, or other obligations will not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and ETP associated with the debt investment is no longer accreted to interest income as of the date the loan is placed on non-accrual status. Any payments received on non-accrual loans are first applied to principal prior to recovery of any foregone interest or ETP.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ETP.</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summarizes the cost, fair value, and types of income not recorded in "Interest income" on the Consolidated Statements of Operations related to senior secured term loans on non-accrual status as of December 31, 2025 and December 31, 2024 (in thousands):</w:t>
      </w:r>
    </w:p>
    <w:tbl>
      <w:tblPr>
        <w:tblW w:w="10205" w:type="dxa"/>
        <w:jc w:val="left"/>
        <w:tblInd w:w="0" w:type="dxa"/>
        <w:tblLayout w:type="fixed"/>
        <w:tblCellMar>
          <w:top w:w="28" w:type="dxa"/>
          <w:left w:w="28" w:type="dxa"/>
          <w:bottom w:w="28" w:type="dxa"/>
          <w:right w:w="28" w:type="dxa"/>
        </w:tblCellMar>
      </w:tblPr>
      <w:tblGrid>
        <w:gridCol w:w="1383"/>
        <w:gridCol w:w="346"/>
        <w:gridCol w:w="1043"/>
        <w:gridCol w:w="146"/>
        <w:gridCol w:w="259"/>
        <w:gridCol w:w="147"/>
        <w:gridCol w:w="517"/>
        <w:gridCol w:w="146"/>
        <w:gridCol w:w="146"/>
        <w:gridCol w:w="273"/>
        <w:gridCol w:w="156"/>
        <w:gridCol w:w="404"/>
        <w:gridCol w:w="146"/>
        <w:gridCol w:w="146"/>
        <w:gridCol w:w="258"/>
        <w:gridCol w:w="147"/>
        <w:gridCol w:w="516"/>
        <w:gridCol w:w="146"/>
        <w:gridCol w:w="146"/>
        <w:gridCol w:w="256"/>
        <w:gridCol w:w="146"/>
        <w:gridCol w:w="511"/>
        <w:gridCol w:w="146"/>
        <w:gridCol w:w="146"/>
        <w:gridCol w:w="256"/>
        <w:gridCol w:w="146"/>
        <w:gridCol w:w="511"/>
        <w:gridCol w:w="146"/>
        <w:gridCol w:w="146"/>
        <w:gridCol w:w="148"/>
        <w:gridCol w:w="427"/>
        <w:gridCol w:w="148"/>
        <w:gridCol w:w="601"/>
      </w:tblGrid>
      <w:tr>
        <w:trPr/>
        <w:tc>
          <w:tcPr>
            <w:tcW w:w="13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Non-Accrual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Accretion of OID and ETP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Forgone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a % of Total Portfolio</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JobGet Holdings, Inc. (fka Snagajob.com, Inc.)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0.20</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jc w:val="both"/>
        <w:rPr>
          <w:rFonts w:ascii="Times New Roman" w:hAnsi="Times New Roman"/>
          <w:sz w:val="20"/>
        </w:rPr>
      </w:pPr>
      <w:r>
        <w:rPr>
          <w:rFonts w:ascii="Times New Roman" w:hAnsi="Times New Roman"/>
          <w:color w:val="000000"/>
          <w:sz w:val="20"/>
        </w:rPr>
        <w:t xml:space="preserve">The Company measures the value of its financial instruments at fair value in accordance with ASC Topic 820, </w:t>
      </w:r>
      <w:r>
        <w:rPr>
          <w:rFonts w:ascii="Times New Roman" w:hAnsi="Times New Roman"/>
          <w:i/>
          <w:color w:val="000000"/>
          <w:sz w:val="20"/>
        </w:rPr>
        <w:t>Fair Value Measurement</w:t>
      </w:r>
      <w:r>
        <w:rPr>
          <w:rFonts w:ascii="Times New Roman" w:hAnsi="Times New Roman"/>
          <w:color w:val="000000"/>
          <w:sz w:val="20"/>
        </w:rPr>
        <w:t xml:space="preserve"> ("ASC 820"), issued by the FASB. Fair value is the price that would be received to sell an asset or paid to transfer a liability in an orderly transaction between market participants at the measurement date. The Company's investment portfolio is reported at fair value on the Consolidated Statements of Assets and Liabilities. All assets and liabilities approximate fair value on the Consolidated Statements of Assets and Liabilities, with the exception of the Company’s borrowings, which are reported at amortized cost. For more information on financial instruments reported at cost, refer to "Note 5 – Fair Value of Financial Instruments."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ASC 820 specifies a hierarchy of valuation techniques based on whether the inputs to those valuation techniques are observable or unobservable. ASC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820, these inputs are summarized in the three levels listed below: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Level 1 - Valuations are based on quoted prices in active markets for identical assets or liabilities that are accessible at the measurement date.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Level 2 - Valuations are based on quoted prices in markets that are not active or for which all significant inputs are observable, either directly or indirectly and model-based valuation techniques for which all significant inputs are observable.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Level 3 - 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 certain cases, the inputs used to measure fair value may fall into different levels of the fair value hierarchy. In such cases, a financial instrument’s level within the fair value hierarchy is based on the lowest level of observable or unobservable input that is significant to the fair value measurement. The assessment of the significance of a particular input to the fair value measurement in its entirety requires judgment and considers factors specific to the instrument.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Under ASC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820, it is assumed that the reporting entity has access to such market as of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measurement date. Market participants are defined as buyers and sellers in the principal or most advantageous market that are independent, knowledgeable and willing and able to transact.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Rule 2a-5 under the 1940 Act established additional requirements for determining the fair value of the Company's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Rule 31a-4 under the 1940 Act established additional recordkeeping requirements related to fair value determinations. Although the Company adopted certain revisions to its valuation policies and procedures to comply with Rule 2a-5 and Rule 31a-4, the Board of Directors has not elected to designate a valuation designee.</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Investment Valuation Techniques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Company undertakes a multi-step valuation process each quarter, as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quarterly valuation process begins with each portfolio company investment being initially valued by RGC’s investment professionals that are responsible for the portfolio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Preliminary valuation conclusions are then documented and discussed with RGC’s valuation committee;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least once annually, the valuation for each portfolio investment is reviewed by an independent valuation firm. Certain investments, however, may not be evaluated annually by an independent valuation firm if the net asset value and other aspects of such investments in the aggregate do not exceed certain thresholds;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of the Board of Directors (the "Audit Committee") then reviews these preliminary valuations from RGC and the independent valuation firm, if any, and makes a recommendation to the Board of Directors regarding such valuations;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of Directors reviews the recommended preliminary valuations and determines the fair value of each investment in the Company’s portfolio, in good faith, based on the input of RGC, the independent valuation firm(s) and the Audit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investments are primarily loans made to and equity and warrants of small companies with potential for fast growth focused in technology, healthcare, business services and other high-growth industries. These investments are generally considered Level 3 assets under ASC 820 because there is typically no known or accessible market or market indices for these types of debt and equity instruments and, thus, the Board of Directors must determine the fair value of these investment securities based on models utilizing unobservable inputs.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Audit Committee assists the Board of Directors in reviewing the fair value of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Board of Directors, with the assistance of the Audit Committee, RGC and its valuation committee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valuation committee considers relevant.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Board of Directors makes this fair value determination on a quarterly basis and any other time when a decision regarding the fair value of the portfolio investments is required. There is no single standard for determining the fair value of investments that do not have an active public market. A determination of fair value of investments, particularly those of privately held companies, involves subjective judgments and estimates and depends on the facts and circumstances. In some cases, the fair value of such investments is best expressed as a range of values derived utilizing different methodologies from which a fair value may then be determined. Due to the inherent uncertainty of determining the fair value of portfolio investments that do not have a readily available market value, the fair value of the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investments may differ significantly from the values that would have been used had a readily available market value existed for such investments, and the differences could be material.</w:t>
      </w:r>
    </w:p>
    <w:p>
      <w:pPr>
        <w:pStyle w:val="TextBody"/>
        <w:bidi w:val="0"/>
        <w:spacing w:before="360" w:after="240"/>
        <w:jc w:val="both"/>
        <w:rPr>
          <w:rFonts w:ascii="Times New Roman" w:hAnsi="Times New Roman"/>
          <w:color w:val="000000"/>
          <w:sz w:val="20"/>
          <w:u w:val="single"/>
        </w:rPr>
      </w:pPr>
      <w:r>
        <w:rPr>
          <w:rFonts w:ascii="Times New Roman" w:hAnsi="Times New Roman"/>
          <w:color w:val="000000"/>
          <w:sz w:val="20"/>
          <w:u w:val="single"/>
        </w:rPr>
        <w:t>Debt Investments</w:t>
      </w:r>
    </w:p>
    <w:p>
      <w:pPr>
        <w:pStyle w:val="TextBody"/>
        <w:bidi w:val="0"/>
        <w:jc w:val="both"/>
        <w:rPr>
          <w:rFonts w:ascii="Times New Roman" w:hAnsi="Times New Roman"/>
          <w:color w:val="000000"/>
          <w:sz w:val="20"/>
        </w:rPr>
      </w:pPr>
      <w:r>
        <w:rPr>
          <w:rFonts w:ascii="Times New Roman" w:hAnsi="Times New Roman"/>
          <w:color w:val="000000"/>
          <w:sz w:val="20"/>
        </w:rPr>
        <w:t>To determine the fair value of the Company’s debt investments, the Company compares the cost basis of the debt investment, which includes OID and ETP,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reasonable effective market interest rates for its investments. The range of interest rate spreads utilized is based on borrowers with similar credit profiles. All remaining expected cash flows of the investment are discounted using the calculated interest rate to determine a fair value for the debt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valuation process includes, among other things, evaluating the underlying investment performance, the portfolio company's financial condition, enterprise value and existing capital structure, as well as the ability to raise additional capital, and macro-economic events that may impact valuations. These events include, but are not limited to, current market yields and interest rate spreads of similar securities as of the measurement date. Significant increases (decreases) in these unobservable inputs could result in significantly higher (lower) fair value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certain circumstances, the Company may use an alternative technique to value the debt investments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estimates of proceeds that would be received in a liquidation scenario, or active market quotes for institutionally traded debt.</w:t>
      </w:r>
    </w:p>
    <w:p>
      <w:pPr>
        <w:pStyle w:val="TextBody"/>
        <w:bidi w:val="0"/>
        <w:spacing w:before="360" w:after="240"/>
        <w:jc w:val="both"/>
        <w:rPr>
          <w:rFonts w:ascii="Times New Roman" w:hAnsi="Times New Roman"/>
          <w:color w:val="000000"/>
          <w:sz w:val="20"/>
          <w:u w:val="single"/>
        </w:rPr>
      </w:pPr>
      <w:r>
        <w:rPr>
          <w:rFonts w:ascii="Times New Roman" w:hAnsi="Times New Roman"/>
          <w:color w:val="000000"/>
          <w:sz w:val="20"/>
          <w:u w:val="single"/>
        </w:rPr>
        <w:t>Warrants</w:t>
      </w:r>
    </w:p>
    <w:p>
      <w:pPr>
        <w:pStyle w:val="TextBody"/>
        <w:bidi w:val="0"/>
        <w:jc w:val="both"/>
        <w:rPr>
          <w:rFonts w:ascii="Times New Roman" w:hAnsi="Times New Roman"/>
          <w:color w:val="000000"/>
          <w:sz w:val="20"/>
        </w:rPr>
      </w:pPr>
      <w:r>
        <w:rPr>
          <w:rFonts w:ascii="Times New Roman" w:hAnsi="Times New Roman"/>
          <w:color w:val="000000"/>
          <w:sz w:val="20"/>
        </w:rPr>
        <w:t>Fair value of warrants is primarily determined using a Black Scholes option-pricing model. Privately held warrants and equity-related securities are valued based on an analysis of various factors including, but not limited to, the following: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stock/units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("OPM"), including back-solve techniques, Probability Weighted Expected Return Models ("PWERM"), and other techniques as determined to be appropriate.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Success fees are valued utilizing a scenario analysis. Fair value is determined based on the potential success fee proceeds under varied timing of liquidity events during the life of the success fee agreement. At each potential exit scenario, a probability is ascribed based on the current expectations of an exit event for the portfolio company. The probability weighted value at each respective exit date is discounted to a present value and summed together to arrive at the fair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Earnouts are considered contingent considerations. If a contingent consideration will result in cash proceeds, a scenario-based method is utilized. The value of the contingent consideration is determined based on the probability weighted value of the contingent consideration being achieved. If the contingent consideration is shares in a public company and based on the public stock price, the contingent consideration is valued using the barrier option pricing methodology, which utilizes the public company stock price and applicable discounts being considered in the valuation.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certain cases, the Company may apply alternative valuation methods to more accurately estimate the fair value of warrants. These may include the Current Value Method or other approaches deemed appropriate under the circumstances. Such methods may be used when a warrant is expected to settle in the near term, includes a put feature, or when there is a recent arm's-length transaction or binding offer that provides relevant pricing information. Other approaches, such as a waterfall analysis or a model based on a warrant's redemption value, may also be considered. The Current Value Method determines the warrant's value based on its current redemption or liquidation value, considering the enterprise value and the rights and preferences of all debt and equity securities in the company’s capital structure.</w:t>
      </w:r>
    </w:p>
    <w:p>
      <w:pPr>
        <w:pStyle w:val="TextBody"/>
        <w:bidi w:val="0"/>
        <w:spacing w:before="240" w:after="240"/>
        <w:jc w:val="both"/>
        <w:rPr>
          <w:rFonts w:ascii="Times New Roman" w:hAnsi="Times New Roman"/>
          <w:color w:val="000000"/>
          <w:sz w:val="20"/>
          <w:u w:val="single"/>
        </w:rPr>
      </w:pPr>
      <w:r>
        <w:rPr>
          <w:rFonts w:ascii="Times New Roman" w:hAnsi="Times New Roman"/>
          <w:color w:val="000000"/>
          <w:sz w:val="20"/>
          <w:u w:val="single"/>
        </w:rPr>
        <w:t>Foreign Currency Forward Contracts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accordance with ASC 820, the Company measures these derivatives at fair value on a recurring basis using a market approach. The valuation technique relies on observable market inputs, including spot and forward exchange rates. The fair values are obtained through model-based pricing using inputs that are corroborated by market data and are classified as Level 2 within the fair value hierarchy.</w:t>
      </w:r>
    </w:p>
    <w:p>
      <w:pPr>
        <w:pStyle w:val="TextBody"/>
        <w:bidi w:val="0"/>
        <w:spacing w:before="200" w:after="240"/>
        <w:jc w:val="both"/>
        <w:rPr>
          <w:rFonts w:ascii="Times New Roman" w:hAnsi="Times New Roman"/>
          <w:color w:val="000000"/>
          <w:sz w:val="20"/>
          <w:u w:val="single"/>
        </w:rPr>
      </w:pPr>
      <w:r>
        <w:rPr>
          <w:rFonts w:ascii="Times New Roman" w:hAnsi="Times New Roman"/>
          <w:color w:val="000000"/>
          <w:sz w:val="20"/>
          <w:u w:val="single"/>
        </w:rPr>
        <w:t>Equity Investments</w:t>
      </w:r>
    </w:p>
    <w:p>
      <w:pPr>
        <w:pStyle w:val="TextBody"/>
        <w:bidi w:val="0"/>
        <w:jc w:val="left"/>
        <w:rPr>
          <w:rFonts w:ascii="Times New Roman" w:hAnsi="Times New Roman"/>
          <w:color w:val="000000"/>
          <w:sz w:val="20"/>
        </w:rPr>
      </w:pPr>
      <w:r>
        <w:rPr>
          <w:rFonts w:ascii="Times New Roman" w:hAnsi="Times New Roman"/>
          <w:color w:val="000000"/>
          <w:sz w:val="20"/>
        </w:rPr>
        <w:t>The fair value of an equity investment in a privately held company is initially the face value 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Money market funds are valued based on the published net asset value per share on the day of valuation and are included in "Cash and cash equivalents" on the Consolidated Statements of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certain circumstances, the Company may use an alternative technique to value equity investments that better reflect the security’s fair value, such as the Current Value Method and other techniques as determined to be appropriate. This may include an expected settlement of a security in the near term, a model that incorporates a put feature associated with the security, the price paid or realized in a recently completed transaction or binding offer received in an arms-length transaction, a waterfall approach, or a model based on the redemption value of a security. The Current Value Method concludes the value of the security based on the current redemption value or the current liquidation value, taking into account the concluded enterprise value and the rights and preferences of all the debt and equity securities that make up a company’s capitalization.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Investment Classification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Consolidated Statements of Assets and Liabilities.</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taxable year and it does not anticipate paying any material U.S. federal income taxes in the future.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Depending on the level of taxable income earned in a tax year, the Company may choose to carry forward such taxable income in excess of current year dividend distributions from such current year taxable income into the next tax year and pay a 4% nondeductible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ASC 946, permanent tax differences are reclassified from accumulated undistributed earnings to paid-in-capital at the end of each year and have no impact on total net assets. For more information, refer to "Note 10 – Income Taxes."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Per Share Information</w:t>
      </w:r>
    </w:p>
    <w:p>
      <w:pPr>
        <w:pStyle w:val="TextBody"/>
        <w:bidi w:val="0"/>
        <w:jc w:val="both"/>
        <w:rPr>
          <w:rFonts w:ascii="Times New Roman" w:hAnsi="Times New Roman"/>
          <w:color w:val="000000"/>
          <w:sz w:val="20"/>
        </w:rPr>
      </w:pPr>
      <w:r>
        <w:rPr>
          <w:rFonts w:ascii="Times New Roman" w:hAnsi="Times New Roman"/>
          <w:color w:val="000000"/>
          <w:sz w:val="20"/>
        </w:rPr>
        <w:t xml:space="preserve">Basic and diluted earnings (loss) per common share is calculated using the weighted-average number of common shares outstanding for the period presented. For the years ended December 31, 2025, 2024, and 2023, basic and diluted earnings (loss) per share of common stock were the same because there were no potentially dilutive securities outstanding. Per share data is based on the weighted-average shares outstanding. </w:t>
      </w:r>
    </w:p>
    <w:p>
      <w:pPr>
        <w:pStyle w:val="TextBody"/>
        <w:bidi w:val="0"/>
        <w:spacing w:before="360" w:after="240"/>
        <w:jc w:val="left"/>
        <w:rPr>
          <w:rFonts w:ascii="Times New Roman" w:hAnsi="Times New Roman"/>
          <w:sz w:val="20"/>
        </w:rPr>
      </w:pPr>
      <w:r>
        <w:rPr>
          <w:rFonts w:ascii="Times New Roman" w:hAnsi="Times New Roman"/>
          <w:b/>
          <w:i/>
          <w:color w:val="000000"/>
          <w:sz w:val="20"/>
        </w:rPr>
        <w:t>Comprehensive Income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reports all changes in comprehensive income in the Consolidated Statements of Operations. The Company did not have any other comprehensive income in 2025, 2024, or 2023. The Company’s comprehensive income is equal to its "Net increase (decrease) in net assets resulting from operations" on the Consolidated Statements of Operations.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Distributions</w:t>
      </w:r>
    </w:p>
    <w:p>
      <w:pPr>
        <w:pStyle w:val="TextBody"/>
        <w:bidi w:val="0"/>
        <w:jc w:val="both"/>
        <w:rPr>
          <w:rFonts w:ascii="Times New Roman" w:hAnsi="Times New Roman"/>
          <w:color w:val="000000"/>
          <w:sz w:val="20"/>
        </w:rPr>
      </w:pPr>
      <w:r>
        <w:rPr>
          <w:rFonts w:ascii="Times New Roman" w:hAnsi="Times New Roman"/>
          <w:color w:val="000000"/>
          <w:sz w:val="20"/>
        </w:rPr>
        <w:t xml:space="preserve">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Repurchases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Prior to December 31, 2024, the Company reported repurchases of common stock as a separate financial statement line item labeled as "Treasury stock" within "Total net assets" on the Consolidated Statements of Assets and Liabilities and Consolidated Statements of Changes in Net Assets, and labeled any related activity as "Acquisition of treasury stock" on the Consolidated Statements of Changes in Net Assets and Consolidated Statements of Cash Flows. As of and for the year ended December 31, 2024, as required under Maryland law, any shares repurchased by the Company are to be returned to unissued common shares and amounts repurchased are presented as a deduction from "Common stock, par value" and "Additional paid-in capital." The prior period activity has been reclassified during the year ended December 31, 2024 as a "Reclassification of share repurchases" within the Statement of Changes in Net Assets.</w:t>
      </w:r>
    </w:p>
    <w:p>
      <w:pPr>
        <w:pStyle w:val="Heading2"/>
        <w:bidi w:val="0"/>
        <w:spacing w:before="240" w:after="240"/>
        <w:jc w:val="left"/>
        <w:rPr>
          <w:rFonts w:ascii="Times New Roman" w:hAnsi="Times New Roman"/>
          <w:i/>
          <w:color w:val="000000"/>
          <w:sz w:val="20"/>
        </w:rPr>
      </w:pPr>
      <w:r>
        <w:rPr>
          <w:rFonts w:ascii="Times New Roman" w:hAnsi="Times New Roman"/>
          <w:i/>
          <w:color w:val="000000"/>
          <w:sz w:val="20"/>
        </w:rPr>
        <w:t>Recently Issued Accounting Pronouncements</w:t>
      </w:r>
    </w:p>
    <w:p>
      <w:pPr>
        <w:pStyle w:val="TextBody"/>
        <w:bidi w:val="0"/>
        <w:jc w:val="both"/>
        <w:rPr>
          <w:rFonts w:ascii="Times New Roman" w:hAnsi="Times New Roman"/>
          <w:sz w:val="20"/>
        </w:rPr>
      </w:pPr>
      <w:r>
        <w:rPr>
          <w:rFonts w:ascii="Times New Roman" w:hAnsi="Times New Roman"/>
          <w:color w:val="000000"/>
          <w:sz w:val="20"/>
        </w:rPr>
        <w:t xml:space="preserve">On December 8,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xml:space="preserve"> ("ASU 2025-11"), which amends the guidance in Topic 270 to clarify and enhance certain interim reporting requirements, including improvements intended to increase consistency in the application of interim disclosure and recognition guidance. The amendments are designed to simplify the preparation of interim consolidated financial statements and improve the transparency of interim reporting. The guidance in ASU 2025-11 is effective for fiscal years beginning after December 15, 2027, and interim periods within those fiscal years, with early adoption permitted. The Company plans to adopt the pronouncement for our fiscal year beginning January 1, 2029 and is currently evaluating the potential effect that the standard will have on our consolidated financial statements and related disclosures.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November 26, 2024, the FASB issued ASU 2024-04, </w:t>
      </w:r>
      <w:r>
        <w:rPr>
          <w:rFonts w:ascii="Times New Roman" w:hAnsi="Times New Roman"/>
          <w:i/>
          <w:color w:val="000000"/>
          <w:sz w:val="20"/>
        </w:rPr>
        <w:t xml:space="preserve">Debt - Debt with Conversion and Other Options (Subtopic 470-20)- Induced Conversions of Convertible Debt Instruments </w:t>
      </w:r>
      <w:r>
        <w:rPr>
          <w:rFonts w:ascii="Times New Roman" w:hAnsi="Times New Roman"/>
          <w:color w:val="000000"/>
          <w:sz w:val="20"/>
        </w:rPr>
        <w:t xml:space="preserve">("ASU 2024-04"), related to induced conversions of convertible debt instruments. The amendments in this update clarify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plans to adopt the pronouncement for our fiscal year beginning January 1, 2026 and is currently evaluating the potential effect that the standard will have on our financial statement disclosures.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3 – Related Party Agreements and Transactions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Advisory Agreement</w:t>
      </w:r>
    </w:p>
    <w:p>
      <w:pPr>
        <w:pStyle w:val="TextBody"/>
        <w:bidi w:val="0"/>
        <w:jc w:val="both"/>
        <w:rPr>
          <w:rFonts w:ascii="Times New Roman" w:hAnsi="Times New Roman"/>
          <w:color w:val="000000"/>
          <w:sz w:val="20"/>
        </w:rPr>
      </w:pPr>
      <w:r>
        <w:rPr>
          <w:rFonts w:ascii="Times New Roman" w:hAnsi="Times New Roman"/>
          <w:color w:val="000000"/>
          <w:sz w:val="20"/>
        </w:rPr>
        <w:t>On May 27, 2021, the Company entered into its Second Amended and Restated Investment Advisory Agreement with the Adviser. On January 30, 2025, in connection with the closing of the BCP Transaction, the Company entered into its Third Amended and Restated Investment Advisory Agreement (the “Advisory Agreement”) with the Adviser. Although the ownership of RGC changed in connection with the completion of the BCP Transaction, the management of RGC did not change, nor did the terms of the Advisory Agreement compared to the Second Amended and Restated Advisory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Advisory Agreement, RGC:</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determines the composition of the Company’s portfolio, the nature and timing of the changes to the portfolio and the manner of implementing such changes;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identifies, evaluates and negotiates the structure of the investments the Company makes;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executes, closes and monitors the investments the Company makes;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determines the securities and other assets that the Company will purchase, retain or sell;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performs due diligence on prospective investments;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provides the Company with such other investment advisory, research and related services as the Company may, from time to time, reasonably require for the investment of its funds.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Base Management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base management fee is payable on the first day of each calendar quarter and is calculated on the Company's gross assets which, for purposes of the Advisory Agreement, is defined as the Company’s average daily gross assets, including assets purchased with borrowed funds or other forms of leverage, as of the end of the most recently completed fiscal quarter. The base management fee will be an amount equal to 0.375% (1.50% annualized) of the Company’s average daily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$500.0 million,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year ended December 31, 2025, RGC earned base management fees at a rate of 1.50% per annum, amounting to $15.7 million. During the quarter ended September 30, 2025, the Company’s average daily gross assets temporarily declined below $1.0 billion, which resulted in an increase to the quarterly base management fee rate from 0.375% to 0.40%. With the approval of RGC’s Board of Managers, RGC voluntarily waived the incremental base management fee otherwise payable for that period. The waiver was not subject to recoupment and did not amend the terms of the Advisory Agreement. The total base management fees waived for the quarter ended December 31, 2025 were approximately $253.8 thousand. For the year ended December 31, 2024, RGC earned base management fees at a rate of 1.50% per annum, amounting to $15.7 million. For the year ended December 31, 2023, RGC earned base management fees at a rate of 1.50% per annum, amounting to $16.7 million. As the Company pays management fees at the beginning of each respective quarter, there were no management fees payable as of December 31, 2025 and December 31, 2024.</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Incentive Fee</w:t>
      </w:r>
    </w:p>
    <w:p>
      <w:pPr>
        <w:pStyle w:val="TextBody"/>
        <w:bidi w:val="0"/>
        <w:jc w:val="both"/>
        <w:rPr>
          <w:rFonts w:ascii="Times New Roman" w:hAnsi="Times New Roman"/>
          <w:color w:val="000000"/>
          <w:sz w:val="20"/>
        </w:rPr>
      </w:pPr>
      <w:r>
        <w:rPr>
          <w:rFonts w:ascii="Times New Roman" w:hAnsi="Times New Roman"/>
          <w:color w:val="000000"/>
          <w:sz w:val="20"/>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investment-income component (the "Income Incentive Fee"), the Company pays RGC each quarter an incentive fee with respect to the Company’s pre-incentive fee net investment income ("Pre-Incentive Fee NII"). The Income Incentive Fee is calculated and payable quarterly in arrears based on the Pre-Incentive Fee NII for the immediately preceding fiscal quarter. Payments based on Pre-Incentive Fee NII will be based on the Pre-Incentive Fee NII earned for the quarter. For this purpose, Pre-Incentive Fee NII means interest income, dividend income and any other income (including any other fees, such as commitment, origination, structuring, diligence, managerial and consulting fees or other fees that the Company receives from portfolio companies) accrued by the Company during the fiscal quarter, minus the Company’s operating expenses for the quarter (including the base management fee, expenses payable under the amended and restated administration agreement with the Administrator, and any dividends paid on any issued and outstanding preferred stock/units, but excluding the incentive fee). Pre-Incentive Fee NII includes, in the case of investments with a deferred interest feature (such as OID and ETP accretion, debt instruments with PIK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NII does not include any realized or unrealized capital gains (losses).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Pre-Incentive Fee NII,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NII in each calendar quarter as follows: (1) no Income Incentive Fee in any calendar quarter in which the Company’s Pre-Incentive Fee NII does not exceed the hurdle rate of 2.0%; (2) 80% of the Company’s Pre-Incentive Fee NII with respect to that portion of such Pre-Incentive Fee NII, if any, that exceeds the hurdle rate but is less than 2.667% in any calendar quarter (10.668% annualized) (the portion of the Company’s Pre-Incentive Fee NII that exceeds the hurdle but is less than 2.667% is referred to as the "catch-up"; the "catch-up" is meant to provide RGC with 20.0% of the Company’s Pre-Incentive Fee NII as if a hurdle did not apply if the Company’s Pre-Incentive Fee NII exceeds 2.667% in any calendar quarter (10.668% annualized)); and (3) 20.0% of the amount of the Company’s Pre-Incentive Fee NII, if any, that exceeds 2.667% in any calendar quarter (10.668% annualized) payable to RGC (once the hurdle is reached and the catch-up is achieved, 20.0% of all Pre-Incentive Fee NII thereafter is allocated to RGC).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losses through the end of such year, less the aggregate amount of any previously paid Capital Gains Fee. For the foregoing purpose, the Company’s "aggregate cumulative realized capital gains" will not include any unrealized gains. If such amount is negative, then no Capital Gains Fee will be payable for such year.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year ended December 31, 2025, RGC earned incentive fees of $14.5 million, $12.4 million of which was payable in cash, and $2.1 million was accrued and generated from deferred interest. For the year ended December 31, 2024, RGC earned incentive fees of $14.6 million, $13.6 million of which was payable in cash, and $1.0 million was accrued and generated from deferred interest. For the year ended December 31, 2023, RGC earned incentive fees of $19.0 million, $14.9 million of which was payable in cash, and $4.1 million was accrued and generated from deferred interest. All incentive fees accrued and generated from deferred interest (i.e., PIK and certain ETP accretion) are not payable until receipt of associated cash by the Company, at which time the incentive fees are recategorized from deferred incentive fees payable to cash incentive fees payable. All figures presented for the years ended December 31, 2025, December 31, 2024 and December 31, 2023 are net of such recategorizations during the respective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$2.2 million of incentive fees was payable in cash and $12.2 million was deferred incentive fees payable, both of which are included in "Incentive fees payable" on the Statements of Assets and Liabilities. As of December 31, 2024, $4.0 million of incentive fees payable was payable in cash, and $10.1 million was deferred incentive fees payable, both of which are included in "Incentive fees payable" on the Consolidated Statements of Assets and Liabilities.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capital gains incentive fee consists of fees related to realized gains and losses and unrealized capital losses. As of December 31, 2025, December 31, 2024 and December 31, 2023, there were no capital gains incentive fee accrued, earned or payable to RGC under the Advisory Agreement.</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Administration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reimburses the Administrator for the allocable portion of overhead expenses incurred by the Administrator in performing its obligations under the amended and restated administration agreement with the Administrator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the Company’s Chief Financial Officer, Chief Compliance Officer and their respective support staff, as well as any expenses paid by the Administrator on the Company's behalf.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year ended December 31, 2025, the Company incurred $2.6 million of Administration Agreement expenses, of which $0.7 million was a third-party administrator expense and $1.9 million was overhead allocation expense. For the year ended December 31, 2024, the Company incurred $2.0 million of Administration Agreement expenses, of which $0.7 million was a third-party administrator expense and $1.3 million was overhead allocation expense. For the year ended December 31, 2023, the Company incurred $2.1 million of Administration Agreement expenses, of which $0.8 million was a third-party administrator expense and $1.3 million was overhead allocation expense. All Administration Agreement expenses are recorded as "Administration Agreement expenses" on the Consolidated Statements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December 31, 2025, the Company had accrued a net payable to the Administrator of $0.6 million and a payable to the third-party administrator of $0.3 million. As of December 31, 2024, the Company had accrued a net payable to the Administrator of $0.3 million and a payable to the third-party administrator of $0.2 million. As of December 31, 2023, the Company had accrued a net payable to the Administrator of $0.4 million and a payable to the third-party administrator of $0.2 million. All payables related to the Administration Agreement are recorded within "Accrued expenses and other liabilities" on the Consolidated Statements of Assets and Liabilities.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so long as RGC or one of its affiliates remains the Company’s investment adviser. Other than with respect to this limited license, the Company has no legal right to the "Runway Growth Finance" name.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Runway-Cadma I LLC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2024, the Company entered into a joint venture agreement with Cadma to create and co-manage Runway-Cadma I LLC, also referred to as the JV. The JV entered into a senior secured revolving credit facility with Apollo Capital Management, L.P ("Apollo Credit Facility"), which provided the JV with a $40.0 million commitment, subject to borrowing base requirements. The Apollo Credit Facility is non-recourse to the Company and bears interest at three-month SOFR plus 4.15%. As of December 31, 2025, the JV has not drawn on the available commitment in the Apollo Credit Facility.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year ended December 31, 2025, the Company and Cadma each contributed $6.7 million of equity capital to the JV. During the year ended December 31, 2024, the Company and Cadma each contributed $5.6 million, respectively, of equity capital to the JV. The Company had no payables or receivables due between the Company and the JV as of December 31, 2025 and December 31, 2024, respectively.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As of December 31, 2025 and December 31, 2024 , the fair value of the Company's equity interest in the JV was $13.3 million and $5.7 million, respectively. As of December 31, 2025 and December 31, 2024, the JV had the following contributed capital and unfunded commitments from its members (in thousands):</w:t>
      </w:r>
    </w:p>
    <w:tbl>
      <w:tblPr>
        <w:tblW w:w="9129" w:type="dxa"/>
        <w:jc w:val="left"/>
        <w:tblInd w:w="0" w:type="dxa"/>
        <w:tblLayout w:type="fixed"/>
        <w:tblCellMar>
          <w:top w:w="28" w:type="dxa"/>
          <w:left w:w="28" w:type="dxa"/>
          <w:bottom w:w="28" w:type="dxa"/>
          <w:right w:w="28" w:type="dxa"/>
        </w:tblCellMar>
      </w:tblPr>
      <w:tblGrid>
        <w:gridCol w:w="4706"/>
        <w:gridCol w:w="399"/>
        <w:gridCol w:w="297"/>
        <w:gridCol w:w="1224"/>
        <w:gridCol w:w="146"/>
        <w:gridCol w:w="146"/>
        <w:gridCol w:w="399"/>
        <w:gridCol w:w="297"/>
        <w:gridCol w:w="1224"/>
        <w:gridCol w:w="291"/>
      </w:tblGrid>
      <w:tr>
        <w:trPr/>
        <w:tc>
          <w:tcPr>
            <w:tcW w:w="47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contributed capital by Runway Growth Finance Corp.</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contributed capital by all members</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unfunded commitments by Runway Growth Finance Corp.</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unfunded commitments by all members</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the JV had two debt investments with an aggregate fair value of $23.8 million and two warrant investments with an aggregate fair value of $0.2 million. As of December 31, 2024, the JV had one debt investment with a fair value of $10.2 million and one warrant investment with a fair value of $0.1 million.</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Relationship with Oaktree Capital Management, L.P. and OCM Growth Holdings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December 2016, the Company and RGC entered into a strategic relationship with Oaktree Capital Management, L.P. ("Oaktree"). In connection with the relationship, OCM Growth Holdings ("OCM Growth"), an affiliate of Oaktree, purchased an aggregate of 14,571,334 shares of the Company's common stock for an aggregate purchase price of $219.3 million in the Company's initial private offering and second private offering. As of December 31, 2025, OCM Growth owned 7,029,668 shares of the Company's common stock, or 19.5% of the Company's outstanding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or 2,763,810 shares. Catherine Frey serves on the Company’s Board of Directors as OCM Growth’s director nominee and is considered an independent director. Further, to the extent OCM Growth’s share ownership falls below one-third of its initial $125.0 million capital commitment under any circumstances, OCM Growth will no longer have the right to appoint a director nominee and will use reasonable efforts to cause such nominee to resign immediately (subject to his or her existing fiduciary duties).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4 – Investments</w:t>
      </w:r>
    </w:p>
    <w:p>
      <w:pPr>
        <w:pStyle w:val="Heading1"/>
        <w:bidi w:val="0"/>
        <w:spacing w:before="120" w:after="240"/>
        <w:jc w:val="left"/>
        <w:rPr>
          <w:rFonts w:ascii="Times New Roman" w:hAnsi="Times New Roman"/>
          <w:i/>
          <w:color w:val="000000"/>
          <w:sz w:val="20"/>
        </w:rPr>
      </w:pPr>
      <w:r>
        <w:rPr>
          <w:rFonts w:ascii="Times New Roman" w:hAnsi="Times New Roman"/>
          <w:i/>
          <w:color w:val="000000"/>
          <w:sz w:val="20"/>
        </w:rPr>
        <w:t>Control and Affiliate Investments</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50.0% representation on the investee company's board of directors.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Company’s affiliate and control investments as of December 31, 2025, along with the transactions during the year ended December 31, 2025, are as follows (in thousands): </w:t>
      </w:r>
    </w:p>
    <w:tbl>
      <w:tblPr>
        <w:tblW w:w="11144" w:type="dxa"/>
        <w:jc w:val="left"/>
        <w:tblInd w:w="0" w:type="dxa"/>
        <w:tblLayout w:type="fixed"/>
        <w:tblCellMar>
          <w:top w:w="28" w:type="dxa"/>
          <w:left w:w="28" w:type="dxa"/>
          <w:bottom w:w="28" w:type="dxa"/>
          <w:right w:w="28" w:type="dxa"/>
        </w:tblCellMar>
      </w:tblPr>
      <w:tblGrid>
        <w:gridCol w:w="293"/>
        <w:gridCol w:w="682"/>
        <w:gridCol w:w="534"/>
        <w:gridCol w:w="146"/>
        <w:gridCol w:w="931"/>
        <w:gridCol w:w="146"/>
        <w:gridCol w:w="245"/>
        <w:gridCol w:w="183"/>
        <w:gridCol w:w="473"/>
        <w:gridCol w:w="146"/>
        <w:gridCol w:w="146"/>
        <w:gridCol w:w="196"/>
        <w:gridCol w:w="146"/>
        <w:gridCol w:w="601"/>
        <w:gridCol w:w="146"/>
        <w:gridCol w:w="146"/>
        <w:gridCol w:w="196"/>
        <w:gridCol w:w="146"/>
        <w:gridCol w:w="511"/>
        <w:gridCol w:w="146"/>
        <w:gridCol w:w="146"/>
        <w:gridCol w:w="196"/>
        <w:gridCol w:w="146"/>
        <w:gridCol w:w="661"/>
        <w:gridCol w:w="166"/>
        <w:gridCol w:w="146"/>
        <w:gridCol w:w="196"/>
        <w:gridCol w:w="146"/>
        <w:gridCol w:w="511"/>
        <w:gridCol w:w="166"/>
        <w:gridCol w:w="146"/>
        <w:gridCol w:w="196"/>
        <w:gridCol w:w="146"/>
        <w:gridCol w:w="571"/>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1"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Income Earned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as of December </w:t>
              <w:br/>
              <w:t>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Additions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Reductions</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December 31, 2025</w:t>
            </w:r>
            <w:r>
              <w:rPr>
                <w:rFonts w:ascii="Times New Roman" w:hAnsi="Times New Roman"/>
                <w:b/>
                <w:color w:val="000000"/>
                <w:sz w:val="11"/>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 -</w:t>
              <w:b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 due 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pPr>
      <w:r>
        <w:rPr>
          <w:rFonts w:ascii="Times New Roman" w:hAnsi="Times New Roman"/>
          <w:color w:val="000000"/>
          <w:sz w:val="16"/>
        </w:rPr>
        <w:t>All affiliate and control investments, which as of December 31, 2025 represented 3.04%</w:t>
      </w:r>
      <w:r>
        <w:rPr>
          <w:color w:val="00000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Company’s affiliate and control investments as of December 31, 2024, along with the transactions during the year ended December 31, 2024, are as follows (in thousands):</w:t>
      </w:r>
    </w:p>
    <w:tbl>
      <w:tblPr>
        <w:tblW w:w="10930" w:type="dxa"/>
        <w:jc w:val="left"/>
        <w:tblInd w:w="0" w:type="dxa"/>
        <w:tblLayout w:type="fixed"/>
        <w:tblCellMar>
          <w:top w:w="28" w:type="dxa"/>
          <w:left w:w="28" w:type="dxa"/>
          <w:bottom w:w="28" w:type="dxa"/>
          <w:right w:w="28" w:type="dxa"/>
        </w:tblCellMar>
      </w:tblPr>
      <w:tblGrid>
        <w:gridCol w:w="293"/>
        <w:gridCol w:w="682"/>
        <w:gridCol w:w="534"/>
        <w:gridCol w:w="146"/>
        <w:gridCol w:w="931"/>
        <w:gridCol w:w="146"/>
        <w:gridCol w:w="207"/>
        <w:gridCol w:w="154"/>
        <w:gridCol w:w="540"/>
        <w:gridCol w:w="146"/>
        <w:gridCol w:w="146"/>
        <w:gridCol w:w="196"/>
        <w:gridCol w:w="146"/>
        <w:gridCol w:w="601"/>
        <w:gridCol w:w="146"/>
        <w:gridCol w:w="146"/>
        <w:gridCol w:w="196"/>
        <w:gridCol w:w="146"/>
        <w:gridCol w:w="511"/>
        <w:gridCol w:w="146"/>
        <w:gridCol w:w="146"/>
        <w:gridCol w:w="359"/>
        <w:gridCol w:w="267"/>
        <w:gridCol w:w="305"/>
        <w:gridCol w:w="146"/>
        <w:gridCol w:w="146"/>
        <w:gridCol w:w="278"/>
        <w:gridCol w:w="207"/>
        <w:gridCol w:w="236"/>
        <w:gridCol w:w="146"/>
        <w:gridCol w:w="146"/>
        <w:gridCol w:w="196"/>
        <w:gridCol w:w="146"/>
        <w:gridCol w:w="601"/>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7"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Income Earned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as of December </w:t>
              <w:br/>
              <w:t>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Additions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Reductions</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December 31, 2024</w:t>
            </w:r>
            <w:r>
              <w:rPr>
                <w:rFonts w:ascii="Times New Roman" w:hAnsi="Times New Roman"/>
                <w:b/>
                <w:color w:val="000000"/>
                <w:sz w:val="11"/>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 -</w:t>
              <w:b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 due 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sz w:val="20"/>
        </w:rPr>
      </w:pPr>
      <w:r>
        <w:rPr>
          <w:rFonts w:ascii="Times New Roman" w:hAnsi="Times New Roman"/>
          <w:color w:val="000000"/>
          <w:sz w:val="16"/>
        </w:rPr>
        <w:t>All affiliate and control investments, which as of December 31, 2024 represented 13.90%</w:t>
      </w:r>
      <w:r>
        <w:rPr>
          <w:rFonts w:ascii="Times New Roman" w:hAnsi="Times New Roman"/>
          <w:color w:val="000000"/>
          <w:sz w:val="2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Portfolio Composition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shows the fair value of the Company's portfolio of investments by geographic region as of December 31, 2025 and December 31, 2024 (in thousands):</w:t>
      </w:r>
    </w:p>
    <w:tbl>
      <w:tblPr>
        <w:tblW w:w="10205" w:type="dxa"/>
        <w:jc w:val="left"/>
        <w:tblInd w:w="0" w:type="dxa"/>
        <w:tblLayout w:type="fixed"/>
        <w:tblCellMar>
          <w:top w:w="28" w:type="dxa"/>
          <w:left w:w="28" w:type="dxa"/>
          <w:bottom w:w="28" w:type="dxa"/>
          <w:right w:w="28" w:type="dxa"/>
        </w:tblCellMar>
      </w:tblPr>
      <w:tblGrid>
        <w:gridCol w:w="1996"/>
        <w:gridCol w:w="146"/>
        <w:gridCol w:w="348"/>
        <w:gridCol w:w="259"/>
        <w:gridCol w:w="1231"/>
        <w:gridCol w:w="146"/>
        <w:gridCol w:w="146"/>
        <w:gridCol w:w="218"/>
        <w:gridCol w:w="899"/>
        <w:gridCol w:w="218"/>
        <w:gridCol w:w="450"/>
        <w:gridCol w:w="146"/>
        <w:gridCol w:w="311"/>
        <w:gridCol w:w="232"/>
        <w:gridCol w:w="1315"/>
        <w:gridCol w:w="146"/>
        <w:gridCol w:w="146"/>
        <w:gridCol w:w="201"/>
        <w:gridCol w:w="828"/>
        <w:gridCol w:w="201"/>
        <w:gridCol w:w="622"/>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0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Geographic Region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Western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Midwestern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Northwestern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 Central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Runway-Cadma I LLC</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982,534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191.23</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209.17</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40"/>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40"/>
        <w:jc w:val="both"/>
        <w:rPr>
          <w:rFonts w:ascii="Times New Roman" w:hAnsi="Times New Roman"/>
          <w:color w:val="000000"/>
          <w:sz w:val="16"/>
        </w:rPr>
      </w:pPr>
      <w:r>
        <w:rPr>
          <w:rFonts w:ascii="Times New Roman" w:hAnsi="Times New Roman"/>
          <w:color w:val="000000"/>
          <w:sz w:val="16"/>
        </w:rPr>
        <w:t>Runway-Cadma I LLC is a joint venture between the Company and Cadma. This entity invests in secured loans to growth-stage companies that have been originated by the Company. See "Note 2 – Summary of Significant Accounting Policies" for further discussion.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June 30, 2025, the Company transitioned from an internal industry classification system to the Global Industry Classification Standard ("GICS"). The following table shows the fair value of the Company's portfolio of investments by GICS industry as of December 31, 2025 (in thousands):</w:t>
      </w:r>
    </w:p>
    <w:tbl>
      <w:tblPr>
        <w:tblW w:w="7831" w:type="dxa"/>
        <w:jc w:val="left"/>
        <w:tblInd w:w="0" w:type="dxa"/>
        <w:tblLayout w:type="fixed"/>
        <w:tblCellMar>
          <w:top w:w="28" w:type="dxa"/>
          <w:left w:w="28" w:type="dxa"/>
          <w:bottom w:w="28" w:type="dxa"/>
          <w:right w:w="28" w:type="dxa"/>
        </w:tblCellMar>
      </w:tblPr>
      <w:tblGrid>
        <w:gridCol w:w="3481"/>
        <w:gridCol w:w="146"/>
        <w:gridCol w:w="375"/>
        <w:gridCol w:w="279"/>
        <w:gridCol w:w="1325"/>
        <w:gridCol w:w="146"/>
        <w:gridCol w:w="146"/>
        <w:gridCol w:w="239"/>
        <w:gridCol w:w="986"/>
        <w:gridCol w:w="239"/>
        <w:gridCol w:w="469"/>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46.74</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Equipment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Systems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17.31</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&amp;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 Distribution &amp;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&amp; Personal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 &amp;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Multi-Sector Holdings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Pharmaceuticals, Biotechnology &amp; Life 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191.23</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Multi-Sector Holdings includes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shows the fair value of the Company's portfolio of investments by industry as of December 31, 2024 (in thousands):</w:t>
      </w:r>
    </w:p>
    <w:tbl>
      <w:tblPr>
        <w:tblW w:w="7636" w:type="dxa"/>
        <w:jc w:val="left"/>
        <w:tblInd w:w="0" w:type="dxa"/>
        <w:tblLayout w:type="fixed"/>
        <w:tblCellMar>
          <w:top w:w="28" w:type="dxa"/>
          <w:left w:w="28" w:type="dxa"/>
          <w:bottom w:w="28" w:type="dxa"/>
          <w:right w:w="28" w:type="dxa"/>
        </w:tblCellMar>
      </w:tblPr>
      <w:tblGrid>
        <w:gridCol w:w="3286"/>
        <w:gridCol w:w="146"/>
        <w:gridCol w:w="332"/>
        <w:gridCol w:w="247"/>
        <w:gridCol w:w="1400"/>
        <w:gridCol w:w="146"/>
        <w:gridCol w:w="146"/>
        <w:gridCol w:w="239"/>
        <w:gridCol w:w="986"/>
        <w:gridCol w:w="239"/>
        <w:gridCol w:w="469"/>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45.35</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Internet Software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&amp; Outsourced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System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22.26</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&amp; Casualty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Internet &amp; Direct Marketing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Equipment &amp;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Multi-Sector Holdings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Storage &amp;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Specialized Consumer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Management &amp; Custody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Biotechnology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209.17</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4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Multi-Sector Holdings includes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jc w:val="both"/>
        <w:rPr>
          <w:rFonts w:ascii="Times New Roman" w:hAnsi="Times New Roman"/>
          <w:color w:val="000000"/>
          <w:sz w:val="20"/>
        </w:rPr>
      </w:pPr>
      <w:r>
        <w:rPr>
          <w:rFonts w:ascii="Times New Roman" w:hAnsi="Times New Roman"/>
          <w:color w:val="000000"/>
          <w:sz w:val="20"/>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Warrants provide exposure and potential gains upon increases in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Counterparty risk exists from the potential failure of an issuer of warrants to settle its exercised warrants. The maximum risk of loss from counterparty risk is the fair value of the contracts and the purchase price of the warrants. The Board of Directors considers the effects of counterparty risk when determining the fair value of its investments in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year ended December 31, 2025, the Company had a net realized loss of $2.1 million and a net unrealized gain of $1.4 million from its investments in warrants. For the year ended December 31, 2024, the Company had a net realized gain of $1.6 million and a net unrealized loss of $2.6 million from its investments in warrants. For the year ended December 31, 2023, the Company had a net realized loss of $1.4 million and a net unrealized loss of $5.2 million from its investments in warrants. Realized gains and losses from warrants are included in the respective control, affiliate, or non-control/non-affiliate "Net realized gain (loss)" on the Consolidated Statements of Operations. Unrealized gains and losses from investments in warrants are included in the respective control, affiliate, or non-control/non-affiliate "Net change in unrealized gain (loss)" on the Consolidated Statements of Operations.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shows the Company's outstanding foreign currency forward contracts as of and for the year ended December 31, 2025 (in thousands):</w:t>
      </w:r>
    </w:p>
    <w:tbl>
      <w:tblPr>
        <w:tblW w:w="10205" w:type="dxa"/>
        <w:jc w:val="left"/>
        <w:tblInd w:w="0" w:type="dxa"/>
        <w:tblLayout w:type="fixed"/>
        <w:tblCellMar>
          <w:top w:w="28" w:type="dxa"/>
          <w:left w:w="28" w:type="dxa"/>
          <w:bottom w:w="28" w:type="dxa"/>
          <w:right w:w="28" w:type="dxa"/>
        </w:tblCellMar>
      </w:tblPr>
      <w:tblGrid>
        <w:gridCol w:w="1476"/>
        <w:gridCol w:w="146"/>
        <w:gridCol w:w="1950"/>
        <w:gridCol w:w="146"/>
        <w:gridCol w:w="962"/>
        <w:gridCol w:w="146"/>
        <w:gridCol w:w="307"/>
        <w:gridCol w:w="1265"/>
        <w:gridCol w:w="146"/>
        <w:gridCol w:w="146"/>
        <w:gridCol w:w="360"/>
        <w:gridCol w:w="1486"/>
        <w:gridCol w:w="146"/>
        <w:gridCol w:w="196"/>
        <w:gridCol w:w="278"/>
        <w:gridCol w:w="833"/>
        <w:gridCol w:w="216"/>
      </w:tblGrid>
      <w:tr>
        <w:trPr/>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Sold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Purchased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Gain </w:t>
              <w:br/>
              <w:t>(Loss)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British Pound Sterling (GBP)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5/14/2026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Heading1"/>
        <w:bidi w:val="0"/>
        <w:spacing w:before="240" w:after="240"/>
        <w:jc w:val="left"/>
        <w:rPr>
          <w:rFonts w:ascii="Times New Roman" w:hAnsi="Times New Roman"/>
          <w:b w:val="false"/>
          <w:color w:val="000000"/>
          <w:sz w:val="20"/>
        </w:rPr>
      </w:pPr>
      <w:r>
        <w:rPr>
          <w:rFonts w:ascii="Times New Roman" w:hAnsi="Times New Roman"/>
          <w:b w:val="false"/>
          <w:color w:val="000000"/>
          <w:sz w:val="20"/>
        </w:rPr>
        <w:t>There were no foreign currency forward contracts as of December 31, 2024.</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Offsetting of Derivative Instruments</w:t>
      </w:r>
    </w:p>
    <w:p>
      <w:pPr>
        <w:pStyle w:val="Heading1"/>
        <w:bidi w:val="0"/>
        <w:spacing w:before="120" w:after="240"/>
        <w:jc w:val="left"/>
        <w:rPr>
          <w:rFonts w:ascii="Times New Roman" w:hAnsi="Times New Roman"/>
          <w:b w:val="false"/>
          <w:color w:val="000000"/>
          <w:sz w:val="20"/>
        </w:rPr>
      </w:pPr>
      <w:r>
        <w:rPr>
          <w:rFonts w:ascii="Times New Roman" w:hAnsi="Times New Roman"/>
          <w:b w:val="false"/>
          <w:color w:val="000000"/>
          <w:sz w:val="20"/>
        </w:rPr>
        <w:t>The Company has derivative instruments that are subject to master netting agreements. These agreements include provisions to offset positions with the same counterparty in the event of default by either party. The Company’s unrealized loss on derivative instruments is reported as "Foreign currency forward contracts" on the Consolidated Statements of Assets and Liabilities. The following table presents the Company’s liabilities related to derivatives by counterparty, net of amounts available for offset under a master netting arrangement and net of any collateral received or pledged by the Company for such assets and liabilities as of December 31, 2025:</w:t>
      </w:r>
    </w:p>
    <w:tbl>
      <w:tblPr>
        <w:tblW w:w="10205" w:type="dxa"/>
        <w:jc w:val="left"/>
        <w:tblInd w:w="0" w:type="dxa"/>
        <w:tblLayout w:type="fixed"/>
        <w:tblCellMar>
          <w:top w:w="28" w:type="dxa"/>
          <w:left w:w="28" w:type="dxa"/>
          <w:bottom w:w="28" w:type="dxa"/>
          <w:right w:w="28" w:type="dxa"/>
        </w:tblCellMar>
      </w:tblPr>
      <w:tblGrid>
        <w:gridCol w:w="1663"/>
        <w:gridCol w:w="146"/>
        <w:gridCol w:w="507"/>
        <w:gridCol w:w="379"/>
        <w:gridCol w:w="1137"/>
        <w:gridCol w:w="166"/>
        <w:gridCol w:w="146"/>
        <w:gridCol w:w="455"/>
        <w:gridCol w:w="339"/>
        <w:gridCol w:w="387"/>
        <w:gridCol w:w="146"/>
        <w:gridCol w:w="146"/>
        <w:gridCol w:w="400"/>
        <w:gridCol w:w="297"/>
        <w:gridCol w:w="340"/>
        <w:gridCol w:w="146"/>
        <w:gridCol w:w="146"/>
        <w:gridCol w:w="450"/>
        <w:gridCol w:w="335"/>
        <w:gridCol w:w="383"/>
        <w:gridCol w:w="146"/>
        <w:gridCol w:w="146"/>
        <w:gridCol w:w="397"/>
        <w:gridCol w:w="295"/>
        <w:gridCol w:w="887"/>
        <w:gridCol w:w="220"/>
      </w:tblGrid>
      <w:tr>
        <w:trPr/>
        <w:tc>
          <w:tcPr>
            <w:tcW w:w="1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Liabilities Subject to Master Netting Agreement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Derivatives Available </w:t>
              <w:br/>
              <w:t>for Offset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Non-cash </w:t>
              <w:br/>
              <w:t>Collateral Pledged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Collateral Pledged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 Amount of Derivative Liabilities</w:t>
            </w:r>
            <w:r>
              <w:rPr>
                <w:rFonts w:ascii="Times New Roman" w:hAnsi="Times New Roman"/>
                <w:color w:val="000000"/>
                <w:sz w:val="16"/>
              </w:rPr>
              <w:t> </w:t>
            </w:r>
            <w:r>
              <w:rPr>
                <w:rFonts w:ascii="Times New Roman" w:hAnsi="Times New Roman"/>
                <w:b/>
                <w:color w:val="000000"/>
                <w:sz w:val="11"/>
              </w:rPr>
              <w:t>(1)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Net amount of derivative liabilities represents the net amount due from the Company to the counterparty.</w:t>
      </w:r>
    </w:p>
    <w:p>
      <w:pPr>
        <w:pStyle w:val="Heading1"/>
        <w:bidi w:val="0"/>
        <w:spacing w:before="240" w:after="240"/>
        <w:jc w:val="left"/>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liabilities related to derivatives available for offset as of December 31, 2024.</w:t>
      </w:r>
      <w:r>
        <w:rPr>
          <w:rFonts w:ascii="Times New Roman" w:hAnsi="Times New Roman"/>
          <w:color w:val="000000"/>
          <w:sz w:val="20"/>
        </w:rPr>
        <w:t xml:space="preserve">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left"/>
        <w:rPr/>
      </w:pPr>
      <w:r>
        <w:rPr/>
        <w:t> </w:t>
      </w:r>
    </w:p>
    <w:p>
      <w:pPr>
        <w:pStyle w:val="TextBody"/>
        <w:bidi w:val="0"/>
        <w:jc w:val="both"/>
        <w:rPr/>
      </w:pPr>
      <w:r>
        <w:rPr/>
        <w:t> </w:t>
      </w:r>
    </w:p>
    <w:p>
      <w:pPr>
        <w:pStyle w:val="TextBody"/>
        <w:bidi w:val="0"/>
        <w:spacing w:before="0" w:after="240"/>
        <w:jc w:val="both"/>
        <w:rPr/>
      </w:pPr>
      <w:r>
        <w:rPr/>
        <w:t> </w:t>
      </w:r>
    </w:p>
    <w:p>
      <w:pPr>
        <w:pStyle w:val="Heading1"/>
        <w:bidi w:val="0"/>
        <w:spacing w:before="120" w:after="240"/>
        <w:jc w:val="left"/>
        <w:rPr>
          <w:rFonts w:ascii="Times New Roman" w:hAnsi="Times New Roman"/>
          <w:color w:val="000000"/>
          <w:sz w:val="20"/>
        </w:rPr>
      </w:pPr>
      <w:r>
        <w:rPr>
          <w:rFonts w:ascii="Times New Roman" w:hAnsi="Times New Roman"/>
          <w:color w:val="000000"/>
          <w:sz w:val="20"/>
        </w:rPr>
        <w:t>Note 5 – Fair Value of Financial Instruments</w:t>
      </w:r>
    </w:p>
    <w:p>
      <w:pPr>
        <w:pStyle w:val="TextBody"/>
        <w:bidi w:val="0"/>
        <w:jc w:val="both"/>
        <w:rPr>
          <w:rFonts w:ascii="Times New Roman" w:hAnsi="Times New Roman"/>
          <w:color w:val="000000"/>
          <w:sz w:val="20"/>
        </w:rPr>
      </w:pPr>
      <w:r>
        <w:rPr>
          <w:rFonts w:ascii="Times New Roman" w:hAnsi="Times New Roman"/>
          <w:color w:val="000000"/>
          <w:sz w:val="20"/>
        </w:rPr>
        <w:t>The Company’s assets recorded at fair value have been categorized based upon a fair value hierarchy in accordance with ASC 820. Refer to "Note 2 – Summary of Significant Accounting Policies" for a discussion of the Company’s policies.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Investments measured at fair value on a recurring basis are categorized in the tables below based upon the lowest level of significant input to the valuations as of December 31, 2025 and 2024 (in thousands):</w:t>
      </w:r>
    </w:p>
    <w:tbl>
      <w:tblPr>
        <w:tblW w:w="10205" w:type="dxa"/>
        <w:jc w:val="left"/>
        <w:tblInd w:w="0" w:type="dxa"/>
        <w:tblLayout w:type="fixed"/>
        <w:tblCellMar>
          <w:top w:w="28" w:type="dxa"/>
          <w:left w:w="28" w:type="dxa"/>
          <w:bottom w:w="28" w:type="dxa"/>
          <w:right w:w="28" w:type="dxa"/>
        </w:tblCellMar>
      </w:tblPr>
      <w:tblGrid>
        <w:gridCol w:w="2272"/>
        <w:gridCol w:w="146"/>
        <w:gridCol w:w="196"/>
        <w:gridCol w:w="146"/>
        <w:gridCol w:w="601"/>
        <w:gridCol w:w="146"/>
        <w:gridCol w:w="146"/>
        <w:gridCol w:w="256"/>
        <w:gridCol w:w="146"/>
        <w:gridCol w:w="436"/>
        <w:gridCol w:w="166"/>
        <w:gridCol w:w="146"/>
        <w:gridCol w:w="256"/>
        <w:gridCol w:w="146"/>
        <w:gridCol w:w="826"/>
        <w:gridCol w:w="146"/>
        <w:gridCol w:w="146"/>
        <w:gridCol w:w="472"/>
        <w:gridCol w:w="269"/>
        <w:gridCol w:w="1109"/>
        <w:gridCol w:w="146"/>
        <w:gridCol w:w="146"/>
        <w:gridCol w:w="256"/>
        <w:gridCol w:w="146"/>
        <w:gridCol w:w="826"/>
        <w:gridCol w:w="512"/>
      </w:tblGrid>
      <w:tr>
        <w:trPr/>
        <w:tc>
          <w:tcPr>
            <w:tcW w:w="2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Measured at Net Asset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Senior Secured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Second Lien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Preferred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Common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14,746</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16,005</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 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Forward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929,540</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Senior Secured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950,092</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Second Lien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Preferred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82,641</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Common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2,833</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14,182</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1,080,866</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accordance with ASC 820, the Company's equity investment in Runway-Cadma I LLC is measured using the net asset value as a practical expedient for fair value, and thus has not been classified in the fair value hierarchy.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transfers investments in and out of Levels 1, 2 and 3 as of the beginning balance sheet date, based on changes in the use of observable and unobservable inputs utilized to perform the valuation for the period. During the year ended December 31, 2025, the Company's preferred stock investment in CareCloud, Inc., valued at $9.2 million at the beginning of the reporting period, was reclassified from Level 1 to Level 3 due to delisting from the NASDAQ stock exchange. During the year ended December 31, 2024, the Company had warrant investments in portfolio companies that went public, resulting in asset transfers out of Level 3 and into Level 2 at the fair value of approximately $50 thousand.</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December 31, 2025 (in thousands):</w:t>
      </w:r>
    </w:p>
    <w:tbl>
      <w:tblPr>
        <w:tblW w:w="10339" w:type="dxa"/>
        <w:jc w:val="left"/>
        <w:tblInd w:w="0" w:type="dxa"/>
        <w:tblLayout w:type="fixed"/>
        <w:tblCellMar>
          <w:top w:w="28" w:type="dxa"/>
          <w:left w:w="28" w:type="dxa"/>
          <w:bottom w:w="28" w:type="dxa"/>
          <w:right w:w="28" w:type="dxa"/>
        </w:tblCellMar>
      </w:tblPr>
      <w:tblGrid>
        <w:gridCol w:w="1036"/>
        <w:gridCol w:w="196"/>
        <w:gridCol w:w="751"/>
        <w:gridCol w:w="146"/>
        <w:gridCol w:w="256"/>
        <w:gridCol w:w="661"/>
        <w:gridCol w:w="146"/>
        <w:gridCol w:w="256"/>
        <w:gridCol w:w="961"/>
        <w:gridCol w:w="146"/>
        <w:gridCol w:w="256"/>
        <w:gridCol w:w="811"/>
        <w:gridCol w:w="146"/>
        <w:gridCol w:w="256"/>
        <w:gridCol w:w="766"/>
        <w:gridCol w:w="146"/>
        <w:gridCol w:w="256"/>
        <w:gridCol w:w="661"/>
        <w:gridCol w:w="146"/>
        <w:gridCol w:w="256"/>
        <w:gridCol w:w="811"/>
        <w:gridCol w:w="146"/>
        <w:gridCol w:w="256"/>
        <w:gridCol w:w="871"/>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Second Lien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Preferred </w:t>
              <w:br/>
              <w:t>Stock/Units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w:t>
              <w:br/>
              <w:t>Stock/Units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1,058,670</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 (out) of Level 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9,181</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143,575</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15,654</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Sales or prepayments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(286,029)</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principal 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(11,608)</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 and ETP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5,294</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5,867</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(26,920)</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853,893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Net change in unrealized gain (loss) on Level 3 investments still held</w:t>
            </w:r>
            <w:r>
              <w:rPr>
                <w:rFonts w:ascii="Times New Roman" w:hAnsi="Times New Roman"/>
                <w:color w:val="000000"/>
                <w:sz w:val="20"/>
              </w:rPr>
              <w:t> </w:t>
            </w:r>
            <w:r>
              <w:rPr>
                <w:rFonts w:ascii="Times New Roman" w:hAnsi="Times New Roman"/>
                <w:color w:val="000000"/>
                <w:sz w:val="16"/>
              </w:rPr>
              <w:t>as of December 31, 2025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(17,565)</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Net of reorganization and restructuring of investments.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December 31, 2024 (in thousands):</w:t>
      </w:r>
    </w:p>
    <w:tbl>
      <w:tblPr>
        <w:tblW w:w="10294" w:type="dxa"/>
        <w:jc w:val="left"/>
        <w:tblInd w:w="0" w:type="dxa"/>
        <w:tblLayout w:type="fixed"/>
        <w:tblCellMar>
          <w:top w:w="28" w:type="dxa"/>
          <w:left w:w="28" w:type="dxa"/>
          <w:bottom w:w="28" w:type="dxa"/>
          <w:right w:w="28" w:type="dxa"/>
        </w:tblCellMar>
      </w:tblPr>
      <w:tblGrid>
        <w:gridCol w:w="1036"/>
        <w:gridCol w:w="196"/>
        <w:gridCol w:w="751"/>
        <w:gridCol w:w="146"/>
        <w:gridCol w:w="256"/>
        <w:gridCol w:w="616"/>
        <w:gridCol w:w="146"/>
        <w:gridCol w:w="256"/>
        <w:gridCol w:w="961"/>
        <w:gridCol w:w="146"/>
        <w:gridCol w:w="256"/>
        <w:gridCol w:w="811"/>
        <w:gridCol w:w="146"/>
        <w:gridCol w:w="256"/>
        <w:gridCol w:w="766"/>
        <w:gridCol w:w="146"/>
        <w:gridCol w:w="256"/>
        <w:gridCol w:w="661"/>
        <w:gridCol w:w="146"/>
        <w:gridCol w:w="256"/>
        <w:gridCol w:w="811"/>
        <w:gridCol w:w="146"/>
        <w:gridCol w:w="256"/>
        <w:gridCol w:w="871"/>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Second Lien </w:t>
              <w:br/>
              <w:t> 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Preferred </w:t>
              <w:br/>
              <w:t>Stock/Units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w:t>
              <w:br/>
              <w:t>Stock/Units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1,020,800</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 (out) of Level 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248,165</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12,265</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or prepayments of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(226,397)</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(4,780)</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 and ETP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6,793</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(2,939)</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4,814</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1,058,670</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Net change in unrealized gain (loss) on Level 3 investments still held</w:t>
            </w:r>
            <w:r>
              <w:rPr>
                <w:rFonts w:ascii="Times New Roman" w:hAnsi="Times New Roman"/>
                <w:color w:val="000000"/>
                <w:sz w:val="20"/>
              </w:rPr>
              <w:t> </w:t>
            </w:r>
            <w:r>
              <w:rPr>
                <w:rFonts w:ascii="Times New Roman" w:hAnsi="Times New Roman"/>
                <w:color w:val="000000"/>
                <w:sz w:val="16"/>
              </w:rPr>
              <w:t>as of December 31, 2024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4,724</w:t>
            </w:r>
          </w:p>
        </w:tc>
      </w:tr>
    </w:tbl>
    <w:p>
      <w:pPr>
        <w:pStyle w:val="TextBody"/>
        <w:bidi w:val="0"/>
        <w:jc w:val="both"/>
        <w:rPr/>
      </w:pPr>
      <w:r>
        <w:rPr/>
        <w:t> </w:t>
      </w:r>
    </w:p>
    <w:p>
      <w:pPr>
        <w:pStyle w:val="TextBody"/>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sz w:val="20"/>
        </w:rPr>
      </w:pPr>
      <w:r>
        <w:rPr>
          <w:rFonts w:ascii="Times New Roman" w:hAnsi="Times New Roman"/>
          <w:color w:val="000000"/>
          <w:sz w:val="16"/>
        </w:rPr>
        <w:t>Net of reorganization and restructuring of investments</w:t>
      </w:r>
      <w:r>
        <w:rPr>
          <w:rFonts w:ascii="Times New Roman" w:hAnsi="Times New Roman"/>
          <w:color w:val="000000"/>
          <w:sz w:val="20"/>
        </w:rPr>
        <w: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December 31, 2025 (in thousands):</w:t>
      </w:r>
    </w:p>
    <w:tbl>
      <w:tblPr>
        <w:tblW w:w="10122" w:type="dxa"/>
        <w:jc w:val="left"/>
        <w:tblInd w:w="0" w:type="dxa"/>
        <w:tblLayout w:type="fixed"/>
        <w:tblCellMar>
          <w:top w:w="28" w:type="dxa"/>
          <w:left w:w="28" w:type="dxa"/>
          <w:bottom w:w="28" w:type="dxa"/>
          <w:right w:w="28" w:type="dxa"/>
        </w:tblCellMar>
      </w:tblPr>
      <w:tblGrid>
        <w:gridCol w:w="1981"/>
        <w:gridCol w:w="146"/>
        <w:gridCol w:w="196"/>
        <w:gridCol w:w="146"/>
        <w:gridCol w:w="691"/>
        <w:gridCol w:w="146"/>
        <w:gridCol w:w="146"/>
        <w:gridCol w:w="2281"/>
        <w:gridCol w:w="146"/>
        <w:gridCol w:w="1966"/>
        <w:gridCol w:w="146"/>
        <w:gridCol w:w="213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 - 26.0% (14.6%)</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 - 19.1% (13.7%)</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0.77x - 8.27x (3.58x)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13.6% - 46.2% (25.4%)</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 - 29.9% (15.8%)</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0.28x - 121.39x (15.20x)</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20.5% - 20.5% (20.5%)</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18.4% - 18.4% (18.4%)</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2.88x - 2.88x (2.88x)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Current Value Method </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- 3.5% (3.5%)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 - 80.0% (58.1%)</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2.0 - 3.0 (2.7 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- 3.6% (3.5%)</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35.0% - 55.0% (46.2%)</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2.5</w:t>
            </w:r>
            <w:r>
              <w:rPr>
                <w:rFonts w:ascii="Times New Roman" w:hAnsi="Times New Roman"/>
                <w:color w:val="000000"/>
                <w:sz w:val="20"/>
              </w:rPr>
              <w:t> </w:t>
            </w:r>
            <w:r>
              <w:rPr>
                <w:rFonts w:ascii="Times New Roman" w:hAnsi="Times New Roman"/>
                <w:color w:val="000000"/>
                <w:sz w:val="16"/>
              </w:rPr>
              <w:t>- 3.7</w:t>
            </w:r>
            <w:r>
              <w:rPr>
                <w:rFonts w:ascii="Times New Roman" w:hAnsi="Times New Roman"/>
                <w:color w:val="000000"/>
                <w:sz w:val="20"/>
              </w:rPr>
              <w:t> </w:t>
            </w:r>
            <w:r>
              <w:rPr>
                <w:rFonts w:ascii="Times New Roman" w:hAnsi="Times New Roman"/>
                <w:color w:val="000000"/>
                <w:sz w:val="16"/>
              </w:rPr>
              <w:t>(2.7 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2.73x - 2.88x (2.73x)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- 3.5% (3.5%)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55.0% - 55.0% (55.0%)</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 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 - 3.6% (3.5%)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 - 90.0% (51.0%)</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0.5</w:t>
            </w:r>
            <w:r>
              <w:rPr>
                <w:rFonts w:ascii="Times New Roman" w:hAnsi="Times New Roman"/>
                <w:color w:val="000000"/>
                <w:sz w:val="20"/>
              </w:rPr>
              <w:t> </w:t>
            </w:r>
            <w:r>
              <w:rPr>
                <w:rFonts w:ascii="Times New Roman" w:hAnsi="Times New Roman"/>
                <w:color w:val="000000"/>
                <w:sz w:val="16"/>
              </w:rPr>
              <w:t>- 5.0</w:t>
            </w:r>
            <w:r>
              <w:rPr>
                <w:rFonts w:ascii="Times New Roman" w:hAnsi="Times New Roman"/>
                <w:color w:val="000000"/>
                <w:sz w:val="20"/>
              </w:rPr>
              <w:t> </w:t>
            </w:r>
            <w:r>
              <w:rPr>
                <w:rFonts w:ascii="Times New Roman" w:hAnsi="Times New Roman"/>
                <w:color w:val="000000"/>
                <w:sz w:val="16"/>
              </w:rPr>
              <w:t>(2.9</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2.08x - 121.39x (3.82x)</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Level 3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6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 ended December 31, 2025.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pStyle w:val="TextBody"/>
        <w:bidi w:val="0"/>
        <w:spacing w:before="60" w:after="283"/>
        <w:jc w:val="both"/>
        <w:rPr>
          <w:rFonts w:ascii="Times New Roman" w:hAnsi="Times New Roman"/>
          <w:color w:val="000000"/>
          <w:sz w:val="19"/>
        </w:rPr>
      </w:pPr>
      <w:r>
        <w:rPr>
          <w:rFonts w:ascii="Times New Roman" w:hAnsi="Times New Roman"/>
          <w:color w:val="000000"/>
          <w:sz w:val="19"/>
        </w:rPr>
        <w:t>(3)</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Warrant investments using a PWERM valuation technique contain success fees, in which case the inputs are not applicable because the nature of a success fee is a fixed payout dependent on certain liquidation events. </w:t>
      </w:r>
    </w:p>
    <w:p>
      <w:pPr>
        <w:pStyle w:val="TextBody"/>
        <w:bidi w:val="0"/>
        <w:spacing w:before="60" w:after="283"/>
        <w:jc w:val="both"/>
        <w:rPr>
          <w:rFonts w:ascii="Times New Roman" w:hAnsi="Times New Roman"/>
          <w:color w:val="000000"/>
          <w:sz w:val="19"/>
        </w:rPr>
      </w:pPr>
      <w:r>
        <w:rPr>
          <w:rFonts w:ascii="Times New Roman" w:hAnsi="Times New Roman"/>
          <w:color w:val="000000"/>
          <w:sz w:val="19"/>
        </w:rPr>
        <w:t>(4)</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Investment valued using a PWERM valuation technique and includes inputs that are based on scenario analysis specific to the asset recovery of such investment.</w:t>
      </w:r>
    </w:p>
    <w:p>
      <w:pPr>
        <w:pStyle w:val="TextBody"/>
        <w:bidi w:val="0"/>
        <w:spacing w:before="60" w:after="283"/>
        <w:jc w:val="both"/>
        <w:rPr>
          <w:rFonts w:ascii="Times New Roman" w:hAnsi="Times New Roman"/>
          <w:color w:val="000000"/>
          <w:sz w:val="19"/>
        </w:rPr>
      </w:pPr>
      <w:r>
        <w:rPr>
          <w:rFonts w:ascii="Times New Roman" w:hAnsi="Times New Roman"/>
          <w:color w:val="000000"/>
          <w:sz w:val="19"/>
        </w:rPr>
        <w:t>(5)</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Investment valued using the Current Value Method, which may include a Waterfall valuation technique or be based on the redemption value of preferred shares. In the case of the JobGet Holdings, Inc. valuation, the inputs applied are based on an option pricing model that was utilized to value the shares that JobGet Holdings, Inc. owns in JobGet, Inc. In the case of a redemption value technique, inputs may be utilized in order to calculate a DLOM.</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December 31, 2024 (in thousands):</w:t>
      </w:r>
    </w:p>
    <w:tbl>
      <w:tblPr>
        <w:tblW w:w="10205" w:type="dxa"/>
        <w:jc w:val="left"/>
        <w:tblInd w:w="0" w:type="dxa"/>
        <w:tblLayout w:type="fixed"/>
        <w:tblCellMar>
          <w:top w:w="28" w:type="dxa"/>
          <w:left w:w="28" w:type="dxa"/>
          <w:bottom w:w="28" w:type="dxa"/>
          <w:right w:w="28" w:type="dxa"/>
        </w:tblCellMar>
      </w:tblPr>
      <w:tblGrid>
        <w:gridCol w:w="1927"/>
        <w:gridCol w:w="146"/>
        <w:gridCol w:w="196"/>
        <w:gridCol w:w="146"/>
        <w:gridCol w:w="826"/>
        <w:gridCol w:w="146"/>
        <w:gridCol w:w="146"/>
        <w:gridCol w:w="2363"/>
        <w:gridCol w:w="146"/>
        <w:gridCol w:w="1919"/>
        <w:gridCol w:w="146"/>
        <w:gridCol w:w="2098"/>
      </w:tblGrid>
      <w:tr>
        <w:trPr/>
        <w:tc>
          <w:tcPr>
            <w:tcW w:w="1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1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Discounted Cash Flow Analysis </w:t>
            </w:r>
            <w:r>
              <w:rPr>
                <w:rFonts w:ascii="Times New Roman" w:hAnsi="Times New Roman"/>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 - 45.7% (15.6%)</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 - 29.9% (13.9%)</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0.28x - 15.25x (4.22x)</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 - 40.0% (40.0%)</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18.6% - 18.6% (18.6%)</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1.25x - 1.25x (1.25x)</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Waterfall Approach </w:t>
            </w:r>
            <w:r>
              <w:rPr>
                <w:rFonts w:ascii="Times New Roman" w:hAnsi="Times New Roman"/>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- 4.1% (4.1%)</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52.5% - 52.5% (52.5%)</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 years)</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3.75x - 3.75x (3.75x)</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Loans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18.6% - 19.2% (19.1%)</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 - 18.4% (14.5%)</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1.90x - 2.85x (2.17x)</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Waterfall Approach </w:t>
            </w:r>
            <w:r>
              <w:rPr>
                <w:rFonts w:ascii="Times New Roman" w:hAnsi="Times New Roman"/>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- 4.1% (4.1%)</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52.5% - 52.5% (52.5%)</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3.75x - 3.75x (3.75x)</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Option Pricing Model </w:t>
            </w: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- 4.1% (4.1%)</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45.0% - 62.5% (45.1%)</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- 4.7</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2.82x - 12.87x (12.76x)</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- 4.1% (4.1%)</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62.5% - 62.5% (62.5%)</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- 4.3% (4.1%)</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 - 110.0% (47.7%)</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w:t>
            </w:r>
            <w:r>
              <w:rPr>
                <w:rFonts w:ascii="Times New Roman" w:hAnsi="Times New Roman"/>
                <w:color w:val="000000"/>
                <w:sz w:val="20"/>
              </w:rPr>
              <w:t> </w:t>
            </w:r>
            <w:r>
              <w:rPr>
                <w:rFonts w:ascii="Times New Roman" w:hAnsi="Times New Roman"/>
                <w:color w:val="000000"/>
                <w:sz w:val="16"/>
              </w:rPr>
              <w:t>- 3.8</w:t>
            </w:r>
            <w:r>
              <w:rPr>
                <w:rFonts w:ascii="Times New Roman" w:hAnsi="Times New Roman"/>
                <w:color w:val="000000"/>
                <w:sz w:val="20"/>
              </w:rPr>
              <w:t> </w:t>
            </w:r>
            <w:r>
              <w:rPr>
                <w:rFonts w:ascii="Times New Roman" w:hAnsi="Times New Roman"/>
                <w:color w:val="000000"/>
                <w:sz w:val="16"/>
              </w:rPr>
              <w:t>(2.9 years)</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1.27x - 8.89x (3.41x)</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Waterfall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1.93x - 1.93x (1.93x)</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Level 3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60" w:after="283"/>
        <w:jc w:val="both"/>
        <w:rPr>
          <w:rFonts w:ascii="Times New Roman" w:hAnsi="Times New Roman"/>
          <w:color w:val="000000"/>
          <w:sz w:val="19"/>
        </w:rPr>
      </w:pPr>
      <w:r>
        <w:rPr>
          <w:rFonts w:ascii="Times New Roman" w:hAnsi="Times New Roman"/>
          <w:color w:val="000000"/>
          <w:sz w:val="19"/>
        </w:rPr>
        <w:t>(2)</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 ended December 31, 2024.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pStyle w:val="TextBody"/>
        <w:bidi w:val="0"/>
        <w:spacing w:before="60" w:after="283"/>
        <w:jc w:val="both"/>
        <w:rPr>
          <w:rFonts w:ascii="Times New Roman" w:hAnsi="Times New Roman"/>
          <w:color w:val="000000"/>
          <w:sz w:val="19"/>
        </w:rPr>
      </w:pPr>
      <w:r>
        <w:rPr>
          <w:rFonts w:ascii="Times New Roman" w:hAnsi="Times New Roman"/>
          <w:color w:val="000000"/>
          <w:sz w:val="19"/>
        </w:rPr>
        <w:t>(3)</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 xml:space="preserve">Warrant investments using a PWERM valuation technique contain success fees, in which case the inputs are not applicable because the nature of a success fee is a fixed payout dependent on certain liquidation events. </w:t>
      </w:r>
    </w:p>
    <w:p>
      <w:pPr>
        <w:pStyle w:val="TextBody"/>
        <w:bidi w:val="0"/>
        <w:spacing w:before="60" w:after="283"/>
        <w:jc w:val="both"/>
        <w:rPr>
          <w:rFonts w:ascii="Times New Roman" w:hAnsi="Times New Roman"/>
          <w:color w:val="000000"/>
          <w:sz w:val="19"/>
        </w:rPr>
      </w:pPr>
      <w:r>
        <w:rPr>
          <w:rFonts w:ascii="Times New Roman" w:hAnsi="Times New Roman"/>
          <w:color w:val="000000"/>
          <w:sz w:val="19"/>
        </w:rPr>
        <w:t>(4)</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Investment valued using a PWERM valuation technique and includes inputs that are based on scenario analysis specific to the asset recovery of such investment.</w:t>
      </w:r>
    </w:p>
    <w:p>
      <w:pPr>
        <w:pStyle w:val="TextBody"/>
        <w:bidi w:val="0"/>
        <w:spacing w:before="60" w:after="283"/>
        <w:jc w:val="both"/>
        <w:rPr>
          <w:rFonts w:ascii="Times New Roman" w:hAnsi="Times New Roman"/>
          <w:color w:val="000000"/>
          <w:sz w:val="19"/>
        </w:rPr>
      </w:pPr>
      <w:r>
        <w:rPr>
          <w:rFonts w:ascii="Times New Roman" w:hAnsi="Times New Roman"/>
          <w:color w:val="000000"/>
          <w:sz w:val="19"/>
        </w:rPr>
        <w:t>(5)</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Investment valued using a Waterfall valuation technique. The inputs utilized in the valuation are based on an option pricing model that was utilized to value the shares that JobGet Holdings, Inc. owns in JobGet, Inc.</w:t>
      </w:r>
    </w:p>
    <w:p>
      <w:pPr>
        <w:pStyle w:val="TextBody"/>
        <w:bidi w:val="0"/>
        <w:spacing w:before="60" w:after="283"/>
        <w:jc w:val="both"/>
        <w:rPr>
          <w:rFonts w:ascii="Times New Roman" w:hAnsi="Times New Roman"/>
          <w:color w:val="000000"/>
          <w:sz w:val="19"/>
        </w:rPr>
      </w:pPr>
      <w:r>
        <w:rPr>
          <w:rFonts w:ascii="Times New Roman" w:hAnsi="Times New Roman"/>
          <w:color w:val="000000"/>
          <w:sz w:val="19"/>
        </w:rPr>
        <w:t>(6)</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Includes Gynesonics, Inc., which was sold on January 2, 2025. As of December 31, 2024, the Company valued its investments in Gynesonics, Inc. at the expected sales proceeds from the acquisition.</w:t>
      </w:r>
    </w:p>
    <w:p>
      <w:pPr>
        <w:pStyle w:val="TextBody"/>
        <w:bidi w:val="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i/>
          <w:color w:val="000000"/>
          <w:sz w:val="20"/>
        </w:rPr>
      </w:pPr>
      <w:r>
        <w:rPr>
          <w:rFonts w:ascii="Times New Roman" w:hAnsi="Times New Roman"/>
          <w:i/>
          <w:color w:val="000000"/>
          <w:sz w:val="20"/>
        </w:rPr>
        <w:t>Fair Value of Financial Instruments Reported at Cost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records its debt at amortized cost on the Consolidated Statements of Assets and Liabilities. The fair value of the Company’s Credit Facility, April 2026 Notes, December 2026 Notes, August 2027 Notes, and April 2028 Notes (each defined in "Note 7 – Borrowings") are estimated using Level 3 inputs, which involves discounting the remaining payments based on comparable market rates for similar instruments as of the measurement date. The July 2027 Notes and December 2027 Notes are publicly traded on NASDAQ and are valued using Level 1 inputs, reflecting the most recent market prices of $25.24 and $25.24 per share as of December 31, 2025, respectively. As of December 31, 2024, the market prices were $24.88 and $25.10 per share,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provides additional information about the approximate fair value and level in the fair value hierarchy of the Company’s outstanding borrowings as of December 31, 2025 and December 31, 2024 (in thousands):</w:t>
      </w:r>
    </w:p>
    <w:tbl>
      <w:tblPr>
        <w:tblW w:w="7562" w:type="dxa"/>
        <w:jc w:val="left"/>
        <w:tblInd w:w="0" w:type="dxa"/>
        <w:tblLayout w:type="fixed"/>
        <w:tblCellMar>
          <w:top w:w="28" w:type="dxa"/>
          <w:left w:w="28" w:type="dxa"/>
          <w:bottom w:w="28" w:type="dxa"/>
          <w:right w:w="28" w:type="dxa"/>
        </w:tblCellMar>
      </w:tblPr>
      <w:tblGrid>
        <w:gridCol w:w="1265"/>
        <w:gridCol w:w="275"/>
        <w:gridCol w:w="216"/>
        <w:gridCol w:w="174"/>
        <w:gridCol w:w="719"/>
        <w:gridCol w:w="146"/>
        <w:gridCol w:w="146"/>
        <w:gridCol w:w="181"/>
        <w:gridCol w:w="146"/>
        <w:gridCol w:w="601"/>
        <w:gridCol w:w="146"/>
        <w:gridCol w:w="146"/>
        <w:gridCol w:w="216"/>
        <w:gridCol w:w="174"/>
        <w:gridCol w:w="180"/>
        <w:gridCol w:w="146"/>
        <w:gridCol w:w="146"/>
        <w:gridCol w:w="181"/>
        <w:gridCol w:w="146"/>
        <w:gridCol w:w="601"/>
        <w:gridCol w:w="146"/>
        <w:gridCol w:w="146"/>
        <w:gridCol w:w="181"/>
        <w:gridCol w:w="146"/>
        <w:gridCol w:w="601"/>
        <w:gridCol w:w="391"/>
      </w:tblGrid>
      <w:tr>
        <w:trPr/>
        <w:tc>
          <w:tcPr>
            <w:tcW w:w="12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3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Hierarchy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71" w:type="dxa"/>
            <w:gridSpan w:val="2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 of December 31, 2025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Credit Facility</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179,962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April 2026 Notes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July 2027 Notes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December 2027 Notes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April 2028 Notes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93,848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6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5"/>
              </w:rPr>
            </w:pPr>
            <w:r>
              <w:rPr>
                <w:rFonts w:ascii="Times New Roman" w:hAnsi="Times New Roman"/>
                <w:b/>
                <w:color w:val="000000"/>
                <w:sz w:val="15"/>
              </w:rPr>
              <w:t>Total</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431,120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299,338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432,857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gridSpan w:val="2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 of December 31, 2024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Credit Facility</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321,785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April 2026 Notes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December 2026 Notes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July 2027 Notes</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80,114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August 2027 Notes</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4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5"/>
              </w:rPr>
            </w:pPr>
            <w:r>
              <w:rPr>
                <w:rFonts w:ascii="Times New Roman" w:hAnsi="Times New Roman"/>
                <w:color w:val="000000"/>
                <w:sz w:val="15"/>
              </w:rPr>
              <w:t>December 2027 Notes</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51,957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26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5"/>
              </w:rPr>
            </w:pPr>
            <w:r>
              <w:rPr>
                <w:rFonts w:ascii="Times New Roman" w:hAnsi="Times New Roman"/>
                <w:b/>
                <w:color w:val="000000"/>
                <w:sz w:val="15"/>
              </w:rPr>
              <w:t>Total</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432,967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565,038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6 – Concentration of Credit Risk</w:t>
      </w:r>
    </w:p>
    <w:p>
      <w:pPr>
        <w:pStyle w:val="TextBody"/>
        <w:bidi w:val="0"/>
        <w:jc w:val="both"/>
        <w:rPr>
          <w:rFonts w:ascii="Times New Roman" w:hAnsi="Times New Roman"/>
          <w:color w:val="000000"/>
          <w:sz w:val="20"/>
        </w:rPr>
      </w:pPr>
      <w:r>
        <w:rPr>
          <w:rFonts w:ascii="Times New Roman" w:hAnsi="Times New Roman"/>
          <w:color w:val="000000"/>
          <w:sz w:val="20"/>
        </w:rPr>
        <w:t xml:space="preserve">In the normal course of business, the Company maintains its cash balances at large, high credit-quality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Contingencies, and Off-Balance Sheet Arrangements" for a summary of the aggregate balance of unfunded commitments as of December 31, 2025. The Company predominantly collateralizes its investments by obtaining a first priority security interest in a portfolio company’s assets, which may include its intellectual property.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December 31, 2025 and December 31, 2024, the Company’s five largest debt investments in portfolio companies represented 29.7% and 28.8% respectively, of the total fair value of the Company’s debt investments in portfolio companies. As of December 31, 2025 and December 31, 2024, the Company had debt investments in 17 and 20 portfolio companies, respectively, that represented 5% or more of the Company’s net assets.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7 – Borrowings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shows the Company's borrowings as of December 31, 2025 and December 31, 2024 (in thousands):</w:t>
      </w:r>
    </w:p>
    <w:tbl>
      <w:tblPr>
        <w:tblW w:w="7994" w:type="dxa"/>
        <w:jc w:val="left"/>
        <w:tblInd w:w="0" w:type="dxa"/>
        <w:tblLayout w:type="fixed"/>
        <w:tblCellMar>
          <w:top w:w="28" w:type="dxa"/>
          <w:left w:w="28" w:type="dxa"/>
          <w:bottom w:w="28" w:type="dxa"/>
          <w:right w:w="28" w:type="dxa"/>
        </w:tblCellMar>
      </w:tblPr>
      <w:tblGrid>
        <w:gridCol w:w="1766"/>
        <w:gridCol w:w="146"/>
        <w:gridCol w:w="348"/>
        <w:gridCol w:w="198"/>
        <w:gridCol w:w="939"/>
        <w:gridCol w:w="146"/>
        <w:gridCol w:w="146"/>
        <w:gridCol w:w="256"/>
        <w:gridCol w:w="146"/>
        <w:gridCol w:w="691"/>
        <w:gridCol w:w="146"/>
        <w:gridCol w:w="146"/>
        <w:gridCol w:w="256"/>
        <w:gridCol w:w="146"/>
        <w:gridCol w:w="571"/>
        <w:gridCol w:w="166"/>
        <w:gridCol w:w="146"/>
        <w:gridCol w:w="291"/>
        <w:gridCol w:w="166"/>
        <w:gridCol w:w="787"/>
        <w:gridCol w:w="391"/>
      </w:tblGrid>
      <w:tr>
        <w:trPr/>
        <w:tc>
          <w:tcPr>
            <w:tcW w:w="1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Face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DFC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03" w:type="dxa"/>
            <w:gridSpan w:val="20"/>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431,120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3" w:type="dxa"/>
            <w:gridSpan w:val="20"/>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308,449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552,332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the years ended December 31, 2025, December 31, 2024 and December 31, 2023, the components of interest expense, amortization of deferred financing costs, unused fees on the Credit Facility (as defined below), and any other costs associated with the Company's borrowings were as follows (in thousands):</w:t>
      </w:r>
    </w:p>
    <w:tbl>
      <w:tblPr>
        <w:tblW w:w="10205" w:type="dxa"/>
        <w:jc w:val="left"/>
        <w:tblInd w:w="0" w:type="dxa"/>
        <w:tblLayout w:type="fixed"/>
        <w:tblCellMar>
          <w:top w:w="28" w:type="dxa"/>
          <w:left w:w="28" w:type="dxa"/>
          <w:bottom w:w="28" w:type="dxa"/>
          <w:right w:w="28" w:type="dxa"/>
        </w:tblCellMar>
      </w:tblPr>
      <w:tblGrid>
        <w:gridCol w:w="1632"/>
        <w:gridCol w:w="146"/>
        <w:gridCol w:w="232"/>
        <w:gridCol w:w="172"/>
        <w:gridCol w:w="712"/>
        <w:gridCol w:w="146"/>
        <w:gridCol w:w="146"/>
        <w:gridCol w:w="275"/>
        <w:gridCol w:w="205"/>
        <w:gridCol w:w="719"/>
        <w:gridCol w:w="146"/>
        <w:gridCol w:w="146"/>
        <w:gridCol w:w="280"/>
        <w:gridCol w:w="209"/>
        <w:gridCol w:w="733"/>
        <w:gridCol w:w="146"/>
        <w:gridCol w:w="146"/>
        <w:gridCol w:w="487"/>
        <w:gridCol w:w="363"/>
        <w:gridCol w:w="1495"/>
        <w:gridCol w:w="146"/>
        <w:gridCol w:w="146"/>
        <w:gridCol w:w="167"/>
        <w:gridCol w:w="586"/>
        <w:gridCol w:w="167"/>
        <w:gridCol w:w="457"/>
      </w:tblGrid>
      <w:tr>
        <w:trPr/>
        <w:tc>
          <w:tcPr>
            <w:tcW w:w="1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Amortization of </w:t>
              <w:br/>
              <w:t>DFC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Unused Facility and </w:t>
              <w:br/>
              <w:t>Other Fees</w:t>
            </w:r>
            <w:r>
              <w:rPr>
                <w:rFonts w:ascii="Times New Roman" w:hAnsi="Times New Roman"/>
                <w:color w:val="000000"/>
                <w:sz w:val="16"/>
              </w:rPr>
              <w: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Interest and Other Debt Financing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Cost of Debt</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2B333D"/>
          <w:sz w:val="20"/>
        </w:rPr>
      </w:pPr>
      <w:r>
        <w:rPr>
          <w:rFonts w:ascii="Times New Roman" w:hAnsi="Times New Roman"/>
          <w:color w:val="2B333D"/>
          <w:sz w:val="20"/>
        </w:rPr>
        <w:t>(1)</w:t>
      </w:r>
    </w:p>
    <w:p>
      <w:pPr>
        <w:pStyle w:val="TextBody"/>
        <w:bidi w:val="0"/>
        <w:spacing w:before="120" w:after="283"/>
        <w:jc w:val="both"/>
        <w:rPr>
          <w:rFonts w:ascii="Times New Roman" w:hAnsi="Times New Roman"/>
          <w:sz w:val="20"/>
        </w:rPr>
      </w:pPr>
      <w:r>
        <w:rPr>
          <w:rFonts w:ascii="Times New Roman" w:hAnsi="Times New Roman"/>
          <w:color w:val="2B333D"/>
          <w:sz w:val="16"/>
        </w:rPr>
        <w:t>Unused facility and other fees for the year ended December 31, 2024 include supplemental fees of 0.5</w:t>
      </w:r>
      <w:r>
        <w:rPr>
          <w:rFonts w:ascii="Times New Roman" w:hAnsi="Times New Roman"/>
          <w:color w:val="2B333D"/>
          <w:sz w:val="20"/>
        </w:rPr>
        <w:t xml:space="preserve"> </w:t>
      </w:r>
      <w:r>
        <w:rPr>
          <w:rFonts w:ascii="Times New Roman" w:hAnsi="Times New Roman"/>
          <w:color w:val="2B333D"/>
          <w:sz w:val="16"/>
        </w:rPr>
        <w:t>million, which were predominantly incurred in the first half of 2024</w:t>
      </w:r>
      <w:r>
        <w:rPr>
          <w:rFonts w:ascii="Times New Roman" w:hAnsi="Times New Roman"/>
          <w:color w:val="2B333D"/>
          <w:sz w:val="20"/>
        </w:rPr>
        <w:t xml:space="preserve"> </w:t>
      </w:r>
      <w:r>
        <w:rPr>
          <w:rFonts w:ascii="Times New Roman" w:hAnsi="Times New Roman"/>
          <w:color w:val="2B333D"/>
          <w:sz w:val="16"/>
        </w:rPr>
        <w:t>and were nonrecurring in nature.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Credit Facility</w:t>
      </w:r>
    </w:p>
    <w:p>
      <w:pPr>
        <w:pStyle w:val="TextBody"/>
        <w:bidi w:val="0"/>
        <w:jc w:val="both"/>
        <w:rPr>
          <w:rFonts w:ascii="Times New Roman" w:hAnsi="Times New Roman"/>
          <w:color w:val="000000"/>
          <w:sz w:val="20"/>
        </w:rPr>
      </w:pPr>
      <w:r>
        <w:rPr>
          <w:rFonts w:ascii="Times New Roman" w:hAnsi="Times New Roman"/>
          <w:color w:val="000000"/>
          <w:sz w:val="20"/>
        </w:rPr>
        <w:t>On April 20, 2022, the Company entered into an amended and restated credit agreement with KeyBank National Association, acting as administrative agent, CIBC Bank USA and MUFG Union Bank, N.A. as co-documentation agents, the guarantors party thereto and syndication agent and the other lenders party thereto, which initially provided the Company with a $225.0 million commitment, subject to borrowing base requirements (as amended, supplemented or otherwise modified from time to time, the "Credit Facility"). On March 18, 2025, the Company entered into a Sixth Amendment to the Credit Facility, which, among other things, (i) extended the maturity date and revolving period; (ii) permits future financing subsidiaries, and (iii) amended certain other terms of the Credit Facility, including without limitation loan eligibility criteria, the borrowing base calculation, and excess concentration measures.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As of December 31, 2025, the Company had $550.0 million in total commitments available under the Credit Facility. The availability period under the Credit Facility expires on March 18, 2028 and is followed by a one-year amortization period. The stated maturity date under the Credit Facility is March 18, 2029, unless extended.</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Borrowings under the Credit Facility bear interest on a per annum rate equal to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 For all periods presented, the Company was in compliance with all such covenants.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the years ended December 31, 2025 and December 31, 2024, the weighted average outstanding principal balance was $236.2 million and $259.1 million, respectively, and the weighted average effective interest rate was 7.42% and 8.35%, respectively.</w:t>
      </w:r>
    </w:p>
    <w:p>
      <w:pPr>
        <w:pStyle w:val="TextBody"/>
        <w:bidi w:val="0"/>
        <w:spacing w:before="240" w:after="160"/>
        <w:jc w:val="both"/>
        <w:rPr>
          <w:rFonts w:ascii="Times New Roman" w:hAnsi="Times New Roman"/>
          <w:b/>
          <w:i/>
          <w:color w:val="000000"/>
          <w:sz w:val="20"/>
        </w:rPr>
      </w:pPr>
      <w:r>
        <w:rPr>
          <w:rFonts w:ascii="Times New Roman" w:hAnsi="Times New Roman"/>
          <w:b/>
          <w:i/>
          <w:color w:val="000000"/>
          <w:sz w:val="20"/>
        </w:rPr>
        <w:t>2026 Notes</w:t>
      </w:r>
    </w:p>
    <w:p>
      <w:pPr>
        <w:pStyle w:val="TextBody"/>
        <w:bidi w:val="0"/>
        <w:jc w:val="both"/>
        <w:rPr>
          <w:rFonts w:ascii="Times New Roman" w:hAnsi="Times New Roman"/>
          <w:sz w:val="20"/>
        </w:rPr>
      </w:pPr>
      <w:r>
        <w:rPr>
          <w:rFonts w:ascii="Times New Roman" w:hAnsi="Times New Roman"/>
          <w:color w:val="000000"/>
          <w:sz w:val="20"/>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repaid in full by the Company on April 7, 2025 and are no longer outstanding.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April 2026 Notes are subject to a 1.00% increase in the interest rate in the event that, subject to certain exceptions, the April 2026 Notes cease to have an investment grade rating or receive an investment grade rating below the Investment Grade (as defined in the master note purchase agreement). The April 2026 Notes are general unsecured obligations of the Company that rank </w:t>
      </w:r>
      <w:r>
        <w:rPr>
          <w:rFonts w:ascii="Times New Roman" w:hAnsi="Times New Roman"/>
          <w:i/>
          <w:color w:val="000000"/>
          <w:sz w:val="20"/>
        </w:rPr>
        <w:t xml:space="preserve">pari passu </w:t>
      </w:r>
      <w:r>
        <w:rPr>
          <w:rFonts w:ascii="Times New Roman" w:hAnsi="Times New Roman"/>
          <w:color w:val="000000"/>
          <w:sz w:val="20"/>
        </w:rPr>
        <w:t>with all outstanding and future unsecured unsubordinated indebtedness issued by the Company.</w:t>
      </w:r>
    </w:p>
    <w:p>
      <w:pPr>
        <w:pStyle w:val="TextBody"/>
        <w:bidi w:val="0"/>
        <w:spacing w:before="240" w:after="200"/>
        <w:jc w:val="both"/>
        <w:rPr>
          <w:rFonts w:ascii="Times New Roman" w:hAnsi="Times New Roman"/>
          <w:i/>
          <w:color w:val="000000"/>
          <w:sz w:val="20"/>
        </w:rPr>
      </w:pPr>
      <w:r>
        <w:rPr>
          <w:rFonts w:ascii="Times New Roman" w:hAnsi="Times New Roman"/>
          <w:i/>
          <w:color w:val="000000"/>
          <w:sz w:val="20"/>
        </w:rPr>
        <w:t>December 2026 Notes</w:t>
      </w:r>
    </w:p>
    <w:p>
      <w:pPr>
        <w:pStyle w:val="TextBody"/>
        <w:bidi w:val="0"/>
        <w:jc w:val="both"/>
        <w:rPr>
          <w:rFonts w:ascii="Times New Roman" w:hAnsi="Times New Roman"/>
          <w:color w:val="000000"/>
          <w:sz w:val="20"/>
        </w:rPr>
      </w:pPr>
      <w:r>
        <w:rPr>
          <w:rFonts w:ascii="Times New Roman" w:hAnsi="Times New Roman"/>
          <w:color w:val="000000"/>
          <w:sz w:val="20"/>
        </w:rPr>
        <w:t>The December 2026 Notes bore an interest rate of 4.25% per year and were due on December 10, 2026, unless redeemed, purchased or prepaid prior to such date by the Company or its affiliates in accordance with their terms. The December 2026 Notes were repaid in full by the Company on April 7, 2025 and are no longer outstanding. Interest on the December 2026 Notes was due semiannually in arrears on June 10 and December 10 of each year.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Aggregate costs in connection with the December 2026 Notes issuance were $1.0 million, and were capitalized and deferred. As of December 31, 2024, deferred financing costs related to the December 2026 Notes were $0.4 million, of which $0.3 million were expensed during the year ended December 31, 2025 and $0.1 million were transferred to deferred financing costs of the April 2028 Notes, as defined below.</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00"/>
        <w:jc w:val="both"/>
        <w:rPr>
          <w:rFonts w:ascii="Times New Roman" w:hAnsi="Times New Roman"/>
          <w:i/>
          <w:color w:val="000000"/>
          <w:sz w:val="20"/>
        </w:rPr>
      </w:pPr>
      <w:r>
        <w:rPr>
          <w:rFonts w:ascii="Times New Roman" w:hAnsi="Times New Roman"/>
          <w:i/>
          <w:color w:val="000000"/>
          <w:sz w:val="20"/>
        </w:rPr>
        <w:t>April 2026 Notes</w:t>
      </w:r>
    </w:p>
    <w:p>
      <w:pPr>
        <w:pStyle w:val="TextBody"/>
        <w:bidi w:val="0"/>
        <w:jc w:val="both"/>
        <w:rPr>
          <w:rFonts w:ascii="Times New Roman" w:hAnsi="Times New Roman"/>
          <w:color w:val="000000"/>
          <w:sz w:val="20"/>
        </w:rPr>
      </w:pPr>
      <w:r>
        <w:rPr>
          <w:rFonts w:ascii="Times New Roman" w:hAnsi="Times New Roman"/>
          <w:color w:val="000000"/>
          <w:sz w:val="20"/>
        </w:rPr>
        <w:t>The April 2026 Notes bear an interest rate of 8.54% per year and are due on April 13, 2026, unless redeemed, purchased or prepaid prior to such date by the Company or its affiliates in accordance with their terms. Interest on the April 2026 Notes is due semiannually in arrears on April 13 and October 13 of each year.</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Aggregate costs in connection with the April 2026 Notes issuance were $0.4 million, and were capitalized and deferred. As of December 31, 2025 and December 31, 2024, deferred financing costs related to the April 2026 Notes were $38.4 thousand and $0.2 million, respectively. Refer to "Note 13 – Subsequent Events" for more information.</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2027 Notes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July 2027 Notes</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28, 2022, the Company issued and sold $80.5 million in aggregate principal amount of 7.50% interest-bearing unsecured Notes due July 28,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 </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w:t>
      </w:r>
    </w:p>
    <w:p>
      <w:pPr>
        <w:pStyle w:val="TextBody"/>
        <w:bidi w:val="0"/>
        <w:jc w:val="both"/>
        <w:rPr>
          <w:rFonts w:ascii="Times New Roman" w:hAnsi="Times New Roman"/>
          <w:color w:val="000000"/>
          <w:sz w:val="20"/>
        </w:rPr>
      </w:pPr>
      <w:r>
        <w:rPr>
          <w:rFonts w:ascii="Times New Roman" w:hAnsi="Times New Roman"/>
          <w:color w:val="000000"/>
          <w:sz w:val="20"/>
        </w:rPr>
        <w:t>Aggregate costs in connection with the July 2027 Notes issuance, including the underwriter’s discount and commissions, were $2.8 million, and were capitalized and deferred. As of December 31, 2025 and December 31, 2024, deferred financing costs related to the July 2027 Notes were $0.9 million and $1.4 million, respectively. Refer to "Note 13 – Subsequent Events" for more information.</w:t>
      </w:r>
    </w:p>
    <w:p>
      <w:pPr>
        <w:pStyle w:val="TextBody"/>
        <w:bidi w:val="0"/>
        <w:spacing w:before="360" w:after="240"/>
        <w:jc w:val="both"/>
        <w:rPr>
          <w:rFonts w:ascii="Times New Roman" w:hAnsi="Times New Roman"/>
          <w:i/>
          <w:color w:val="000000"/>
          <w:sz w:val="20"/>
        </w:rPr>
      </w:pPr>
      <w:r>
        <w:rPr>
          <w:rFonts w:ascii="Times New Roman" w:hAnsi="Times New Roman"/>
          <w:i/>
          <w:color w:val="000000"/>
          <w:sz w:val="20"/>
        </w:rPr>
        <w:t>August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31, 2022, the Company completed a private debt offering of $20.0 million in aggregate principal amount of 7.00% interest-bearing unsecured Series 2022A Senior Notes due 2027 (the "August 2027 Notes") to an institutional accredited investor (as defined in Regulation D under the Securities Act). The August 2027 Notes were due on August 31, 2027, unless redeemed, purchased or prepaid prior to such date by the Company or its affiliates in accordance with their terms. The August 2027 Notes were repaid in full by the Company on April 7, 2025 and are no longer outstanding.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August 2027 Notes was due semiannually in arrears on February 15 and August 15 of each year. The August 2027 Notes were general unsecured obligations of the Company that ranked </w:t>
      </w:r>
      <w:r>
        <w:rPr>
          <w:rFonts w:ascii="Times New Roman" w:hAnsi="Times New Roman"/>
          <w:i/>
          <w:color w:val="000000"/>
          <w:sz w:val="20"/>
        </w:rPr>
        <w:t xml:space="preserve">pari passu </w:t>
      </w:r>
      <w:r>
        <w:rPr>
          <w:rFonts w:ascii="Times New Roman" w:hAnsi="Times New Roman"/>
          <w:color w:val="000000"/>
          <w:sz w:val="20"/>
        </w:rPr>
        <w:t>with all outstanding and future unsecured unsubordinated indebtedness issued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Aggregate costs in connection with the August 2027 Notes issuance were $0.7 million, and were capitalized and deferred. As of December 31, 2024, deferred financing costs related to the August 2027 Notes were $0.4 million, which were fully expensed upon repayment of the notes. </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December 2027 Notes</w:t>
      </w:r>
    </w:p>
    <w:p>
      <w:pPr>
        <w:pStyle w:val="TextBody"/>
        <w:bidi w:val="0"/>
        <w:jc w:val="both"/>
        <w:rPr>
          <w:rFonts w:ascii="Times New Roman" w:hAnsi="Times New Roman"/>
          <w:color w:val="000000"/>
          <w:sz w:val="20"/>
        </w:rPr>
      </w:pPr>
      <w:r>
        <w:rPr>
          <w:rFonts w:ascii="Times New Roman" w:hAnsi="Times New Roman"/>
          <w:color w:val="000000"/>
          <w:sz w:val="20"/>
        </w:rPr>
        <w:t xml:space="preserve">On December 7, 2022, the Company issued and sold $51.75 million in aggregate principal amount of 8.00% interest-bearing unsecured Notes due December 28,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Interest on the December 2027 Notes will be due quarterly in arrears on March 1, June 1, September 1, and December 1 of each year. The December 2027 Notes may be redeemed in whole or in part at any time or from time to time at the Company's option on or after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w:t>
      </w:r>
    </w:p>
    <w:p>
      <w:pPr>
        <w:pStyle w:val="TextBody"/>
        <w:bidi w:val="0"/>
        <w:jc w:val="both"/>
        <w:rPr>
          <w:rFonts w:ascii="Times New Roman" w:hAnsi="Times New Roman"/>
          <w:color w:val="000000"/>
          <w:sz w:val="20"/>
        </w:rPr>
      </w:pPr>
      <w:r>
        <w:rPr>
          <w:rFonts w:ascii="Times New Roman" w:hAnsi="Times New Roman"/>
          <w:color w:val="000000"/>
          <w:sz w:val="20"/>
        </w:rPr>
        <w:t>Aggregate costs in connection with the December 2027 Notes issuance, including the underwriter's discount and commissions, were $1.9 million, and were capitalized and deferred. As of December 31, 2025 and December 31, 2024, deferred financing costs related to the December 2027 Notes were $0.7 million and $1.1 million, respectively. Refer to "Note 13 – Subsequent Events" for more information.</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2028 Notes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April 2028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April 7, 2025, the Company completed a private debt offering of $107.0 million in aggregate principal amount of 7.51% interest-bearing unsecured Series 2025A Senior Notes due 2028 (the "April 2028 Notes") to institutional accredited investors (as defined in Regulation D under the Securities Act). The April 2028 Notes are due on April 7, 2028, unless redeemed, purchased or prepaid prior to such date by the Company or its affiliates in accordance with their terms.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April 2028 Notes will be due semiannually in arrears on April 7 and October 7 of each year. The April 2028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all outstanding and future unsecured unsubordinated indebtedness issued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Aggregate costs in connection with the April 2028 Notes issuance were $0.4 million, and were capitalized and deferred. As of December 31, 2025, deferred financing costs related to the April 2028 Notes were $0.3 million.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160"/>
        <w:jc w:val="both"/>
        <w:rPr>
          <w:rFonts w:ascii="Times New Roman" w:hAnsi="Times New Roman"/>
          <w:i/>
          <w:color w:val="000000"/>
          <w:sz w:val="20"/>
        </w:rPr>
      </w:pPr>
      <w:r>
        <w:rPr>
          <w:rFonts w:ascii="Times New Roman" w:hAnsi="Times New Roman"/>
          <w:i/>
          <w:color w:val="000000"/>
          <w:sz w:val="20"/>
        </w:rPr>
        <w:t>Senior Securities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Information about the Company’s senior securities is shown in the following table for the fiscal years ended December 31, 2025, 2024, 2023, 2022, 2021, 2020, 2019 and 2018 (in thousands). No senior securities were outstanding for the fiscal years ended December 31, 2017 and prior.</w:t>
      </w:r>
    </w:p>
    <w:tbl>
      <w:tblPr>
        <w:tblW w:w="10205" w:type="dxa"/>
        <w:jc w:val="left"/>
        <w:tblInd w:w="0" w:type="dxa"/>
        <w:tblLayout w:type="fixed"/>
        <w:tblCellMar>
          <w:top w:w="28" w:type="dxa"/>
          <w:left w:w="28" w:type="dxa"/>
          <w:bottom w:w="28" w:type="dxa"/>
          <w:right w:w="28" w:type="dxa"/>
        </w:tblCellMar>
      </w:tblPr>
      <w:tblGrid>
        <w:gridCol w:w="1378"/>
        <w:gridCol w:w="146"/>
        <w:gridCol w:w="503"/>
        <w:gridCol w:w="375"/>
        <w:gridCol w:w="1775"/>
        <w:gridCol w:w="146"/>
        <w:gridCol w:w="146"/>
        <w:gridCol w:w="296"/>
        <w:gridCol w:w="221"/>
        <w:gridCol w:w="910"/>
        <w:gridCol w:w="146"/>
        <w:gridCol w:w="146"/>
        <w:gridCol w:w="674"/>
        <w:gridCol w:w="674"/>
        <w:gridCol w:w="768"/>
        <w:gridCol w:w="146"/>
        <w:gridCol w:w="146"/>
        <w:gridCol w:w="414"/>
        <w:gridCol w:w="1195"/>
      </w:tblGrid>
      <w:tr>
        <w:trPr/>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 and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Amount Outstanding Exclusive of Treasury Securities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Asset Coverage per Unit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Involuntary Liquidating Preference per Unit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Market Value per Unit</w:t>
            </w:r>
            <w:r>
              <w:rPr>
                <w:rFonts w:ascii="Times New Roman" w:hAnsi="Times New Roman"/>
                <w:b/>
                <w:color w:val="000000"/>
                <w:sz w:val="11"/>
              </w:rPr>
              <w:t>(4)</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Credit Facility - CIBC </w:t>
            </w:r>
            <w:r>
              <w:rPr>
                <w:rFonts w:ascii="Times New Roman" w:hAnsi="Times New Roman"/>
                <w:b/>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6"/>
              </w:rPr>
            </w:pPr>
            <w:r>
              <w:rPr>
                <w:rFonts w:ascii="Times New Roman" w:hAnsi="Times New Roman"/>
                <w:color w:val="000000"/>
                <w:sz w:val="16"/>
              </w:rPr>
              <w:t>N/A</w:t>
            </w:r>
          </w:p>
        </w:tc>
      </w:tr>
      <w:tr>
        <w:trPr/>
        <w:tc>
          <w:tcPr>
            <w:tcW w:w="13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31,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sz w:val="20"/>
        </w:rPr>
      </w:pPr>
      <w:r>
        <w:rPr>
          <w:rFonts w:ascii="Times New Roman" w:hAnsi="Times New Roman"/>
          <w:color w:val="000000"/>
          <w:sz w:val="16"/>
        </w:rPr>
        <w:t>Total amount of each class of senior securities outstanding at the end of the period presented</w:t>
      </w:r>
      <w:r>
        <w:rPr>
          <w:rFonts w:ascii="Times New Roman" w:hAnsi="Times New Roman"/>
          <w:color w:val="000000"/>
          <w:sz w:val="2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sz w:val="20"/>
        </w:rPr>
      </w:pPr>
      <w:r>
        <w:rPr>
          <w:rFonts w:ascii="Times New Roman" w:hAnsi="Times New Roman"/>
          <w:color w:val="000000"/>
          <w:sz w:val="20"/>
        </w:rPr>
        <w:t>A</w:t>
      </w:r>
      <w:r>
        <w:rPr>
          <w:rFonts w:ascii="Times New Roman" w:hAnsi="Times New Roman"/>
          <w:color w:val="000000"/>
          <w:sz w:val="16"/>
        </w:rPr>
        <w:t>sset coverage per unit is the ratio of the carrying value of total assets, less all liabilities excluding indebtedness represented by senior securities in this table to the aggregate amount of senior securities representing indebtedness. Asset coverage per unit is express in terms of dollar amounts per $1,000 of indebtedness and is calculated on a consolidated basis.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The amount to which such class of senior security would be entitled upon the Company’s involuntary liquidation in preference to any security junior to it. The " - " in this column indicates information that the SEC expressly does not require to be disclosed for certain types of senior securities.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Not applicable because the senior securities are not registered for public trading.</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both"/>
        <w:rPr>
          <w:rFonts w:ascii="Times New Roman" w:hAnsi="Times New Roman"/>
          <w:sz w:val="20"/>
        </w:rPr>
      </w:pPr>
      <w:r>
        <w:rPr>
          <w:rFonts w:ascii="Times New Roman" w:hAnsi="Times New Roman"/>
          <w:color w:val="000000"/>
          <w:sz w:val="16"/>
        </w:rPr>
        <w:t>On June 22, 2018, the Company entered into the Credit Facility with CIBC. On May 31, 2019, in conjunction with securing and entering into the new Credit Facility, the Company terminated the Credit Facility with CIBC</w:t>
      </w:r>
      <w:r>
        <w:rPr>
          <w:rFonts w:ascii="Times New Roman" w:hAnsi="Times New Roman"/>
          <w:color w:val="000000"/>
          <w:sz w:val="20"/>
        </w:rPr>
        <w:t>.</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8 – Commitments, Contingencies, and Off-Balance Sheet Arrangements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provides the Company’s contractual obligations as of December 31, 2025 and December 31, 2024 (in thousands):</w:t>
      </w:r>
    </w:p>
    <w:tbl>
      <w:tblPr>
        <w:tblW w:w="10205" w:type="dxa"/>
        <w:jc w:val="left"/>
        <w:tblInd w:w="0" w:type="dxa"/>
        <w:tblLayout w:type="fixed"/>
        <w:tblCellMar>
          <w:top w:w="28" w:type="dxa"/>
          <w:left w:w="28" w:type="dxa"/>
          <w:bottom w:w="28" w:type="dxa"/>
          <w:right w:w="28" w:type="dxa"/>
        </w:tblCellMar>
      </w:tblPr>
      <w:tblGrid>
        <w:gridCol w:w="2502"/>
        <w:gridCol w:w="146"/>
        <w:gridCol w:w="322"/>
        <w:gridCol w:w="183"/>
        <w:gridCol w:w="757"/>
        <w:gridCol w:w="166"/>
        <w:gridCol w:w="146"/>
        <w:gridCol w:w="256"/>
        <w:gridCol w:w="146"/>
        <w:gridCol w:w="691"/>
        <w:gridCol w:w="146"/>
        <w:gridCol w:w="146"/>
        <w:gridCol w:w="256"/>
        <w:gridCol w:w="146"/>
        <w:gridCol w:w="691"/>
        <w:gridCol w:w="146"/>
        <w:gridCol w:w="146"/>
        <w:gridCol w:w="496"/>
        <w:gridCol w:w="283"/>
        <w:gridCol w:w="554"/>
        <w:gridCol w:w="146"/>
        <w:gridCol w:w="146"/>
        <w:gridCol w:w="256"/>
        <w:gridCol w:w="146"/>
        <w:gridCol w:w="691"/>
        <w:gridCol w:w="495"/>
      </w:tblGrid>
      <w:tr>
        <w:trPr/>
        <w:tc>
          <w:tcPr>
            <w:tcW w:w="2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2"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Payments Due by Period </w:t>
            </w:r>
            <w:r>
              <w:rPr>
                <w:rFonts w:ascii="Times New Roman" w:hAnsi="Times New Roman"/>
                <w:b/>
                <w:color w:val="000000"/>
                <w:sz w:val="11"/>
              </w:rPr>
              <w:t>(1)</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437,250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Incentive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12,249</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Currency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448,788</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311,000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558,250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Incentive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10,116</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568,366</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Excludes interest payable on borrowings, accrued expenses, and commitments to extend credit to the Company’s portfolio companies.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w:t>
      </w:r>
    </w:p>
    <w:p>
      <w:pPr>
        <w:pStyle w:val="TextBody"/>
        <w:bidi w:val="0"/>
        <w:jc w:val="both"/>
        <w:rPr>
          <w:rFonts w:ascii="Times New Roman" w:hAnsi="Times New Roman"/>
          <w:color w:val="000000"/>
          <w:sz w:val="16"/>
        </w:rPr>
      </w:pPr>
      <w:r>
        <w:rPr>
          <w:rFonts w:ascii="Times New Roman" w:hAnsi="Times New Roman"/>
          <w:color w:val="000000"/>
          <w:sz w:val="16"/>
        </w:rPr>
        <w:t>Amounts represent future principal repayments and not the carrying value of each liability (refer to "Note 7 – Borrowings").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jc w:val="both"/>
        <w:rPr>
          <w:rFonts w:ascii="Times New Roman" w:hAnsi="Times New Roman"/>
          <w:color w:val="000000"/>
          <w:sz w:val="20"/>
        </w:rPr>
      </w:pPr>
      <w:r>
        <w:rPr>
          <w:rFonts w:ascii="Times New Roman" w:hAnsi="Times New Roman"/>
          <w:color w:val="000000"/>
          <w:sz w:val="20"/>
        </w:rPr>
        <w:t>The Company and RGC are not currently subject to any material legal proceedings, nor, to the Company's knowledge, is any material legal proceeding threatened against the Company or RGC. From time to time, the Company or RGC may be a party to certain legal proceedings in the ordinary course of business, including proceedings relating to the enforcement of their rights under contracts with its portfolio companies. The Company's business is also subject to extensive regulation, which may result in regulatory proceedings against it. While the outcome of any such legal proceedings cannot be predicted with certainty, the Company does not expect that any such proceedings will have a material effect upon its financial condition or results of operations.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jc w:val="both"/>
        <w:rPr>
          <w:rFonts w:ascii="Times New Roman" w:hAnsi="Times New Roman"/>
          <w:color w:val="000000"/>
          <w:sz w:val="20"/>
        </w:rPr>
      </w:pPr>
      <w:r>
        <w:rPr>
          <w:rFonts w:ascii="Times New Roman" w:hAnsi="Times New Roman"/>
          <w:color w:val="000000"/>
          <w:sz w:val="20"/>
        </w:rPr>
        <w:t xml:space="preserve">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the Consolidated Statements of Assets and Liabilities. With the exception of the JV, the availability of such unfunded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Company's unfunded commitments to provide debt and equity financing to its portfolio companies and Runway-Cadma I LLC amounted to $145.5 million and $176.7 million as of December 31, 2025 and December 31, 2024, respectively, shown in the table below (in thousands):</w:t>
      </w:r>
    </w:p>
    <w:tbl>
      <w:tblPr>
        <w:tblW w:w="9251" w:type="dxa"/>
        <w:jc w:val="left"/>
        <w:tblInd w:w="0" w:type="dxa"/>
        <w:tblLayout w:type="fixed"/>
        <w:tblCellMar>
          <w:top w:w="28" w:type="dxa"/>
          <w:left w:w="28" w:type="dxa"/>
          <w:bottom w:w="28" w:type="dxa"/>
          <w:right w:w="28" w:type="dxa"/>
        </w:tblCellMar>
      </w:tblPr>
      <w:tblGrid>
        <w:gridCol w:w="3496"/>
        <w:gridCol w:w="146"/>
        <w:gridCol w:w="1981"/>
        <w:gridCol w:w="146"/>
        <w:gridCol w:w="284"/>
        <w:gridCol w:w="212"/>
        <w:gridCol w:w="1004"/>
        <w:gridCol w:w="146"/>
        <w:gridCol w:w="146"/>
        <w:gridCol w:w="351"/>
        <w:gridCol w:w="200"/>
        <w:gridCol w:w="948"/>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Autobooks,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Digicert,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Shield Therapeutics PLC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unused commitments to extend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Company may also enter into foreign currency forward contracts to mitigate its exposure to foreign currency fluctuations associated with certain investments denominated in foreign currencies. While these contracts are recognized on the Consolidated Statements of Assets and Liabilities at fair value in accordance with ASC 815, they are also considered off-balance sheet arrangements because they may result in future cash payments or receipts that are not fully reflected in the financial statements as of December 31, 2025. As of December 31, 2025, the Company had outstanding forward currency contracts with a total notional amount of $28.9 million to purchase foreign currencies. For more information on the contracts and related maturities, refer to "Note 4 – Investments." There were no foreign currency forward contracts as of December 31, 2024.</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both"/>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9 – Net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has the authority to issue 100,000,000 shares of common stock, par value $0.01 per share. In October 2015, in connection with the Company's formation, the Company issued and sold 1,667 shares of common stock to R. David Spreng, the President and Chief Executive Officer of the Company, for an aggregate purchase price of $25 thousand. </w:t>
      </w:r>
    </w:p>
    <w:p>
      <w:pPr>
        <w:pStyle w:val="TextBody"/>
        <w:bidi w:val="0"/>
        <w:spacing w:before="0" w:after="200"/>
        <w:jc w:val="both"/>
        <w:rPr>
          <w:rFonts w:ascii="Times New Roman" w:hAnsi="Times New Roman"/>
          <w:b/>
          <w:i/>
          <w:color w:val="000000"/>
          <w:sz w:val="20"/>
        </w:rPr>
      </w:pPr>
      <w:r>
        <w:rPr>
          <w:rFonts w:ascii="Times New Roman" w:hAnsi="Times New Roman"/>
          <w:b/>
          <w:i/>
          <w:color w:val="000000"/>
          <w:sz w:val="20"/>
        </w:rPr>
        <w:t>Private Common Stock Offerings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Beginning October 15, 2019 and ending September 29, 2021, the Company completed multiple closings under its second private offering (the "Second Private Offering") and accepted aggregate capital commitments of $181.7 million. In connection with the Second Private Offering the Company issued 9,617,379 shares of its common stock for a total purchase price of $144.3 million. Concurrent with the IPO, all undrawn commitments under the Second Private Offering were cancelled. </w:t>
      </w:r>
    </w:p>
    <w:p>
      <w:pPr>
        <w:pStyle w:val="TextBody"/>
        <w:bidi w:val="0"/>
        <w:spacing w:before="40" w:after="240"/>
        <w:jc w:val="both"/>
        <w:rPr>
          <w:rFonts w:ascii="Times New Roman" w:hAnsi="Times New Roman"/>
          <w:color w:val="000000"/>
          <w:sz w:val="20"/>
        </w:rPr>
      </w:pPr>
      <w:r>
        <w:rPr>
          <w:rFonts w:ascii="Times New Roman" w:hAnsi="Times New Roman"/>
          <w:color w:val="000000"/>
          <w:sz w:val="20"/>
        </w:rPr>
        <w:t xml:space="preserve">On March 31, 2020 and March 24, 2021, the Company issued in aggregate 22,564 shares as an additional direct investment by Runway Growth Holdings LLC, an affiliate of RGC, at a per share price of $15.00 for total proceeds of $0.3 million in a private offering pursuant to an exemption from registration under Regulation D of the Securities Act.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NASDAQ on October 21, 2021 under the symbol "RWAY".</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Repurchase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February 24, 2022, the Board of Directors approved a share repurchase program (the "First Repurchase Program") under which the Company was authorized to repurchase up to $25.0 million of its outstanding common stock, at management’s discretion from time to time in open-market transactions and in accordance with all applicable securities laws and regulations. The Company repurchased 871,345 shares in connection with the First Repurchase Program for an aggregate purchase price of $10.8 million. The First Repurchase Program expired on February 24, 2023.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November 2, 2023, the Board of Directors approved a share repurchase program (the "Second Repurchase Program"), under which the Company was authorized to repurchase up to $25.0 million of its outstanding shares of common stock, at management’s discretion from time to time in open-market transactions and in accordance with all applicable securities laws and regulations. The Company repurchased 1,961,938 shares in connection with the Second Repurchase Program for an aggregate purchase price of $23.5 million. The Second Repurchase Program expired on November 2, 2024.</w:t>
      </w:r>
    </w:p>
    <w:p>
      <w:pPr>
        <w:pStyle w:val="TextBody"/>
        <w:bidi w:val="0"/>
        <w:jc w:val="both"/>
        <w:rPr>
          <w:rFonts w:ascii="Times New Roman" w:hAnsi="Times New Roman"/>
          <w:color w:val="000000"/>
          <w:sz w:val="20"/>
        </w:rPr>
      </w:pPr>
      <w:r>
        <w:rPr>
          <w:rFonts w:ascii="Times New Roman" w:hAnsi="Times New Roman"/>
          <w:color w:val="000000"/>
          <w:sz w:val="20"/>
        </w:rPr>
        <w:t>On July 30, 2024, the Board of Directors approved a share repurchase program (the "Third Repurchase Program"), under which the Company was authorized to repurchase up to $15.0 million of its outstanding shares of common stock, at management's discretion from time to time in open-market transactions and in accordance with all applicable securities laws and regulations. The Company repurchased 1,199,867 shares in connection with the Third Repurchase Program for an aggregate purchase price of $12.5 million, exhausting the full approved amount of repurchase under the program, and the Third Repurchase Program terminated in accordance with its terms.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May 7, 2025, the Board of Directors approved a share repurchase program (the "Fourth Repurchase Program"), under which the Company may repurchase up to $25.0 million of its outstanding shares of common stock, at management's discretion from time to time in open-market transactions and in accordance with all applicable securities laws and regulations. If not renewed, the Fourth Repurchase Program will terminate upon the earlier of (i) May 7, 2026 or (ii) the repurchase of $25.0 million of the Company's shares of common stock. From the inception of the Fourth Repurchase Program through December 31, 2025, the Company repurchased 1,213,391 shares for an aggregate purchase price of $12.5 million.</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Cumulative repurchases under all four repurchase programs totaled 5,246,541 shares at an aggregate purchase price of $59.3 million.</w:t>
      </w:r>
    </w:p>
    <w:p>
      <w:pPr>
        <w:pStyle w:val="Heading1"/>
        <w:bidi w:val="0"/>
        <w:spacing w:before="360" w:after="240"/>
        <w:jc w:val="left"/>
        <w:rPr>
          <w:rFonts w:ascii="Times New Roman" w:hAnsi="Times New Roman"/>
          <w:i/>
          <w:color w:val="000000"/>
          <w:sz w:val="20"/>
        </w:rPr>
      </w:pPr>
      <w:r>
        <w:rPr>
          <w:rFonts w:ascii="Times New Roman" w:hAnsi="Times New Roman"/>
          <w:i/>
          <w:color w:val="000000"/>
          <w:sz w:val="20"/>
        </w:rPr>
        <w:t>Distributions and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maintains a dividend reinvestment plan for common stockholders. The Dividend Reinvestment Plan is administered by its transfer agent on behalf of the Company's record holders and participating brokerage firms. Brokerage firms and other financial intermediaries may decide not to participate in the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year ended December 31, 2025, the Company declared and paid dividends in the amount of $51.4 million, of which $50.4 million was distributed in cash, with the remainder distributed in the form of 104,804 shares of the Company's common stock purchased by the Company in the open market and distributed to stockholders pursuant to the Company’s Dividend Reinvestment Plan. For the year ended December 31, 2024, the Company declared and paid dividends in the amount of $69.9 million, of which $68.7 million was distributed in cash, with the remainder distributed in the form of 96,092 shares of the Company's common stock purchased by the Company in the open market and distributed to stockholders pursuant to the Company’s Dividend Reinvestment Plan. For the year ended December 31, 2023, the Company declared and paid dividends in the amount of $73.3 million, of which $70.8 million was distributed in cash, with the remainder distributed in the form of 204,658 shares of the Company's common stock purchased by the Company in the open market and distributed to stockholders pursuant to the Company’s Dividend Reinvestment Plan.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summarizes the distributions declared and paid for the years ended December 31, 2023, December 31, 2024, and December 31, 2025:</w:t>
      </w:r>
    </w:p>
    <w:tbl>
      <w:tblPr>
        <w:tblW w:w="7777" w:type="dxa"/>
        <w:jc w:val="left"/>
        <w:tblInd w:w="0" w:type="dxa"/>
        <w:tblLayout w:type="fixed"/>
        <w:tblCellMar>
          <w:top w:w="28" w:type="dxa"/>
          <w:left w:w="28" w:type="dxa"/>
          <w:bottom w:w="28" w:type="dxa"/>
          <w:right w:w="28" w:type="dxa"/>
        </w:tblCellMar>
      </w:tblPr>
      <w:tblGrid>
        <w:gridCol w:w="1066"/>
        <w:gridCol w:w="1437"/>
        <w:gridCol w:w="147"/>
        <w:gridCol w:w="147"/>
        <w:gridCol w:w="1528"/>
        <w:gridCol w:w="147"/>
        <w:gridCol w:w="1528"/>
        <w:gridCol w:w="146"/>
        <w:gridCol w:w="370"/>
        <w:gridCol w:w="275"/>
        <w:gridCol w:w="795"/>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w:t>
            </w:r>
          </w:p>
        </w:tc>
        <w:tc>
          <w:tcPr>
            <w:tcW w:w="1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Declaration Date</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23, 2023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7, 2023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23, 2023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7, 2023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2023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15, 2023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2023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15, 2023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15, 2023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15, 2023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 2023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13, 2023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28,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 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13, 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28,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4" w:type="dxa"/>
            <w:gridSpan w:val="6"/>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distribution declared during the year ended December 31, 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 2024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12, 2024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 2024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12, 2024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30, 2024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10, 2024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30, 2024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10, 2024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24,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30, 2024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12, 2024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26,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30, 2024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12, 2024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26,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5, 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18, 2024</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4" w:type="dxa"/>
            <w:gridSpan w:val="6"/>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distribution declared during the year ended December 31, 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 2025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 2025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14,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2025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19, 2025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2025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19, 2025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6, 2025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18, 2025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6, 2025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18, 2025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5, 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17, 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34" w:type="dxa"/>
            <w:gridSpan w:val="6"/>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distribution declared during the year ended December 31,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10 – Income Taxes</w:t>
      </w:r>
    </w:p>
    <w:p>
      <w:pPr>
        <w:pStyle w:val="TextBody"/>
        <w:bidi w:val="0"/>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U.S. federal income taxes in the future.</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Depending on the level of taxable income earned in a tax year, the Company may choose to carry forward such taxable income in excess of current year dividend distributions from such current year taxable income into the next tax year and pay a 4% nondeductible excise tax on such income, as required. If the Company determines that the estimated current year taxable income will exceed the estimated dividend distributions for the current year from such income, the Company will accrue excise tax on estimated excess taxable income as such taxable income is earned. For the years ended December 31, 2025, 2024, and 2023, the Company recorded an expense of $0.9 million, $0.4 million, and $0.7 million, respectively, for U.S. federal excise tax, which is included in tax expense in the statement of operations. Differences between taxable income and net increase in net assets resulting from operations either can be temporary, meaning they will reverse in the future, or permanent. In accordance with Section 946</w:t>
        <w:noBreakHyphen/>
        <w:t>205</w:t>
        <w:noBreakHyphen/>
        <w:t>45</w:t>
        <w:noBreakHyphen/>
        <w:t xml:space="preserve">3 of the ASC, permanent tax differences are reclassified from accumulated undistributed earnings to paid-in-capital at the end of each year and have no impact on total net assets.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years ended December 31, 2025, December 31, 2024, and December 31, 2023, the Company reclassified for book purposes amounts arising from permanent book/tax differences primarily related to non-deductible excise taxes paid. For the year ended December 31, 2025, the Company reclassified for book purposes amounts arising from permanent book/tax differences primarily due to non-deductible excise tax and the change in accounting method for recognition of incentive fees. The reclassified amounts are as follows (in thousands):</w:t>
      </w:r>
    </w:p>
    <w:tbl>
      <w:tblPr>
        <w:tblW w:w="6166" w:type="dxa"/>
        <w:jc w:val="left"/>
        <w:tblInd w:w="0" w:type="dxa"/>
        <w:tblLayout w:type="fixed"/>
        <w:tblCellMar>
          <w:top w:w="28" w:type="dxa"/>
          <w:left w:w="28" w:type="dxa"/>
          <w:bottom w:w="28" w:type="dxa"/>
          <w:right w:w="28" w:type="dxa"/>
        </w:tblCellMar>
      </w:tblPr>
      <w:tblGrid>
        <w:gridCol w:w="2626"/>
        <w:gridCol w:w="146"/>
        <w:gridCol w:w="196"/>
        <w:gridCol w:w="146"/>
        <w:gridCol w:w="661"/>
        <w:gridCol w:w="166"/>
        <w:gridCol w:w="146"/>
        <w:gridCol w:w="196"/>
        <w:gridCol w:w="146"/>
        <w:gridCol w:w="436"/>
        <w:gridCol w:w="166"/>
        <w:gridCol w:w="146"/>
        <w:gridCol w:w="196"/>
        <w:gridCol w:w="146"/>
        <w:gridCol w:w="436"/>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3"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undistributed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U.S. federal income tax purposes, distributions paid to stockholders are reported as ordinary income, return of capital, long term capital gains or a combination thereof. The tax character of distributions paid for the years ended December 31, 2025, 2024, and 2023 was as follows (in thousands):</w:t>
      </w:r>
    </w:p>
    <w:tbl>
      <w:tblPr>
        <w:tblW w:w="5461" w:type="dxa"/>
        <w:jc w:val="left"/>
        <w:tblInd w:w="0" w:type="dxa"/>
        <w:tblLayout w:type="fixed"/>
        <w:tblCellMar>
          <w:top w:w="28" w:type="dxa"/>
          <w:left w:w="28" w:type="dxa"/>
          <w:bottom w:w="28" w:type="dxa"/>
          <w:right w:w="28" w:type="dxa"/>
        </w:tblCellMar>
      </w:tblPr>
      <w:tblGrid>
        <w:gridCol w:w="1711"/>
        <w:gridCol w:w="146"/>
        <w:gridCol w:w="196"/>
        <w:gridCol w:w="146"/>
        <w:gridCol w:w="601"/>
        <w:gridCol w:w="146"/>
        <w:gridCol w:w="146"/>
        <w:gridCol w:w="196"/>
        <w:gridCol w:w="146"/>
        <w:gridCol w:w="601"/>
        <w:gridCol w:w="146"/>
        <w:gridCol w:w="146"/>
        <w:gridCol w:w="196"/>
        <w:gridCol w:w="146"/>
        <w:gridCol w:w="601"/>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3"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Ordinary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capital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Return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sets forth the tax cost basis and the estimated aggregate gross unrealized gain (loss) on investments for federal income tax purposes as of and for the years ended December 31, 2025, 2024 and 2023 (in thousands):</w:t>
      </w:r>
    </w:p>
    <w:tbl>
      <w:tblPr>
        <w:tblW w:w="7261" w:type="dxa"/>
        <w:jc w:val="left"/>
        <w:tblInd w:w="0" w:type="dxa"/>
        <w:tblLayout w:type="fixed"/>
        <w:tblCellMar>
          <w:top w:w="28" w:type="dxa"/>
          <w:left w:w="28" w:type="dxa"/>
          <w:bottom w:w="28" w:type="dxa"/>
          <w:right w:w="28" w:type="dxa"/>
        </w:tblCellMar>
      </w:tblPr>
      <w:tblGrid>
        <w:gridCol w:w="2911"/>
        <w:gridCol w:w="146"/>
        <w:gridCol w:w="196"/>
        <w:gridCol w:w="146"/>
        <w:gridCol w:w="691"/>
        <w:gridCol w:w="166"/>
        <w:gridCol w:w="146"/>
        <w:gridCol w:w="196"/>
        <w:gridCol w:w="146"/>
        <w:gridCol w:w="826"/>
        <w:gridCol w:w="166"/>
        <w:gridCol w:w="146"/>
        <w:gridCol w:w="196"/>
        <w:gridCol w:w="146"/>
        <w:gridCol w:w="826"/>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3"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cost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1,105,481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 on a tax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loss on a tax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(loss) on a tax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At December 31, 2025, 2024 and 2023, the components of distributable earnings on a tax basis detailed below differ from the amounts reflected in the Company’s Consolidated Statements of Assets and Liabilities by temporary and other book/tax differences, primarily relating to the tax treatment of debt modifications, as follows (in thousands):</w:t>
      </w:r>
    </w:p>
    <w:tbl>
      <w:tblPr>
        <w:tblW w:w="7231" w:type="dxa"/>
        <w:jc w:val="left"/>
        <w:tblInd w:w="0" w:type="dxa"/>
        <w:tblLayout w:type="fixed"/>
        <w:tblCellMar>
          <w:top w:w="28" w:type="dxa"/>
          <w:left w:w="28" w:type="dxa"/>
          <w:bottom w:w="28" w:type="dxa"/>
          <w:right w:w="28" w:type="dxa"/>
        </w:tblCellMar>
      </w:tblPr>
      <w:tblGrid>
        <w:gridCol w:w="3241"/>
        <w:gridCol w:w="146"/>
        <w:gridCol w:w="196"/>
        <w:gridCol w:w="146"/>
        <w:gridCol w:w="661"/>
        <w:gridCol w:w="166"/>
        <w:gridCol w:w="146"/>
        <w:gridCol w:w="196"/>
        <w:gridCol w:w="146"/>
        <w:gridCol w:w="661"/>
        <w:gridCol w:w="166"/>
        <w:gridCol w:w="146"/>
        <w:gridCol w:w="196"/>
        <w:gridCol w:w="146"/>
        <w:gridCol w:w="661"/>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3" w:type="dxa"/>
            <w:gridSpan w:val="1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Undistributed ordinary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Undistributed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loss carry 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Late year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accumulated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(loss) on a tax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earnings/(deficit) on a tax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For tax purposes, net realized capital losses may be carried over to offset future capital gains, if any. Funds are permitted to carry forward capital losses for an indefinite period, and such losses will retain their character as either short-term or long-term capital losses. </w:t>
      </w:r>
    </w:p>
    <w:p>
      <w:pPr>
        <w:pStyle w:val="TextBody"/>
        <w:bidi w:val="0"/>
        <w:jc w:val="both"/>
        <w:rPr>
          <w:rFonts w:ascii="Times New Roman" w:hAnsi="Times New Roman"/>
          <w:color w:val="000000"/>
          <w:sz w:val="20"/>
        </w:rPr>
      </w:pPr>
      <w:r>
        <w:rPr>
          <w:rFonts w:ascii="Times New Roman" w:hAnsi="Times New Roman"/>
          <w:color w:val="000000"/>
          <w:sz w:val="20"/>
        </w:rPr>
        <w:t>For the years ended December 31, 2025, 2024 and 2023, the Company did not utilize any capital loss carryforward to offset realized capital gains.</w:t>
      </w:r>
    </w:p>
    <w:p>
      <w:pPr>
        <w:pStyle w:val="TextBody"/>
        <w:bidi w:val="0"/>
        <w:spacing w:before="240" w:after="283"/>
        <w:jc w:val="both"/>
        <w:rPr>
          <w:rFonts w:ascii="Times New Roman" w:hAnsi="Times New Roman"/>
          <w:sz w:val="20"/>
        </w:rPr>
      </w:pPr>
      <w:r>
        <w:rPr>
          <w:rFonts w:ascii="Times New Roman" w:hAnsi="Times New Roman"/>
          <w:color w:val="000000"/>
          <w:sz w:val="20"/>
        </w:rPr>
        <w:t>The Company accounts for income taxes in conformity with ASC Topic 740, </w:t>
      </w:r>
      <w:r>
        <w:rPr>
          <w:rFonts w:ascii="Times New Roman" w:hAnsi="Times New Roman"/>
          <w:i/>
          <w:color w:val="000000"/>
          <w:sz w:val="20"/>
        </w:rPr>
        <w:t>Income Taxes</w:t>
      </w:r>
      <w:r>
        <w:rPr>
          <w:rFonts w:ascii="Times New Roman" w:hAnsi="Times New Roman"/>
          <w:color w:val="000000"/>
          <w:sz w:val="20"/>
        </w:rPr>
        <w:t xml:space="preserve"> ("ASC 740"). ASC 740 provides guidelines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"Tax expense" on the Consolidated Statements of Operations. There were no material uncertain income tax positions at December 31, 2025, December 31, 2024 or December 31, 2023. Although the Company files federal and state tax returns, the Company's major tax jurisdiction is federal. The previous three tax year-ends and the interim tax period since then remain subject to examination by the Internal Revenue Service.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on which the Company paid no U.S. federal income tax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the regular corporate rate.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11 – Segment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operates through a single operating and reporting segment with an investment objective to generate returns to stockholders primarily through current income on loans, and secondarily through capital gains on warrants and other equity positions. The Company's Chief Executive Officer is the Company’s Chief Operating Decision Maker ("CODM"). While the Company lends to and separately evaluates the performance of each of its portfolio companies across various industries, including technology, healthcare, business services, financial services, select consumer services and products, the CODM evaluates and monitors performance of the Company's business on an aggregated basis. Further, each investment is evaluated and managed using similar processes and shared operational support functions, such as deal origination, underwriting, monitoring, and compliance, in addition to administrative functions, such as human resources, legal, finance and information technology.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CODM uses the Company's "Net investment income" and "Net increase (decrease) in net assets resulting from operations" as reported in the Consolidated Statements of Operations to assess the Company’s performance and when allocating resources. "Net investment income" is comprised of consolidated total investment income (segment revenues) and consolidated total operating expenses (significant segment expenses), which are considered the key segment measures of profit or loss reviewed by the CODM. The information and operating expense categories included in the Company’s Consolidated Statements of Operations are fully reflective of the significant expense categories and amounts that are regularly provided to the CODM. All applicable segment disclosures are included in or can be derived from the Company’s consolidated financial statements.</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Note 12 – Financial Highlights</w:t>
      </w:r>
    </w:p>
    <w:p>
      <w:pPr>
        <w:pStyle w:val="Heading1"/>
        <w:bidi w:val="0"/>
        <w:spacing w:before="0" w:after="120"/>
        <w:jc w:val="both"/>
        <w:rPr>
          <w:rFonts w:ascii="Times New Roman" w:hAnsi="Times New Roman"/>
          <w:b w:val="false"/>
          <w:color w:val="000000"/>
          <w:sz w:val="20"/>
        </w:rPr>
      </w:pPr>
      <w:r>
        <w:rPr>
          <w:rFonts w:ascii="Times New Roman" w:hAnsi="Times New Roman"/>
          <w:b w:val="false"/>
          <w:color w:val="000000"/>
          <w:sz w:val="20"/>
        </w:rPr>
        <w:t>The following table sets forth the financial highlights for the years ended December 31, 2016 through 2025 (in thousands, except for per share data and ratios):</w:t>
      </w:r>
    </w:p>
    <w:tbl>
      <w:tblPr>
        <w:tblW w:w="12921" w:type="dxa"/>
        <w:jc w:val="left"/>
        <w:tblInd w:w="0" w:type="dxa"/>
        <w:tblLayout w:type="fixed"/>
        <w:tblCellMar>
          <w:top w:w="28" w:type="dxa"/>
          <w:left w:w="28" w:type="dxa"/>
          <w:bottom w:w="28" w:type="dxa"/>
          <w:right w:w="28" w:type="dxa"/>
        </w:tblCellMar>
      </w:tblPr>
      <w:tblGrid>
        <w:gridCol w:w="1001"/>
        <w:gridCol w:w="146"/>
        <w:gridCol w:w="181"/>
        <w:gridCol w:w="586"/>
        <w:gridCol w:w="146"/>
        <w:gridCol w:w="146"/>
        <w:gridCol w:w="181"/>
        <w:gridCol w:w="766"/>
        <w:gridCol w:w="211"/>
        <w:gridCol w:w="146"/>
        <w:gridCol w:w="241"/>
        <w:gridCol w:w="586"/>
        <w:gridCol w:w="146"/>
        <w:gridCol w:w="146"/>
        <w:gridCol w:w="241"/>
        <w:gridCol w:w="586"/>
        <w:gridCol w:w="146"/>
        <w:gridCol w:w="146"/>
        <w:gridCol w:w="241"/>
        <w:gridCol w:w="586"/>
        <w:gridCol w:w="146"/>
        <w:gridCol w:w="146"/>
        <w:gridCol w:w="241"/>
        <w:gridCol w:w="586"/>
        <w:gridCol w:w="211"/>
        <w:gridCol w:w="146"/>
        <w:gridCol w:w="241"/>
        <w:gridCol w:w="586"/>
        <w:gridCol w:w="211"/>
        <w:gridCol w:w="146"/>
        <w:gridCol w:w="241"/>
        <w:gridCol w:w="586"/>
        <w:gridCol w:w="211"/>
        <w:gridCol w:w="146"/>
        <w:gridCol w:w="241"/>
        <w:gridCol w:w="691"/>
        <w:gridCol w:w="211"/>
        <w:gridCol w:w="146"/>
        <w:gridCol w:w="241"/>
        <w:gridCol w:w="556"/>
        <w:gridCol w:w="416"/>
      </w:tblGrid>
      <w:tr>
        <w:trPr/>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4" w:type="dxa"/>
            <w:gridSpan w:val="3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Years Ended December 31,</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2016</w:t>
            </w:r>
          </w:p>
        </w:tc>
      </w:tr>
      <w:tr>
        <w:trPr/>
        <w:tc>
          <w:tcPr>
            <w:tcW w:w="315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b/>
                <w:color w:val="000000"/>
                <w:sz w:val="14"/>
              </w:rPr>
              <w:t>Per Share Data</w:t>
            </w:r>
            <w:r>
              <w:rPr>
                <w:rFonts w:ascii="Times New Roman" w:hAnsi="Times New Roman"/>
                <w:b/>
                <w:color w:val="000000"/>
                <w:sz w:val="9"/>
              </w:rPr>
              <w:t>(1)</w:t>
            </w:r>
            <w:r>
              <w:rPr>
                <w:rFonts w:ascii="Times New Roman" w:hAnsi="Times New Roman"/>
                <w:b/>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asset value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(83.81)</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change in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Total from investment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(83.82)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imes New Roman" w:hAnsi="Times New Roman"/>
                <w:color w:val="000000"/>
                <w:sz w:val="14"/>
              </w:rPr>
              <w:t xml:space="preserve">Accretion (dilution), net </w:t>
            </w:r>
            <w:r>
              <w:rPr>
                <w:rFonts w:ascii="Times New Roman" w:hAnsi="Times New Roman"/>
                <w:color w:val="000000"/>
                <w:sz w:val="9"/>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79.20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asset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3"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Ratio/Supplemental Data: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imes New Roman" w:hAnsi="Times New Roman"/>
                <w:color w:val="000000"/>
                <w:sz w:val="14"/>
              </w:rPr>
              <w:t>Total return based on net asset value</w:t>
            </w:r>
            <w:r>
              <w:rPr>
                <w:rFonts w:ascii="Times New Roman" w:hAnsi="Times New Roman"/>
                <w:color w:val="000000"/>
                <w:sz w:val="9"/>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7.67</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5.67</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7.68</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4"/>
              </w:rPr>
              <w:t>%</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imes New Roman" w:hAnsi="Times New Roman"/>
                <w:color w:val="000000"/>
                <w:sz w:val="14"/>
              </w:rPr>
              <w:t>Total return based on market value</w:t>
            </w:r>
            <w:r>
              <w:rPr>
                <w:rFonts w:ascii="Times New Roman" w:hAnsi="Times New Roman"/>
                <w:color w:val="000000"/>
                <w:sz w:val="9"/>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24.50</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imes New Roman" w:hAnsi="Times New Roman"/>
                <w:color w:val="000000"/>
                <w:sz w:val="14"/>
              </w:rPr>
              <w:t>Ratio of net investment income to average net assets</w:t>
            </w:r>
            <w:r>
              <w:rPr>
                <w:rFonts w:ascii="Times New Roman" w:hAnsi="Times New Roman"/>
                <w:color w:val="000000"/>
                <w:sz w:val="9"/>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11.28</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13.62</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10.14</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(595.90)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4"/>
              </w:rPr>
              <w:t>%</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imes New Roman" w:hAnsi="Times New Roman"/>
                <w:color w:val="000000"/>
                <w:sz w:val="14"/>
              </w:rPr>
              <w:t>Ratio of total operating expenses to average net assets</w:t>
            </w:r>
            <w:r>
              <w:rPr>
                <w:rFonts w:ascii="Times New Roman" w:hAnsi="Times New Roman"/>
                <w:color w:val="000000"/>
                <w:sz w:val="9"/>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15.94</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14.96</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595.90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4"/>
              </w:rPr>
              <w:t>%</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imes New Roman" w:hAnsi="Times New Roman"/>
                <w:color w:val="000000"/>
                <w:sz w:val="14"/>
              </w:rPr>
              <w:t>Ratio of total operating expenses, excluding incentive fees, to average net assets</w:t>
            </w:r>
            <w:r>
              <w:rPr>
                <w:rFonts w:ascii="Times New Roman" w:hAnsi="Times New Roman"/>
                <w:color w:val="000000"/>
                <w:sz w:val="9"/>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13.07</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11.64</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5.90</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595.90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4"/>
              </w:rPr>
              <w:t>%</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imes New Roman" w:hAnsi="Times New Roman"/>
                <w:color w:val="000000"/>
                <w:sz w:val="14"/>
              </w:rPr>
              <w:t>Ratio of net increase (decrease) in net assets resulting from operations to average net assets</w:t>
            </w:r>
            <w:r>
              <w:rPr>
                <w:rFonts w:ascii="Times New Roman" w:hAnsi="Times New Roman"/>
                <w:color w:val="000000"/>
                <w:sz w:val="9"/>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6.75</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7.72</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8.97</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(595.90)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4"/>
              </w:rPr>
              <w:t>%</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4"/>
              </w:rPr>
            </w:pPr>
            <w:r>
              <w:rPr>
                <w:rFonts w:ascii="Times New Roman" w:hAnsi="Times New Roman"/>
                <w:color w:val="000000"/>
                <w:sz w:val="14"/>
              </w:rPr>
              <w:t>Portfolio turnover rate</w:t>
            </w:r>
            <w:r>
              <w:rPr>
                <w:rFonts w:ascii="Times New Roman" w:hAnsi="Times New Roman"/>
                <w:color w:val="000000"/>
                <w:sz w:val="9"/>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15.11</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18.61</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19.17</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52.05</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Per share market value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Per share market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N/A</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assets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547,071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376,313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167,369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127,040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assets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514,869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606,195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466,244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376,313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167,369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127,040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Weighted average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518,381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574,594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589,669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508,836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283,774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141,046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Weighted average shares outstanding for the period,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36,697,936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38,852,271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40,509,269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40,971,242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34,183,358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27,617,425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18,701,021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9,300,960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2,795,274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10,774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All per share activity, excluding dividends, is calculated based on the weighted-average shares outstanding for the relevant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Net accretion (dilution) represents the effect of issuance and repurchase of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Total return based on net asset value is calculated as the change in net asset value per share during the period plus dividends per share, divided by the beginning net asset values per share.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Total return based on market value is calculated as the change in market value per share during the period plus dividends per share, divided by the beginning market value per share. For the periods 2021 and prior, total return based on market value is not applicable as the Company was not yet public for the entirety of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ratios are calculated based on weighted average net assets for the relevant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ratio includes incentive fees and as incentive fees are performance driven, the amount expensed in future periods may vary significantly and is dependent on overall investment performance, early terminations, scheduled prepayments and other liquidity events.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portfolio turnover rate for the period is calculated by taking the lesser of investment portfolio purchases or sales during the period, divided by the average investment portfolio value during the period.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0" w:after="240"/>
        <w:jc w:val="left"/>
        <w:rPr>
          <w:rFonts w:ascii="Times New Roman" w:hAnsi="Times New Roman"/>
          <w:color w:val="000000"/>
          <w:sz w:val="20"/>
        </w:rPr>
      </w:pPr>
      <w:r>
        <w:rPr>
          <w:rFonts w:ascii="Times New Roman" w:hAnsi="Times New Roman"/>
          <w:color w:val="000000"/>
          <w:sz w:val="20"/>
        </w:rPr>
        <w:t>Note 13 – Subsequent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evaluated events subsequent to December 31, 2025 through March 12, 2026, the date the consolidated financial statements were issued. There have been no subsequent events that occurred during such period that would require recognition or disclosure, except as disclosed below.</w:t>
      </w:r>
    </w:p>
    <w:p>
      <w:pPr>
        <w:pStyle w:val="Heading1"/>
        <w:bidi w:val="0"/>
        <w:spacing w:before="120" w:after="240"/>
        <w:jc w:val="left"/>
        <w:rPr>
          <w:rFonts w:ascii="Times New Roman" w:hAnsi="Times New Roman"/>
          <w:i/>
          <w:color w:val="000000"/>
          <w:sz w:val="20"/>
        </w:rPr>
      </w:pPr>
      <w:r>
        <w:rPr>
          <w:rFonts w:ascii="Times New Roman" w:hAnsi="Times New Roman"/>
          <w:i/>
          <w:color w:val="000000"/>
          <w:sz w:val="20"/>
        </w:rPr>
        <w:t>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February 25, 2026, the Board of Directors declared a regular distribution of $0.33 per share for stockholders of record as of March 10, 2026 payable on or before March 24, 2026.</w:t>
      </w:r>
    </w:p>
    <w:p>
      <w:pPr>
        <w:pStyle w:val="Heading1"/>
        <w:bidi w:val="0"/>
        <w:spacing w:before="120" w:after="240"/>
        <w:jc w:val="left"/>
        <w:rPr>
          <w:rFonts w:ascii="Times New Roman" w:hAnsi="Times New Roman"/>
          <w:i/>
          <w:color w:val="000000"/>
          <w:sz w:val="20"/>
        </w:rPr>
      </w:pPr>
      <w:r>
        <w:rPr>
          <w:rFonts w:ascii="Times New Roman" w:hAnsi="Times New Roman"/>
          <w:i/>
          <w:color w:val="000000"/>
          <w:sz w:val="20"/>
        </w:rPr>
        <w:t>Repayment of April 2026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8.54% Series 2023A Senior Notes due 2026 (the "April 2026 Notes") bore an interest rate of 8.54% per year and were due on April 13, 2026, unless redeemed, purchased or prepaid prior to such date by us or our affiliates in accordance with their terms. The April 2026 Notes were repaid in full on January 21, 2026 and are no longer outstanding. Interest on the April 2026 Notes was due semiannually in arrears on April 13 and October 13 of each year.</w:t>
      </w:r>
    </w:p>
    <w:p>
      <w:pPr>
        <w:pStyle w:val="Heading1"/>
        <w:bidi w:val="0"/>
        <w:spacing w:before="120" w:after="240"/>
        <w:jc w:val="left"/>
        <w:rPr>
          <w:rFonts w:ascii="Times New Roman" w:hAnsi="Times New Roman"/>
          <w:i/>
          <w:color w:val="000000"/>
          <w:sz w:val="20"/>
        </w:rPr>
      </w:pPr>
      <w:r>
        <w:rPr>
          <w:rFonts w:ascii="Times New Roman" w:hAnsi="Times New Roman"/>
          <w:i/>
          <w:color w:val="000000"/>
          <w:sz w:val="20"/>
        </w:rPr>
        <w:t>Baby Bond Offering 7.25% Notes due 2031</w:t>
      </w:r>
    </w:p>
    <w:p>
      <w:pPr>
        <w:pStyle w:val="TextBody"/>
        <w:bidi w:val="0"/>
        <w:jc w:val="both"/>
        <w:rPr>
          <w:rFonts w:ascii="Times New Roman" w:hAnsi="Times New Roman"/>
          <w:color w:val="000000"/>
          <w:sz w:val="20"/>
        </w:rPr>
      </w:pPr>
      <w:r>
        <w:rPr>
          <w:rFonts w:ascii="Times New Roman" w:hAnsi="Times New Roman"/>
          <w:color w:val="000000"/>
          <w:sz w:val="20"/>
        </w:rPr>
        <w:t xml:space="preserve">On February 3, 2026, the Company issued and sold $103.25 million in aggregate principal amount of 7.25% interest-bearing unsecured Notes due February 3, 2031 (the "February 2031 Notes") under its shelf Registration Statement on Form N-2. The February 2031 Notes were issued pursuant to the Base Indenture and Third Supplemental Indenture, dated February 3, 2026, between the Company and the Trustee, U.S. Bank Trust Company, National Association.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on the February 2031 Notes will be due quarterly in arrears on March 1, June 1, September 1, and December 1 of each year. The February 2031 Notes may be redeemed in whole or in part at any time or from time to time at the Company's option on or after February 3, 2028, at a redemption price of $25 per February 2031 Notes plus accrued and unpaid interest payments otherwise payable for the then-current quarterly interest period accrued to the date fixed for redemption. The February 2031 Notes are general unsecured obligations of the Company that rank pari passu with the Company's existing and future unsecured, unsubordinated indebtedness.</w:t>
      </w:r>
    </w:p>
    <w:p>
      <w:pPr>
        <w:pStyle w:val="Heading1"/>
        <w:bidi w:val="0"/>
        <w:spacing w:before="360" w:after="240"/>
        <w:jc w:val="left"/>
        <w:rPr>
          <w:rFonts w:ascii="Times New Roman" w:hAnsi="Times New Roman"/>
          <w:i/>
          <w:color w:val="000000"/>
          <w:sz w:val="20"/>
        </w:rPr>
      </w:pPr>
      <w:r>
        <w:rPr>
          <w:rFonts w:ascii="Times New Roman" w:hAnsi="Times New Roman"/>
          <w:i/>
          <w:color w:val="000000"/>
          <w:sz w:val="20"/>
        </w:rPr>
        <w:t>Redemption of July 2027 Notes and December 2027 Notes</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6, 2026, the Company redeemed $40.25 million of the $80.5 million in aggregate principal of the Company’s July 2027 Notes in accordance with the terms of the indenture governing the July 2027 Notes. Additionally, the Company redeemed all of the $51.75 million in aggregate principal of the Company’s December 2027 Notes in accordance with the terms of the indenture governing the December 2027 Notes.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Recent Portfolio Activity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From January 1, 2026 through March 12, 2026, the Company completed $54.3 million of additional debt commitments, of which $5.5 million was funded upon closing, and purchased $2.0 million in equity positions. In addition, the Company funded $5.5 million in unfunded commitments on existing investments. The Company also received $15.0 million in debt prepayments.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240" w:after="240"/>
        <w:jc w:val="left"/>
        <w:rPr>
          <w:rFonts w:ascii="Times New Roman" w:hAnsi="Times New Roman"/>
          <w:color w:val="000000"/>
          <w:sz w:val="20"/>
        </w:rPr>
      </w:pPr>
      <w:bookmarkStart w:id="26" w:name="item9changesinanddisagreementswithaccoun"/>
      <w:bookmarkEnd w:id="26"/>
      <w:r>
        <w:rPr>
          <w:rFonts w:ascii="Times New Roman" w:hAnsi="Times New Roman"/>
          <w:color w:val="000000"/>
          <w:sz w:val="20"/>
        </w:rPr>
        <w:t>Item 9. Changes in and Disagreements with Accountants on Accounting and Financial Disclosure.</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Heading1"/>
        <w:bidi w:val="0"/>
        <w:spacing w:before="360" w:after="240"/>
        <w:jc w:val="left"/>
        <w:rPr>
          <w:rFonts w:ascii="Times New Roman" w:hAnsi="Times New Roman"/>
          <w:color w:val="000000"/>
          <w:sz w:val="20"/>
        </w:rPr>
      </w:pPr>
      <w:bookmarkStart w:id="27" w:name="item9acontrolsandprocedures_793054"/>
      <w:bookmarkEnd w:id="27"/>
      <w:r>
        <w:rPr>
          <w:rFonts w:ascii="Times New Roman" w:hAnsi="Times New Roman"/>
          <w:color w:val="000000"/>
          <w:sz w:val="20"/>
        </w:rPr>
        <w:t>Item 9A. Controls and Procedures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noBreakHyphen/>
        <w:t>15(e) and Rule 15d-15(e)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w:t>
        <w:noBreakHyphen/>
        <w:t>15(f) and 15d</w:t>
        <w:noBreakHyphen/>
        <w:t>15(f) of the Exchange Act). The Company’s internal control over financial reporting is a process designed under the supervision of its Chief Executive Officer (Principal Executive Officer) and Chief Financial Officer and Treasurer (Principal Financial Officer) and effected by the Company’s Board of Directors, management and other personnel, to provide reasonable assurance regarding the reliability of financial reporting and the preparation of its consolidated financial statements for external reporting purposes in accordance with U.S. GAAP.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consolidated financial statements in accordance with U.S. GAAP,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consolidated financial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Management conducted an evaluation of the effectiveness of the Company’s internal control over financial reporting as of December 31, 2025 based on the framework established in </w:t>
      </w:r>
      <w:r>
        <w:rPr>
          <w:rFonts w:ascii="Times New Roman" w:hAnsi="Times New Roman"/>
          <w:i/>
          <w:color w:val="000000"/>
          <w:sz w:val="20"/>
        </w:rPr>
        <w:t>Internal Control </w:t>
      </w:r>
      <w:r>
        <w:rPr>
          <w:rFonts w:ascii="Times New Roman" w:hAnsi="Times New Roman"/>
          <w:color w:val="000000"/>
          <w:sz w:val="20"/>
        </w:rPr>
        <w:t>– </w:t>
      </w:r>
      <w:r>
        <w:rPr>
          <w:rFonts w:ascii="Times New Roman" w:hAnsi="Times New Roman"/>
          <w:i/>
          <w:color w:val="000000"/>
          <w:sz w:val="20"/>
        </w:rPr>
        <w:t>Integrated Framework (2013)</w:t>
      </w:r>
      <w:r>
        <w:rPr>
          <w:rFonts w:ascii="Times New Roman" w:hAnsi="Times New Roman"/>
          <w:color w:val="000000"/>
          <w:sz w:val="20"/>
        </w:rPr>
        <w:t xml:space="preserve"> issued by the Committee of Sponsoring Organizations of the Treadway Commission. Based on this assessment, management concluded that the Company’s internal control over financial reporting as of December 31, 2025 was effective.</w:t>
      </w:r>
    </w:p>
    <w:p>
      <w:pPr>
        <w:pStyle w:val="TextBody"/>
        <w:bidi w:val="0"/>
        <w:jc w:val="both"/>
        <w:rPr>
          <w:rFonts w:ascii="Times New Roman" w:hAnsi="Times New Roman"/>
          <w:color w:val="000000"/>
          <w:sz w:val="20"/>
        </w:rPr>
      </w:pPr>
      <w:r>
        <w:rPr>
          <w:rFonts w:ascii="Times New Roman" w:hAnsi="Times New Roman"/>
          <w:color w:val="000000"/>
          <w:sz w:val="20"/>
        </w:rPr>
        <w:t>This annual report does not include an attestation report of the Company’s registered public accounting firm due to an exemption for emerging growth companies under the JOBS Act.</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that occurred during the year ended December 31, 2025 that have materially affected, or are reasonably likely to materially affect, our internal control over financial reporting.</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40"/>
        <w:jc w:val="left"/>
        <w:rPr>
          <w:rFonts w:ascii="Times New Roman" w:hAnsi="Times New Roman"/>
          <w:color w:val="000000"/>
          <w:sz w:val="20"/>
        </w:rPr>
      </w:pPr>
      <w:bookmarkStart w:id="28" w:name="item9botherinformation_645796"/>
      <w:bookmarkEnd w:id="28"/>
      <w:r>
        <w:rPr>
          <w:rFonts w:ascii="Times New Roman" w:hAnsi="Times New Roman"/>
          <w:color w:val="000000"/>
          <w:sz w:val="20"/>
        </w:rPr>
        <w:t>Item 9B. Other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Rule 10b5-1 Disclosure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period covered by this annual report on Form 10-K,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has adopted insider trading policies and procedures governing the purchase, sale, and disposition of the Company's securities by officers and directors of the Company that are reasonably designed to promote compliance with insider trading laws, rules and regulations. </w:t>
      </w:r>
    </w:p>
    <w:p>
      <w:pPr>
        <w:pStyle w:val="TextBody"/>
        <w:bidi w:val="0"/>
        <w:spacing w:before="120" w:after="240"/>
        <w:jc w:val="both"/>
        <w:rPr>
          <w:rFonts w:ascii="Times New Roman" w:hAnsi="Times New Roman"/>
          <w:b/>
          <w:color w:val="000000"/>
          <w:sz w:val="20"/>
        </w:rPr>
      </w:pPr>
      <w:bookmarkStart w:id="29" w:name="item9cdisclosureregardingforeignjurisdic"/>
      <w:bookmarkEnd w:id="29"/>
      <w:r>
        <w:rPr>
          <w:rFonts w:ascii="Times New Roman" w:hAnsi="Times New Roman"/>
          <w:b/>
          <w:color w:val="000000"/>
          <w:sz w:val="20"/>
        </w:rPr>
        <w:t>Item 9C. Disclosure Regarding Foreign Jurisdictions that Prevent Inspection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None.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will file a definitive Proxy Statement for our 2026 Annual Meeting of Stockholders with the SEC, pursuant to Regulation 14A, within 120 days after the end of our fiscal year-end, which was December 31, 2025. Accordingly, the information required by Part III has been omitted under General Instruction G(3) to Form 10-K. Only those sections of our definitive Proxy Statement that specifically address the items set forth herein are incorporated by reference herein. </w:t>
      </w:r>
    </w:p>
    <w:p>
      <w:pPr>
        <w:pStyle w:val="TextBody"/>
        <w:bidi w:val="0"/>
        <w:spacing w:before="360" w:after="240"/>
        <w:jc w:val="left"/>
        <w:rPr>
          <w:rFonts w:ascii="Times New Roman" w:hAnsi="Times New Roman"/>
          <w:b/>
          <w:color w:val="000000"/>
          <w:sz w:val="20"/>
        </w:rPr>
      </w:pPr>
      <w:bookmarkStart w:id="30" w:name="item10directors_officers_corp_gov"/>
      <w:bookmarkEnd w:id="30"/>
      <w:r>
        <w:rPr>
          <w:rFonts w:ascii="Times New Roman" w:hAnsi="Times New Roman"/>
          <w:b/>
          <w:color w:val="000000"/>
          <w:sz w:val="20"/>
        </w:rPr>
        <w:t>Item 10. Directors, Executive Officers, and Corporate Governance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required by Item 10 is hereby incorporated by reference from our definitive Proxy Statement relating to our 2026 Annual Meeting of Stockholders, to be filed with the SEC within 120 days following the end of our fiscal year-end, which was December 31, 2025.</w:t>
      </w:r>
    </w:p>
    <w:p>
      <w:pPr>
        <w:pStyle w:val="TextBody"/>
        <w:bidi w:val="0"/>
        <w:spacing w:before="120" w:after="240"/>
        <w:jc w:val="left"/>
        <w:rPr>
          <w:rFonts w:ascii="Times New Roman" w:hAnsi="Times New Roman"/>
          <w:b/>
          <w:color w:val="000000"/>
          <w:sz w:val="20"/>
        </w:rPr>
      </w:pPr>
      <w:bookmarkStart w:id="31" w:name="item11executive_compensation"/>
      <w:bookmarkEnd w:id="31"/>
      <w:r>
        <w:rPr>
          <w:rFonts w:ascii="Times New Roman" w:hAnsi="Times New Roman"/>
          <w:b/>
          <w:color w:val="000000"/>
          <w:sz w:val="20"/>
        </w:rPr>
        <w:t>Item 11. Executive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required by Item 11 is hereby incorporated by reference from our definitive Proxy Statement relating to our 2026 Annual Meeting of Stockholders, to be filed with the SEC within 120 days following the end of our fiscal year-end, which was December 31, 2025.</w:t>
      </w:r>
    </w:p>
    <w:p>
      <w:pPr>
        <w:pStyle w:val="TextBody"/>
        <w:bidi w:val="0"/>
        <w:spacing w:before="120" w:after="240"/>
        <w:jc w:val="both"/>
        <w:rPr>
          <w:rFonts w:ascii="Times New Roman" w:hAnsi="Times New Roman"/>
          <w:sz w:val="20"/>
        </w:rPr>
      </w:pPr>
      <w:bookmarkStart w:id="32" w:name="item12security_ownership"/>
      <w:bookmarkEnd w:id="32"/>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information required by Item 12 is hereby incorporated by reference from our definitive Proxy Statement relating to our 2026 Annual Meeting of Stockholders, to be filed with the SEC within 120 days following the end of our fiscal year-end, which was December 31, 2025. </w:t>
      </w:r>
    </w:p>
    <w:p>
      <w:pPr>
        <w:pStyle w:val="TextBody"/>
        <w:bidi w:val="0"/>
        <w:spacing w:before="120" w:after="240"/>
        <w:jc w:val="both"/>
        <w:rPr>
          <w:rFonts w:ascii="Times New Roman" w:hAnsi="Times New Roman"/>
          <w:sz w:val="20"/>
        </w:rPr>
      </w:pPr>
      <w:bookmarkStart w:id="33" w:name="item13relationships_related_transactions"/>
      <w:bookmarkEnd w:id="33"/>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information required by Item 13 is hereby incorporated by reference from our definitive Proxy Statement relating to our 2026 Annual Meeting of Stockholders, to be filed with the SEC within 120 days following the end of our fiscal year-end, which was December 31, 2025. </w:t>
      </w:r>
    </w:p>
    <w:p>
      <w:pPr>
        <w:pStyle w:val="TextBody"/>
        <w:bidi w:val="0"/>
        <w:spacing w:before="120" w:after="240"/>
        <w:jc w:val="left"/>
        <w:rPr>
          <w:rFonts w:ascii="Times New Roman" w:hAnsi="Times New Roman"/>
          <w:sz w:val="20"/>
        </w:rPr>
      </w:pPr>
      <w:bookmarkStart w:id="34" w:name="item14principal_accountant_fees"/>
      <w:bookmarkEnd w:id="34"/>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required by Item 14 is hereby incorporated by reference from our definitive Proxy Statement relating to our 2026 Annual Meeting of Stockholders, to be filed with the SEC within 120 days following the end of our fiscal year-end, which was December 31, 2025.</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Heading1"/>
        <w:bidi w:val="0"/>
        <w:spacing w:before="360" w:after="240"/>
        <w:jc w:val="left"/>
        <w:rPr>
          <w:rFonts w:ascii="Times New Roman" w:hAnsi="Times New Roman"/>
          <w:color w:val="000000"/>
          <w:sz w:val="20"/>
        </w:rPr>
      </w:pPr>
      <w:bookmarkStart w:id="35" w:name="item15exhibitsandfinancialstatementsched"/>
      <w:bookmarkEnd w:id="35"/>
      <w:r>
        <w:rPr>
          <w:rFonts w:ascii="Times New Roman" w:hAnsi="Times New Roman"/>
          <w:color w:val="000000"/>
          <w:sz w:val="20"/>
        </w:rPr>
        <w:t>Item 15. Exhibits and Financial Statement Schedules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documents are filed or incorporated by reference as part of this annual report on Form 10</w:t>
        <w:noBreakHyphen/>
        <w:t>K:</w:t>
      </w:r>
    </w:p>
    <w:p>
      <w:pPr>
        <w:pStyle w:val="Heading2"/>
        <w:bidi w:val="0"/>
        <w:spacing w:before="120" w:after="240"/>
        <w:jc w:val="left"/>
        <w:rPr>
          <w:rFonts w:ascii="Times New Roman" w:hAnsi="Times New Roman"/>
          <w:color w:val="000000"/>
          <w:sz w:val="20"/>
        </w:rPr>
      </w:pPr>
      <w:r>
        <w:rPr>
          <w:rFonts w:ascii="Times New Roman" w:hAnsi="Times New Roman"/>
          <w:color w:val="000000"/>
          <w:sz w:val="20"/>
        </w:rPr>
        <w:t>(a) Consolidated Financial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Consolidated Financial Statements – Refer to Part II, Item 8 of this Form 10</w:t>
        <w:noBreakHyphen/>
        <w:t>K, which are filed herewith:</w:t>
      </w:r>
    </w:p>
    <w:tbl>
      <w:tblPr>
        <w:tblW w:w="10205" w:type="dxa"/>
        <w:jc w:val="left"/>
        <w:tblInd w:w="0" w:type="dxa"/>
        <w:tblLayout w:type="fixed"/>
        <w:tblCellMar>
          <w:top w:w="28" w:type="dxa"/>
          <w:left w:w="28" w:type="dxa"/>
          <w:bottom w:w="28" w:type="dxa"/>
          <w:right w:w="28" w:type="dxa"/>
        </w:tblCellMar>
      </w:tblPr>
      <w:tblGrid>
        <w:gridCol w:w="161"/>
        <w:gridCol w:w="346"/>
        <w:gridCol w:w="8689"/>
        <w:gridCol w:w="146"/>
        <w:gridCol w:w="146"/>
        <w:gridCol w:w="5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jc w:val="left"/>
              <w:rPr/>
            </w:pPr>
            <w:hyperlink w:anchor="report_of_independent_auditors_deloitte">
              <w:r>
                <w:rPr>
                  <w:rStyle w:val="InternetLink"/>
                  <w:rFonts w:ascii="Times New Roman" w:hAnsi="Times New Roman"/>
                  <w:color w:val="0000FF"/>
                  <w:sz w:val="20"/>
                  <w:u w:val="single"/>
                </w:rPr>
                <w:t>Report of Independent Registered Public Accounting Firm (Deloitte &amp; Touche LLP; New York, New York, PCAOB ID No. 34)</w:t>
              </w:r>
            </w:hyperlink>
            <w:hyperlink w:anchor="report_of_independent_auditors_deloitte">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w:t>
            </w:r>
          </w:p>
        </w:tc>
        <w:tc>
          <w:tcPr>
            <w:tcW w:w="1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jc w:val="left"/>
              <w:rPr/>
            </w:pPr>
            <w:hyperlink w:anchor="report_of_independent_auditors_rsm">
              <w:r>
                <w:rPr>
                  <w:rStyle w:val="InternetLink"/>
                  <w:rFonts w:ascii="Times New Roman" w:hAnsi="Times New Roman"/>
                  <w:color w:val="0000FF"/>
                  <w:sz w:val="20"/>
                  <w:u w:val="single"/>
                </w:rPr>
                <w:t>Report of Independent Registered Public Accounting Firm (RSM US LLP; Chicago, Illinois, PCAOB ID No. 49)</w:t>
              </w:r>
            </w:hyperlink>
            <w:hyperlink w:anchor="report_of_independent_auditors_rs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jc w:val="left"/>
              <w:rPr/>
            </w:pPr>
            <w:hyperlink w:anchor="statementsofassetsandliabilities_984676">
              <w:r>
                <w:rPr>
                  <w:rStyle w:val="InternetLink"/>
                  <w:rFonts w:ascii="Times New Roman" w:hAnsi="Times New Roman"/>
                  <w:color w:val="0000FF"/>
                  <w:sz w:val="20"/>
                  <w:u w:val="single"/>
                </w:rPr>
                <w:t>Consolidated Statements of Assets and Liabilities as of December 31, 2025 and 2024</w:t>
              </w:r>
            </w:hyperlink>
            <w:hyperlink w:anchor="statementsofassetsandliabilities_984676">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jc w:val="left"/>
              <w:rPr/>
            </w:pPr>
            <w:hyperlink w:anchor="statementsofassetsandliabilities_984676">
              <w:r>
                <w:rPr>
                  <w:rStyle w:val="InternetLink"/>
                  <w:rFonts w:ascii="Times New Roman" w:hAnsi="Times New Roman"/>
                  <w:color w:val="0000FF"/>
                  <w:sz w:val="20"/>
                  <w:u w:val="single"/>
                </w:rPr>
                <w:t>Consolidated</w:t>
              </w:r>
            </w:hyperlink>
            <w:hyperlink w:anchor="statementsofassetsandliabilities_984676">
              <w:r>
                <w:rPr>
                  <w:rStyle w:val="InternetLink"/>
                  <w:rFonts w:ascii="Times New Roman" w:hAnsi="Times New Roman"/>
                  <w:color w:val="0000FF"/>
                  <w:sz w:val="20"/>
                </w:rPr>
                <w:t xml:space="preserve"> </w:t>
              </w:r>
            </w:hyperlink>
            <w:hyperlink w:anchor="statementsofoperations_538321">
              <w:r>
                <w:rPr>
                  <w:rStyle w:val="InternetLink"/>
                  <w:rFonts w:ascii="Times New Roman" w:hAnsi="Times New Roman"/>
                  <w:color w:val="0000FF"/>
                  <w:sz w:val="20"/>
                  <w:u w:val="single"/>
                </w:rPr>
                <w:t>Statements of Operations for the years ended December 31, 2025, 2024 and 2023</w:t>
              </w:r>
            </w:hyperlink>
            <w:hyperlink w:anchor="statementsofoperations_538321">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statementsofassetsandliabilities_984676">
              <w:r>
                <w:rPr>
                  <w:rStyle w:val="InternetLink"/>
                  <w:rFonts w:ascii="Times New Roman" w:hAnsi="Times New Roman"/>
                  <w:color w:val="0000FF"/>
                  <w:sz w:val="20"/>
                  <w:u w:val="single"/>
                </w:rPr>
                <w:t>Consolidated</w:t>
              </w:r>
            </w:hyperlink>
            <w:hyperlink w:anchor="statementsofassetsandliabilities_984676">
              <w:r>
                <w:rPr>
                  <w:rStyle w:val="InternetLink"/>
                  <w:rFonts w:ascii="Times New Roman" w:hAnsi="Times New Roman"/>
                  <w:color w:val="0000FF"/>
                  <w:sz w:val="20"/>
                </w:rPr>
                <w:t xml:space="preserve"> </w:t>
              </w:r>
            </w:hyperlink>
            <w:hyperlink w:anchor="statementsofchangesinnetassets_610557">
              <w:r>
                <w:rPr>
                  <w:rStyle w:val="InternetLink"/>
                  <w:rFonts w:ascii="Times New Roman" w:hAnsi="Times New Roman"/>
                  <w:color w:val="0000FF"/>
                  <w:sz w:val="20"/>
                  <w:u w:val="single"/>
                </w:rPr>
                <w:t>Statements of Changes in Net Assets for the years ended December 31, 2025, 2024 and 2023</w:t>
              </w:r>
            </w:hyperlink>
            <w:hyperlink w:anchor="statementsofchangesinnetassets_610557">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jc w:val="left"/>
              <w:rPr/>
            </w:pPr>
            <w:hyperlink w:anchor="statementsofassetsandliabilities_984676">
              <w:r>
                <w:rPr>
                  <w:rStyle w:val="InternetLink"/>
                  <w:rFonts w:ascii="Times New Roman" w:hAnsi="Times New Roman"/>
                  <w:color w:val="0000FF"/>
                  <w:sz w:val="20"/>
                  <w:u w:val="single"/>
                </w:rPr>
                <w:t>Consolidated</w:t>
              </w:r>
            </w:hyperlink>
            <w:hyperlink w:anchor="statementsofassetsandliabilities_984676">
              <w:r>
                <w:rPr>
                  <w:rStyle w:val="InternetLink"/>
                  <w:rFonts w:ascii="Times New Roman" w:hAnsi="Times New Roman"/>
                  <w:color w:val="0000FF"/>
                  <w:sz w:val="20"/>
                </w:rPr>
                <w:t xml:space="preserve"> </w:t>
              </w:r>
            </w:hyperlink>
            <w:hyperlink w:anchor="statementsofcashflows_699252">
              <w:r>
                <w:rPr>
                  <w:rStyle w:val="InternetLink"/>
                  <w:rFonts w:ascii="Times New Roman" w:hAnsi="Times New Roman"/>
                  <w:color w:val="0000FF"/>
                  <w:sz w:val="20"/>
                  <w:u w:val="single"/>
                </w:rPr>
                <w:t>Statements of Cash Flows for the years ended December 31, 2025, 2024 and 2023</w:t>
              </w:r>
            </w:hyperlink>
            <w:hyperlink w:anchor="statementsofcashflows_699252">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jc w:val="left"/>
              <w:rPr/>
            </w:pPr>
            <w:hyperlink w:anchor="statementsofassetsandliabilities_984676">
              <w:r>
                <w:rPr>
                  <w:rStyle w:val="InternetLink"/>
                  <w:rFonts w:ascii="Times New Roman" w:hAnsi="Times New Roman"/>
                  <w:color w:val="0000FF"/>
                  <w:sz w:val="20"/>
                  <w:u w:val="single"/>
                </w:rPr>
                <w:t>Consolidated</w:t>
              </w:r>
            </w:hyperlink>
            <w:hyperlink w:anchor="statementsofassetsandliabilities_984676">
              <w:r>
                <w:rPr>
                  <w:rStyle w:val="InternetLink"/>
                  <w:rFonts w:ascii="Times New Roman" w:hAnsi="Times New Roman"/>
                  <w:color w:val="0000FF"/>
                  <w:sz w:val="20"/>
                </w:rPr>
                <w:t xml:space="preserve"> </w:t>
              </w:r>
            </w:hyperlink>
            <w:hyperlink w:anchor="schedulesofinvestmentsasofdecember312019">
              <w:r>
                <w:rPr>
                  <w:rStyle w:val="InternetLink"/>
                  <w:rFonts w:ascii="Times New Roman" w:hAnsi="Times New Roman"/>
                  <w:color w:val="0000FF"/>
                  <w:sz w:val="20"/>
                  <w:u w:val="single"/>
                </w:rPr>
                <w:t>Schedules of Investments as of December 31, 2025 and 2024</w:t>
              </w:r>
            </w:hyperlink>
            <w:hyperlink w:anchor="schedulesofinvestmentsasofdecember312019">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89" w:type="dxa"/>
            <w:tcBorders/>
            <w:tcMar>
              <w:top w:w="0" w:type="dxa"/>
              <w:left w:w="0" w:type="dxa"/>
              <w:bottom w:w="0" w:type="dxa"/>
              <w:right w:w="0" w:type="dxa"/>
            </w:tcMar>
            <w:vAlign w:val="center"/>
          </w:tcPr>
          <w:p>
            <w:pPr>
              <w:pStyle w:val="TableContents"/>
              <w:bidi w:val="0"/>
              <w:spacing w:before="0" w:after="283"/>
              <w:jc w:val="left"/>
              <w:rPr/>
            </w:pPr>
            <w:hyperlink w:anchor="notestofinancialstatementsasofdecember31">
              <w:r>
                <w:rPr>
                  <w:rStyle w:val="InternetLink"/>
                  <w:rFonts w:ascii="Times New Roman" w:hAnsi="Times New Roman"/>
                  <w:color w:val="0000FF"/>
                  <w:sz w:val="20"/>
                  <w:u w:val="single"/>
                </w:rPr>
                <w:t>Notes to Consolidated Financial Statements</w:t>
              </w:r>
            </w:hyperlink>
            <w:hyperlink w:anchor="notestofinancialstatementsasofdecember31">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both"/>
        <w:rPr/>
      </w:pPr>
      <w:r>
        <w:rPr/>
        <w:t> </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Exhibits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exhibits are filed as part of this report or hereby incorporated by reference to exhibits previously filed with the SEC:</w:t>
      </w:r>
    </w:p>
    <w:tbl>
      <w:tblPr>
        <w:tblW w:w="10205" w:type="dxa"/>
        <w:jc w:val="left"/>
        <w:tblInd w:w="0" w:type="dxa"/>
        <w:tblLayout w:type="fixed"/>
        <w:tblCellMar>
          <w:top w:w="28" w:type="dxa"/>
          <w:left w:w="28" w:type="dxa"/>
          <w:bottom w:w="28" w:type="dxa"/>
          <w:right w:w="28" w:type="dxa"/>
        </w:tblCellMar>
      </w:tblPr>
      <w:tblGrid>
        <w:gridCol w:w="837"/>
        <w:gridCol w:w="146"/>
        <w:gridCol w:w="9222"/>
      </w:tblGrid>
      <w:tr>
        <w:trPr/>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2" w:type="dxa"/>
            <w:tcBorders/>
            <w:vAlign w:val="center"/>
          </w:tcPr>
          <w:p>
            <w:pPr>
              <w:pStyle w:val="TableContents"/>
              <w:bidi w:val="0"/>
              <w:spacing w:before="0" w:after="283"/>
              <w:jc w:val="left"/>
              <w:rPr>
                <w:sz w:val="4"/>
                <w:szCs w:val="4"/>
              </w:rPr>
            </w:pPr>
            <w:r>
              <w:rPr>
                <w:sz w:val="4"/>
                <w:szCs w:val="4"/>
              </w:rPr>
            </w:r>
          </w:p>
        </w:tc>
      </w:tr>
      <w:tr>
        <w:trPr/>
        <w:tc>
          <w:tcPr>
            <w:tcW w:w="83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center"/>
              <w:rPr>
                <w:rFonts w:ascii="Times New Roman" w:hAnsi="Times New Roman"/>
                <w:b/>
                <w:color w:val="000000"/>
                <w:sz w:val="16"/>
              </w:rPr>
            </w:pPr>
            <w:r>
              <w:rPr>
                <w:rFonts w:ascii="Times New Roman" w:hAnsi="Times New Roman"/>
                <w:b/>
                <w:color w:val="000000"/>
                <w:sz w:val="16"/>
              </w:rPr>
              <w:t>Description</w:t>
            </w:r>
          </w:p>
        </w:tc>
      </w:tr>
      <w:tr>
        <w:trPr/>
        <w:tc>
          <w:tcPr>
            <w:tcW w:w="837" w:type="dxa"/>
            <w:tcBorders>
              <w:top w:val="single" w:sz="4" w:space="0" w:color="000000"/>
            </w:tcBorders>
            <w:tcMar>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2.1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222" w:type="dxa"/>
            <w:tcBorders>
              <w:top w:val="single" w:sz="4" w:space="0" w:color="000000"/>
            </w:tcBorders>
            <w:tcMar>
              <w:left w:w="0" w:type="dxa"/>
              <w:bottom w:w="0" w:type="dxa"/>
              <w:right w:w="0" w:type="dxa"/>
            </w:tcMar>
            <w:vAlign w:val="center"/>
          </w:tcPr>
          <w:p>
            <w:pPr>
              <w:pStyle w:val="TableContents"/>
              <w:bidi w:val="0"/>
              <w:spacing w:before="0" w:after="283"/>
              <w:ind w:left="0" w:right="0" w:firstLine="216"/>
              <w:jc w:val="left"/>
              <w:rPr/>
            </w:pPr>
            <w:hyperlink r:id="rId3">
              <w:r>
                <w:rPr>
                  <w:rStyle w:val="InternetLink"/>
                  <w:rFonts w:ascii="Times New Roman" w:hAnsi="Times New Roman"/>
                  <w:color w:val="0000FF"/>
                  <w:sz w:val="20"/>
                  <w:u w:val="single"/>
                </w:rPr>
                <w:t>Agreement and Plan of Merger by and among Runway Growth Finance Corp., RWAY Portfolio Holding Corp., RWAY Portfolio Corp., Runway Growth Capital LLC and SWK Holdings Corporation, dated as of October 9, 2025.</w:t>
              </w:r>
            </w:hyperlink>
            <w:hyperlink r:id="rId4">
              <w:r>
                <w:rPr>
                  <w:rStyle w:val="InternetLink"/>
                  <w:rFonts w:ascii="Times New Roman" w:hAnsi="Times New Roman"/>
                  <w:color w:val="0000FF"/>
                  <w:sz w:val="13"/>
                  <w:u w:val="single"/>
                </w:rPr>
                <w:t>(25)</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5">
              <w:r>
                <w:rPr>
                  <w:rStyle w:val="InternetLink"/>
                  <w:rFonts w:ascii="Times New Roman" w:hAnsi="Times New Roman"/>
                  <w:color w:val="0000FF"/>
                  <w:sz w:val="20"/>
                  <w:u w:val="single"/>
                </w:rPr>
                <w:t>Key Stockholder Agreement by and among Runway Growth Finance Corp., Black Diamond Offshore Ltd. and Double Black Diamond Offshore Ltd., dated as of October 9, 2025.</w:t>
              </w:r>
            </w:hyperlink>
            <w:hyperlink r:id="rId6">
              <w:r>
                <w:rPr>
                  <w:rStyle w:val="InternetLink"/>
                  <w:rFonts w:ascii="Times New Roman" w:hAnsi="Times New Roman"/>
                  <w:color w:val="0000FF"/>
                  <w:sz w:val="13"/>
                  <w:u w:val="single"/>
                </w:rPr>
                <w:t>(25)</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7">
              <w:r>
                <w:rPr>
                  <w:rStyle w:val="InternetLink"/>
                  <w:rFonts w:ascii="Times New Roman" w:hAnsi="Times New Roman"/>
                  <w:color w:val="0000FF"/>
                  <w:sz w:val="20"/>
                  <w:u w:val="single"/>
                </w:rPr>
                <w:t>Articles of Amendment and Restatement</w:t>
              </w:r>
            </w:hyperlink>
            <w:hyperlink r:id="rId8">
              <w:r>
                <w:rPr>
                  <w:rStyle w:val="InternetLink"/>
                  <w:rFonts w:ascii="Times New Roman" w:hAnsi="Times New Roman"/>
                  <w:color w:val="0000FF"/>
                  <w:sz w:val="13"/>
                  <w:u w:val="single"/>
                </w:rPr>
                <w:t>(1)</w:t>
              </w:r>
            </w:hyperlink>
            <w:hyperlink r:id="rId9">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10">
              <w:r>
                <w:rPr>
                  <w:rStyle w:val="InternetLink"/>
                  <w:rFonts w:ascii="Times New Roman" w:hAnsi="Times New Roman"/>
                  <w:color w:val="0000FF"/>
                  <w:sz w:val="20"/>
                  <w:u w:val="single"/>
                </w:rPr>
                <w:t>Articles of Amendment</w:t>
              </w:r>
            </w:hyperlink>
            <w:hyperlink r:id="rId11">
              <w:r>
                <w:rPr>
                  <w:rStyle w:val="InternetLink"/>
                  <w:rFonts w:ascii="Times New Roman" w:hAnsi="Times New Roman"/>
                  <w:color w:val="0000FF"/>
                  <w:sz w:val="13"/>
                  <w:u w:val="single"/>
                </w:rPr>
                <w:t>(10)</w:t>
              </w:r>
            </w:hyperlink>
            <w:hyperlink r:id="rId12">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13">
              <w:r>
                <w:rPr>
                  <w:rStyle w:val="InternetLink"/>
                  <w:rFonts w:ascii="Times New Roman" w:hAnsi="Times New Roman"/>
                  <w:color w:val="0000FF"/>
                  <w:sz w:val="20"/>
                  <w:u w:val="single"/>
                </w:rPr>
                <w:t>Second Amended and Restated Bylaws</w:t>
              </w:r>
            </w:hyperlink>
            <w:hyperlink r:id="rId14">
              <w:r>
                <w:rPr>
                  <w:rStyle w:val="InternetLink"/>
                  <w:rFonts w:ascii="Times New Roman" w:hAnsi="Times New Roman"/>
                  <w:color w:val="0000FF"/>
                  <w:sz w:val="13"/>
                  <w:u w:val="single"/>
                </w:rPr>
                <w:t>(10)</w:t>
              </w:r>
            </w:hyperlink>
            <w:hyperlink r:id="rId15">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16">
              <w:r>
                <w:rPr>
                  <w:rStyle w:val="InternetLink"/>
                  <w:rFonts w:ascii="Times New Roman" w:hAnsi="Times New Roman"/>
                  <w:color w:val="0000FF"/>
                  <w:sz w:val="20"/>
                  <w:u w:val="single"/>
                </w:rPr>
                <w:t>Description of Securities</w:t>
              </w:r>
            </w:hyperlink>
            <w:hyperlink r:id="rId17">
              <w:r>
                <w:rPr>
                  <w:rStyle w:val="InternetLink"/>
                  <w:rFonts w:ascii="Times New Roman" w:hAnsi="Times New Roman"/>
                  <w:color w:val="0000FF"/>
                  <w:sz w:val="13"/>
                  <w:u w:val="single"/>
                </w:rPr>
                <w:t>(6)</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18">
              <w:r>
                <w:rPr>
                  <w:rStyle w:val="InternetLink"/>
                  <w:rFonts w:ascii="Times New Roman" w:hAnsi="Times New Roman"/>
                  <w:color w:val="0000FF"/>
                  <w:sz w:val="20"/>
                  <w:u w:val="single"/>
                </w:rPr>
                <w:t>Indenture, dated July 28, 2022, by and between Runway Growth Finance Corp. and U.S. Bank Trust Company, National Association, as trustee</w:t>
              </w:r>
            </w:hyperlink>
            <w:hyperlink r:id="rId19">
              <w:r>
                <w:rPr>
                  <w:rStyle w:val="InternetLink"/>
                  <w:rFonts w:ascii="Times New Roman" w:hAnsi="Times New Roman"/>
                  <w:color w:val="0000FF"/>
                  <w:sz w:val="13"/>
                  <w:u w:val="single"/>
                </w:rPr>
                <w:t>(15)</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20">
              <w:r>
                <w:rPr>
                  <w:rStyle w:val="InternetLink"/>
                  <w:rFonts w:ascii="Times New Roman" w:hAnsi="Times New Roman"/>
                  <w:color w:val="0000FF"/>
                  <w:sz w:val="20"/>
                  <w:u w:val="single"/>
                </w:rPr>
                <w:t>First Supplemental Indenture, dated July 28, 2022, by and between Runway Growth Finance Corp. and U.S. Bank Trust Company, National Association, as trustee</w:t>
              </w:r>
            </w:hyperlink>
            <w:hyperlink r:id="rId21">
              <w:r>
                <w:rPr>
                  <w:rStyle w:val="InternetLink"/>
                  <w:rFonts w:ascii="Times New Roman" w:hAnsi="Times New Roman"/>
                  <w:color w:val="0000FF"/>
                  <w:sz w:val="13"/>
                  <w:u w:val="single"/>
                </w:rPr>
                <w:t>(15)</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22">
              <w:r>
                <w:rPr>
                  <w:rStyle w:val="InternetLink"/>
                  <w:rFonts w:ascii="Times New Roman" w:hAnsi="Times New Roman"/>
                  <w:color w:val="0000FF"/>
                  <w:sz w:val="20"/>
                  <w:u w:val="single"/>
                </w:rPr>
                <w:t>Form of Global Note 7.50% Note Due 2027 (included as part of Exhibit 4.3)</w:t>
              </w:r>
            </w:hyperlink>
            <w:hyperlink r:id="rId23">
              <w:r>
                <w:rPr>
                  <w:rStyle w:val="InternetLink"/>
                  <w:rFonts w:ascii="Times New Roman" w:hAnsi="Times New Roman"/>
                  <w:color w:val="0000FF"/>
                  <w:sz w:val="13"/>
                  <w:u w:val="single"/>
                </w:rPr>
                <w:t>(15)</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24">
              <w:r>
                <w:rPr>
                  <w:rStyle w:val="InternetLink"/>
                  <w:rFonts w:ascii="Times New Roman" w:hAnsi="Times New Roman"/>
                  <w:color w:val="0000FF"/>
                  <w:sz w:val="20"/>
                  <w:u w:val="single"/>
                </w:rPr>
                <w:t>Third Supplemental Indenture, dated February 3, 2026, by and between Runway Growth Finance Corp. and U.S. Bank Trust Company, National Association, as trustee</w:t>
              </w:r>
            </w:hyperlink>
            <w:hyperlink r:id="rId25">
              <w:r>
                <w:rPr>
                  <w:rStyle w:val="InternetLink"/>
                  <w:rFonts w:ascii="Times New Roman" w:hAnsi="Times New Roman"/>
                  <w:color w:val="0000FF"/>
                  <w:sz w:val="13"/>
                  <w:u w:val="single"/>
                </w:rPr>
                <w:t>(26)</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26">
              <w:r>
                <w:rPr>
                  <w:rStyle w:val="InternetLink"/>
                  <w:rFonts w:ascii="Times New Roman" w:hAnsi="Times New Roman"/>
                  <w:color w:val="0000FF"/>
                  <w:sz w:val="20"/>
                  <w:u w:val="single"/>
                </w:rPr>
                <w:t>Form of Global Note (included as part of Exhibit 4.5)</w:t>
              </w:r>
            </w:hyperlink>
            <w:hyperlink r:id="rId27">
              <w:r>
                <w:rPr>
                  <w:rStyle w:val="InternetLink"/>
                  <w:rFonts w:ascii="Times New Roman" w:hAnsi="Times New Roman"/>
                  <w:color w:val="0000FF"/>
                  <w:sz w:val="13"/>
                  <w:u w:val="single"/>
                </w:rPr>
                <w:t>(26)</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28">
              <w:r>
                <w:rPr>
                  <w:rStyle w:val="InternetLink"/>
                  <w:rFonts w:ascii="Times New Roman" w:hAnsi="Times New Roman"/>
                  <w:color w:val="0000FF"/>
                  <w:sz w:val="20"/>
                  <w:u w:val="single"/>
                </w:rPr>
                <w:t>Voting Proxy of OCM Growth Holdings, LLC in favor of Runway Growth Credit Fund Inc.</w:t>
              </w:r>
            </w:hyperlink>
            <w:hyperlink r:id="rId29">
              <w:r>
                <w:rPr>
                  <w:rStyle w:val="InternetLink"/>
                  <w:rFonts w:ascii="Times New Roman" w:hAnsi="Times New Roman"/>
                  <w:color w:val="0000FF"/>
                  <w:sz w:val="13"/>
                  <w:u w:val="single"/>
                </w:rPr>
                <w:t>(2)</w:t>
              </w:r>
            </w:hyperlink>
            <w:hyperlink r:id="rId30">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31">
              <w:r>
                <w:rPr>
                  <w:rStyle w:val="InternetLink"/>
                  <w:rFonts w:ascii="Times New Roman" w:hAnsi="Times New Roman"/>
                  <w:color w:val="0000FF"/>
                  <w:sz w:val="20"/>
                  <w:u w:val="single"/>
                </w:rPr>
                <w:t>Third Amended and Restated Investment Advisory Agreement, dated January 30, 2025, between Runway Growth Credit Fund Inc. and Runway Growth Capital LLC, as the investment adviser.</w:t>
              </w:r>
            </w:hyperlink>
            <w:hyperlink r:id="rId32">
              <w:r>
                <w:rPr>
                  <w:rStyle w:val="InternetLink"/>
                  <w:rFonts w:ascii="Times New Roman" w:hAnsi="Times New Roman"/>
                  <w:color w:val="0000FF"/>
                  <w:sz w:val="13"/>
                  <w:u w:val="single"/>
                </w:rPr>
                <w:t>(21)</w:t>
              </w:r>
            </w:hyperlink>
            <w:hyperlink r:id="rId33">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34">
              <w:r>
                <w:rPr>
                  <w:rStyle w:val="InternetLink"/>
                  <w:rFonts w:ascii="Times New Roman" w:hAnsi="Times New Roman"/>
                  <w:color w:val="0000FF"/>
                  <w:sz w:val="20"/>
                  <w:u w:val="single"/>
                </w:rPr>
                <w:t>Amended and Restated Administration Agreement between Runway Growth Credit Fund Inc. and Runway Administrator Services, LLC, as the administrator</w:t>
              </w:r>
            </w:hyperlink>
            <w:hyperlink r:id="rId35">
              <w:r>
                <w:rPr>
                  <w:rStyle w:val="InternetLink"/>
                  <w:rFonts w:ascii="Times New Roman" w:hAnsi="Times New Roman"/>
                  <w:color w:val="0000FF"/>
                  <w:sz w:val="13"/>
                  <w:u w:val="single"/>
                </w:rPr>
                <w:t>(9)</w:t>
              </w:r>
            </w:hyperlink>
            <w:hyperlink r:id="rId36">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37">
              <w:r>
                <w:rPr>
                  <w:rStyle w:val="InternetLink"/>
                  <w:rFonts w:ascii="Times New Roman" w:hAnsi="Times New Roman"/>
                  <w:color w:val="0000FF"/>
                  <w:sz w:val="20"/>
                  <w:u w:val="single"/>
                </w:rPr>
                <w:t>Stockholder Agreement between Runway Growth Credit Fund Inc. and OCM Growth Holdings, LLC</w:t>
              </w:r>
            </w:hyperlink>
            <w:hyperlink r:id="rId38">
              <w:r>
                <w:rPr>
                  <w:rStyle w:val="InternetLink"/>
                  <w:rFonts w:ascii="Times New Roman" w:hAnsi="Times New Roman"/>
                  <w:color w:val="0000FF"/>
                  <w:sz w:val="13"/>
                  <w:u w:val="single"/>
                </w:rPr>
                <w:t>(1)</w:t>
              </w:r>
            </w:hyperlink>
            <w:hyperlink r:id="rId39">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40">
              <w:r>
                <w:rPr>
                  <w:rStyle w:val="InternetLink"/>
                  <w:rFonts w:ascii="Times New Roman" w:hAnsi="Times New Roman"/>
                  <w:color w:val="0000FF"/>
                  <w:sz w:val="20"/>
                  <w:u w:val="single"/>
                </w:rPr>
                <w:t>Custody Agreement between Runway Growth Credit Fund Inc. and U.S. Bank National Association, as the custodian dated as of December 16, 2016</w:t>
              </w:r>
            </w:hyperlink>
            <w:hyperlink r:id="rId41">
              <w:r>
                <w:rPr>
                  <w:rStyle w:val="InternetLink"/>
                  <w:rFonts w:ascii="Times New Roman" w:hAnsi="Times New Roman"/>
                  <w:color w:val="0000FF"/>
                  <w:sz w:val="13"/>
                  <w:u w:val="single"/>
                </w:rPr>
                <w:t>(1)</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42">
              <w:r>
                <w:rPr>
                  <w:rStyle w:val="InternetLink"/>
                  <w:rFonts w:ascii="Times New Roman" w:hAnsi="Times New Roman"/>
                  <w:color w:val="000080"/>
                  <w:sz w:val="20"/>
                  <w:u w:val="single"/>
                </w:rPr>
                <w:t>First Amendment to Custody Agreement between Runway Growth Finance Corp. and U.S. Bank National Association, as the custodian, dated as of August 3, 202</w:t>
              </w:r>
            </w:hyperlink>
            <w:r>
              <w:rPr>
                <w:rFonts w:ascii="Times New Roman" w:hAnsi="Times New Roman"/>
                <w:color w:val="0000FF"/>
                <w:sz w:val="20"/>
                <w:u w:val="single"/>
              </w:rPr>
              <w:t>3</w:t>
            </w:r>
            <w:hyperlink r:id="rId43">
              <w:r>
                <w:rPr>
                  <w:rStyle w:val="InternetLink"/>
                  <w:rFonts w:ascii="Times New Roman" w:hAnsi="Times New Roman"/>
                  <w:color w:val="0000FF"/>
                  <w:sz w:val="13"/>
                  <w:u w:val="single"/>
                </w:rPr>
                <w:t>(18)</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44">
              <w:r>
                <w:rPr>
                  <w:rStyle w:val="InternetLink"/>
                  <w:rFonts w:ascii="Times New Roman" w:hAnsi="Times New Roman"/>
                  <w:color w:val="0000FF"/>
                  <w:sz w:val="20"/>
                  <w:u w:val="single"/>
                </w:rPr>
                <w:t>Amended and Restated Dividend Reinvestment Plan,</w:t>
              </w:r>
            </w:hyperlink>
            <w:hyperlink r:id="rId45">
              <w:r>
                <w:rPr>
                  <w:rStyle w:val="InternetLink"/>
                  <w:rFonts w:ascii="Times New Roman" w:hAnsi="Times New Roman"/>
                  <w:color w:val="0000FF"/>
                  <w:sz w:val="13"/>
                  <w:u w:val="single"/>
                </w:rPr>
                <w:t>(13)</w:t>
              </w:r>
            </w:hyperlink>
            <w:hyperlink r:id="rId46">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47">
              <w:r>
                <w:rPr>
                  <w:rStyle w:val="InternetLink"/>
                  <w:rFonts w:ascii="Times New Roman" w:hAnsi="Times New Roman"/>
                  <w:color w:val="0000FF"/>
                  <w:sz w:val="20"/>
                  <w:u w:val="single"/>
                </w:rPr>
                <w:t>Form of Indemnification Agreement</w:t>
              </w:r>
            </w:hyperlink>
            <w:hyperlink r:id="rId48">
              <w:r>
                <w:rPr>
                  <w:rStyle w:val="InternetLink"/>
                  <w:rFonts w:ascii="Times New Roman" w:hAnsi="Times New Roman"/>
                  <w:color w:val="0000FF"/>
                  <w:sz w:val="13"/>
                  <w:u w:val="single"/>
                </w:rPr>
                <w:t>(3)</w:t>
              </w:r>
            </w:hyperlink>
            <w:hyperlink r:id="rId49">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50">
              <w:r>
                <w:rPr>
                  <w:rStyle w:val="InternetLink"/>
                  <w:rFonts w:ascii="Times New Roman" w:hAnsi="Times New Roman"/>
                  <w:color w:val="0000FF"/>
                  <w:sz w:val="20"/>
                  <w:u w:val="single"/>
                </w:rPr>
                <w:t>Trademark License Agreement by and between Runway Growth Capital LLC and the Runway Growth Finance Corp.</w:t>
              </w:r>
            </w:hyperlink>
            <w:hyperlink r:id="rId51">
              <w:r>
                <w:rPr>
                  <w:rStyle w:val="InternetLink"/>
                  <w:rFonts w:ascii="Times New Roman" w:hAnsi="Times New Roman"/>
                  <w:color w:val="0000FF"/>
                  <w:sz w:val="13"/>
                  <w:u w:val="single"/>
                </w:rPr>
                <w:t>(12)</w:t>
              </w:r>
            </w:hyperlink>
            <w:hyperlink r:id="rId52">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53">
              <w:r>
                <w:rPr>
                  <w:rStyle w:val="InternetLink"/>
                  <w:rFonts w:ascii="Times New Roman" w:hAnsi="Times New Roman"/>
                  <w:color w:val="0000FF"/>
                  <w:sz w:val="20"/>
                  <w:u w:val="single"/>
                </w:rPr>
                <w:t>Transfer Agent Agreement by and between American Stock Transfer &amp; Trust Company, LLC and the Registrant</w:t>
              </w:r>
            </w:hyperlink>
            <w:hyperlink r:id="rId54">
              <w:r>
                <w:rPr>
                  <w:rStyle w:val="InternetLink"/>
                  <w:rFonts w:ascii="Times New Roman" w:hAnsi="Times New Roman"/>
                  <w:color w:val="0000FF"/>
                  <w:sz w:val="13"/>
                  <w:u w:val="single"/>
                </w:rPr>
                <w:t>(4)</w:t>
              </w:r>
            </w:hyperlink>
            <w:hyperlink r:id="rId55">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56">
              <w:r>
                <w:rPr>
                  <w:rStyle w:val="InternetLink"/>
                  <w:rFonts w:ascii="Times New Roman" w:hAnsi="Times New Roman"/>
                  <w:color w:val="0000FF"/>
                  <w:sz w:val="20"/>
                  <w:u w:val="single"/>
                </w:rPr>
                <w:t>Credit Agreement, dated as of May 31, 2019, by and among the Company, as borrower, KeyBank National Association, as administrative agent and syndication agent, CIBC Bank USA, as documentation agent, U.S. Bank National Association, as paying agent, the guarantors from time to time party thereto, and the lenders from time to time party thereto.</w:t>
              </w:r>
            </w:hyperlink>
            <w:hyperlink r:id="rId57">
              <w:r>
                <w:rPr>
                  <w:rStyle w:val="InternetLink"/>
                  <w:rFonts w:ascii="Times New Roman" w:hAnsi="Times New Roman"/>
                  <w:color w:val="0000FF"/>
                  <w:sz w:val="13"/>
                  <w:u w:val="single"/>
                </w:rPr>
                <w:t>(5)</w:t>
              </w:r>
            </w:hyperlink>
            <w:hyperlink r:id="rId58">
              <w:r>
                <w:rPr>
                  <w:rStyle w:val="InternetLink"/>
                  <w:rFonts w:ascii="Times New Roman" w:hAnsi="Times New Roman"/>
                  <w:color w:val="0000FF"/>
                  <w:sz w:val="20"/>
                </w:rPr>
                <w:t xml:space="preserve"> </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59">
              <w:r>
                <w:rPr>
                  <w:rStyle w:val="InternetLink"/>
                  <w:rFonts w:ascii="Times New Roman" w:hAnsi="Times New Roman"/>
                  <w:color w:val="0000FF"/>
                  <w:sz w:val="20"/>
                  <w:u w:val="single"/>
                </w:rPr>
                <w:t>First Amendment to Credit Agreement, dated as of November 10, 2020, among the Company, as borrower; the financial institutions party thereto as lenders; KeyBank National Association, as administrative agent and lender; CIBC Bank USA, as documentation agent and lender; and U.S. Bank National Association, as paying agent.</w:t>
              </w:r>
            </w:hyperlink>
            <w:hyperlink r:id="rId60">
              <w:r>
                <w:rPr>
                  <w:rStyle w:val="InternetLink"/>
                  <w:rFonts w:ascii="Times New Roman" w:hAnsi="Times New Roman"/>
                  <w:color w:val="0000FF"/>
                  <w:sz w:val="13"/>
                  <w:u w:val="single"/>
                </w:rPr>
                <w:t>(7)</w:t>
              </w:r>
            </w:hyperlink>
          </w:p>
        </w:tc>
      </w:tr>
      <w:tr>
        <w:trPr/>
        <w:tc>
          <w:tcPr>
            <w:tcW w:w="83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22" w:type="dxa"/>
            <w:tcBorders/>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Second Amendment to Credit Agreement, dated as of December 2, 2020, among the Company, as borrower; the financial institutions party thereto as lenders; KeyBank National Association, as administrative agent and lender; CIBC Bank USA, as documentation agent and lender; MUFG Union Bank, N.A., as co-documentation agent and lender; and U.S. Bank National Association, as paying agent.</w:t>
              </w:r>
            </w:hyperlink>
            <w:hyperlink r:id="rId62">
              <w:r>
                <w:rPr>
                  <w:rStyle w:val="InternetLink"/>
                  <w:rFonts w:ascii="Times New Roman" w:hAnsi="Times New Roman"/>
                  <w:color w:val="0000FF"/>
                  <w:sz w:val="13"/>
                  <w:u w:val="single"/>
                </w:rPr>
                <w:t>(8)</w:t>
              </w:r>
            </w:hyperlink>
          </w:p>
        </w:tc>
      </w:tr>
    </w:tbl>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tbl>
      <w:tblPr>
        <w:tblW w:w="10205" w:type="dxa"/>
        <w:jc w:val="left"/>
        <w:tblInd w:w="0" w:type="dxa"/>
        <w:tblLayout w:type="fixed"/>
        <w:tblCellMar>
          <w:top w:w="28" w:type="dxa"/>
          <w:left w:w="28" w:type="dxa"/>
          <w:bottom w:w="28" w:type="dxa"/>
          <w:right w:w="28" w:type="dxa"/>
        </w:tblCellMar>
      </w:tblPr>
      <w:tblGrid>
        <w:gridCol w:w="802"/>
        <w:gridCol w:w="146"/>
        <w:gridCol w:w="9257"/>
      </w:tblGrid>
      <w:tr>
        <w:trPr/>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7"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63">
              <w:r>
                <w:rPr>
                  <w:rStyle w:val="InternetLink"/>
                  <w:rFonts w:ascii="Times New Roman" w:hAnsi="Times New Roman"/>
                  <w:color w:val="0000FF"/>
                  <w:sz w:val="20"/>
                  <w:u w:val="single"/>
                </w:rPr>
                <w:t>Third Amendment to Credit Agreement, dated as of June 1, 2021, among the Company, as borrower; the financial institutions party thereto as lenders; KeyBank National Association, as administrative agent and lender; CIBC Bank USA, as documentation agent and lender; MUFG Union Bank, N.A., as co-documentation agent and lender; and U.S. Bank National Association, as paying agent</w:t>
              </w:r>
            </w:hyperlink>
            <w:hyperlink r:id="rId64">
              <w:r>
                <w:rPr>
                  <w:rStyle w:val="InternetLink"/>
                  <w:rFonts w:ascii="Times New Roman" w:hAnsi="Times New Roman"/>
                  <w:color w:val="0000FF"/>
                  <w:sz w:val="13"/>
                  <w:u w:val="single"/>
                </w:rPr>
                <w:t>(11)</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65">
              <w:r>
                <w:rPr>
                  <w:rStyle w:val="InternetLink"/>
                  <w:rFonts w:ascii="Times New Roman" w:hAnsi="Times New Roman"/>
                  <w:color w:val="0000FF"/>
                  <w:sz w:val="20"/>
                  <w:u w:val="single"/>
                </w:rPr>
                <w:t>Fourth Amendment to Credit Agreement, dated as of August 3, 2021, among Runway Growth Credit Fund Inc., as borrower; the financial institutions party thereto as lenders; KeyBank National Association, as administrative agent and lender; CIBC Bank USA, as documentation agent and lender; MUFG Union Bank, N.A. as co-documentation agent and lender; and U.S. Bank National Association, as paying agent</w:t>
              </w:r>
            </w:hyperlink>
            <w:hyperlink r:id="rId66">
              <w:r>
                <w:rPr>
                  <w:rStyle w:val="InternetLink"/>
                  <w:rFonts w:ascii="Times New Roman" w:hAnsi="Times New Roman"/>
                  <w:color w:val="0000FF"/>
                  <w:sz w:val="13"/>
                  <w:u w:val="single"/>
                </w:rPr>
                <w:t>(9)</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67">
              <w:r>
                <w:rPr>
                  <w:rStyle w:val="InternetLink"/>
                  <w:rFonts w:ascii="Times New Roman" w:hAnsi="Times New Roman"/>
                  <w:color w:val="0000FF"/>
                  <w:sz w:val="20"/>
                  <w:u w:val="single"/>
                </w:rPr>
                <w:t>Fifth Amendment to Credit Agreement, dated as of October 19, 2021, among Runway Growth Finance Corp., as borrower; the financial institutions party thereto as lenders; KeyBank National Association, as administrative agent and lender; CIBC Bank USA, as documentation agent and lender; MUFG Union Bank, N.A. as co-documentation agent and lender; and U.S. Bank National Association, as paying agent</w:t>
              </w:r>
            </w:hyperlink>
            <w:hyperlink r:id="rId68">
              <w:r>
                <w:rPr>
                  <w:rStyle w:val="InternetLink"/>
                  <w:rFonts w:ascii="Times New Roman" w:hAnsi="Times New Roman"/>
                  <w:color w:val="0000FF"/>
                  <w:sz w:val="13"/>
                  <w:u w:val="single"/>
                </w:rPr>
                <w:t>(13)</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69">
              <w:r>
                <w:rPr>
                  <w:rStyle w:val="InternetLink"/>
                  <w:rFonts w:ascii="Times New Roman" w:hAnsi="Times New Roman"/>
                  <w:color w:val="0000FF"/>
                  <w:sz w:val="20"/>
                  <w:u w:val="single"/>
                </w:rPr>
                <w:t>Amended and Restated Credit Agreement, dated as of April 20, 2022, among Runway Growth Finance Corp., as borrower; the financial institutions party thereto as lenders; KeyBank National Association, as administrative agent and lender; CIBC Bank USA, as documentation agent and lender; MUFG Union Bank, N.A. as co-documentation agent and lender; and U.S. Bank National Association, as paying agent</w:t>
              </w:r>
            </w:hyperlink>
            <w:hyperlink r:id="rId70">
              <w:r>
                <w:rPr>
                  <w:rStyle w:val="InternetLink"/>
                  <w:rFonts w:ascii="Times New Roman" w:hAnsi="Times New Roman"/>
                  <w:color w:val="0000FF"/>
                  <w:sz w:val="13"/>
                  <w:u w:val="single"/>
                </w:rPr>
                <w:t>(14)</w:t>
              </w:r>
            </w:hyperlink>
            <w:hyperlink r:id="rId71">
              <w:r>
                <w:rPr>
                  <w:rStyle w:val="InternetLink"/>
                  <w:rFonts w:ascii="Times New Roman" w:hAnsi="Times New Roman"/>
                  <w:color w:val="0000FF"/>
                  <w:sz w:val="20"/>
                </w:rPr>
                <w:t xml:space="preserve"> </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72">
              <w:r>
                <w:rPr>
                  <w:rStyle w:val="InternetLink"/>
                  <w:rFonts w:ascii="Times New Roman" w:hAnsi="Times New Roman"/>
                  <w:color w:val="0000FF"/>
                  <w:sz w:val="20"/>
                  <w:u w:val="single"/>
                </w:rPr>
                <w:t>Second Amendment to the Amended and Restated Credit Agreement, dated as of January 4, 2023, among Runway Growth Finance Corp., as borrower; the financial institutions parties thereto as lenders; and KeyBank National Association, as administrative agent and lender; CIBC Bank USA, as documentation agent; MUFG Union Bank, Ltd (as successor-in-interest to MUFG Union Bank, N.A.), as documentation agent; and U.S. Bank Trust Company, National Association, as paying agent</w:t>
              </w:r>
            </w:hyperlink>
            <w:hyperlink r:id="rId73">
              <w:r>
                <w:rPr>
                  <w:rStyle w:val="InternetLink"/>
                  <w:rFonts w:ascii="Times New Roman" w:hAnsi="Times New Roman"/>
                  <w:color w:val="0000FF"/>
                  <w:sz w:val="13"/>
                  <w:u w:val="single"/>
                </w:rPr>
                <w:t>(17)</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74">
              <w:r>
                <w:rPr>
                  <w:rStyle w:val="InternetLink"/>
                  <w:rFonts w:ascii="Times New Roman" w:hAnsi="Times New Roman"/>
                  <w:color w:val="0000FF"/>
                  <w:sz w:val="20"/>
                  <w:u w:val="single"/>
                </w:rPr>
                <w:t>Third Amendment to the Amended and Restated Credit Agreement, dated as of March 24, 2023, among Runway Growth Finance Corp., as borrower, the financial institutions party thereto as lenders, KeyBank National Association, as administrative and lender, CIBC Bank USA, as documentation, MUFG Bank, Ltd. (as successor in interest to MUFG Bank, N.A.), as co-documentation agent, and U.S. Bank Trust Company, National Association, as paying agent</w:t>
              </w:r>
            </w:hyperlink>
            <w:hyperlink r:id="rId75">
              <w:r>
                <w:rPr>
                  <w:rStyle w:val="InternetLink"/>
                  <w:rFonts w:ascii="Times New Roman" w:hAnsi="Times New Roman"/>
                  <w:color w:val="0000FF"/>
                  <w:sz w:val="13"/>
                  <w:u w:val="single"/>
                </w:rPr>
                <w:t>(22)</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76">
              <w:r>
                <w:rPr>
                  <w:rStyle w:val="InternetLink"/>
                  <w:rFonts w:ascii="Times New Roman" w:hAnsi="Times New Roman"/>
                  <w:color w:val="0000FF"/>
                  <w:sz w:val="20"/>
                  <w:u w:val="single"/>
                </w:rPr>
                <w:t>Fourth Amendment to the Amended and Restated Credit Agreement, dated as of December 4, 2023, among Runway Growth Finance Corp., as borrower, the financial institutions party thereto as lenders, KeyBank National Association, as administrative agent and lender, CIBC Bank USA, as documentation agent, MUFG Bank, Ltd. (as successor in interest to MUFG Union Bank, N.A.), as co-documentation agent, and U.S. Bank Trust Company, National Association, as paying agent</w:t>
              </w:r>
            </w:hyperlink>
            <w:hyperlink r:id="rId77">
              <w:r>
                <w:rPr>
                  <w:rStyle w:val="InternetLink"/>
                  <w:rFonts w:ascii="Times New Roman" w:hAnsi="Times New Roman"/>
                  <w:color w:val="0000FF"/>
                  <w:sz w:val="13"/>
                  <w:u w:val="single"/>
                </w:rPr>
                <w:t>(19)</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78">
              <w:r>
                <w:rPr>
                  <w:rStyle w:val="InternetLink"/>
                  <w:rFonts w:ascii="Times New Roman" w:hAnsi="Times New Roman"/>
                  <w:color w:val="0000FF"/>
                  <w:sz w:val="20"/>
                  <w:u w:val="single"/>
                </w:rPr>
                <w:t>Joinder Agreement and Facility Amount Increase, dated as of December 4, 2023, among Runway Growth Finance Corp., as borrower, the financial institutions party thereto as lenders, and KeyBank National Association, as administrative agent</w:t>
              </w:r>
            </w:hyperlink>
            <w:hyperlink r:id="rId79">
              <w:r>
                <w:rPr>
                  <w:rStyle w:val="InternetLink"/>
                  <w:rFonts w:ascii="Times New Roman" w:hAnsi="Times New Roman"/>
                  <w:color w:val="0000FF"/>
                  <w:sz w:val="13"/>
                  <w:u w:val="single"/>
                </w:rPr>
                <w:t>(19)</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80">
              <w:r>
                <w:rPr>
                  <w:rStyle w:val="InternetLink"/>
                  <w:rFonts w:ascii="Times New Roman" w:hAnsi="Times New Roman"/>
                  <w:color w:val="0000FF"/>
                  <w:sz w:val="20"/>
                  <w:u w:val="single"/>
                </w:rPr>
                <w:t>Fifth Amendment to the Amended and Restated Credit Agreement, dated as of November 22, 2024, among Runway Growth Finance Corp., as borrower, the financial institutions party thereto as lenders, KeyBank National Association, as administrative agent and lender, CIBC Bank USA, as documentation agent, MUFG Bank, Ltd. (as successor in interest to MUFG Union Bank, N.A.), as co-documentation agent, and U.S. Bank Trust Company, National Association, as paying agent</w:t>
              </w:r>
            </w:hyperlink>
            <w:hyperlink r:id="rId81">
              <w:r>
                <w:rPr>
                  <w:rStyle w:val="InternetLink"/>
                  <w:rFonts w:ascii="Times New Roman" w:hAnsi="Times New Roman"/>
                  <w:color w:val="0000FF"/>
                  <w:sz w:val="13"/>
                  <w:u w:val="single"/>
                </w:rPr>
                <w:t>(22)</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82">
              <w:r>
                <w:rPr>
                  <w:rStyle w:val="InternetLink"/>
                  <w:rFonts w:ascii="Times New Roman" w:hAnsi="Times New Roman"/>
                  <w:color w:val="0000FF"/>
                  <w:sz w:val="20"/>
                  <w:u w:val="single"/>
                </w:rPr>
                <w:t>Sixth Amendment to the Amended and Restated Credit Agreement, dated as of March 18, 2025, among Runway Growth Finance Corp., as borrower, the financial institutions party thereto as lenders, KeyBank National Association, as administrative agent and lender, CIBC Bank USA, as documentation agent, MUFG Bank, Ltd. (as successor in interest to MUFG Union Bank, N.A.), as co-documentation agent, and U.S. Bank Trust Company, National Association, as paying agent</w:t>
              </w:r>
            </w:hyperlink>
            <w:hyperlink r:id="rId83">
              <w:r>
                <w:rPr>
                  <w:rStyle w:val="InternetLink"/>
                  <w:rFonts w:ascii="Times New Roman" w:hAnsi="Times New Roman"/>
                  <w:color w:val="0000FF"/>
                  <w:sz w:val="13"/>
                  <w:u w:val="single"/>
                </w:rPr>
                <w:t>(23)</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10_23.htm">
              <w:r>
                <w:rPr>
                  <w:rStyle w:val="InternetLink"/>
                  <w:rFonts w:ascii="Times New Roman" w:hAnsi="Times New Roman"/>
                  <w:color w:val="0000FF"/>
                  <w:sz w:val="20"/>
                  <w:u w:val="single"/>
                </w:rPr>
                <w:t>Seventh Amendment to the Amended and Restated Credit Agreement, dated as of December 19, 2025, among Runway Growth Finance Corp., as borrower, the financial institutions party thereto as lenders, KeyBank National Association, as administrative agent and lender, CIBC Bank USA, as documentation agent, MUFG Bank, Ltd. (as successor in interest to MUFG Union Bank, N.A.), as co-documentation agent, and U.S. Bank Trust Company, National Association, as paying agent*</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84">
              <w:r>
                <w:rPr>
                  <w:rStyle w:val="InternetLink"/>
                  <w:rFonts w:ascii="Times New Roman" w:hAnsi="Times New Roman"/>
                  <w:color w:val="0000FF"/>
                  <w:sz w:val="20"/>
                  <w:u w:val="single"/>
                </w:rPr>
                <w:t>Note Purchase Agreement by and between the Company and the purchasers party thereto, dated April 7, 2025.</w:t>
              </w:r>
            </w:hyperlink>
            <w:hyperlink r:id="rId85">
              <w:r>
                <w:rPr>
                  <w:rStyle w:val="InternetLink"/>
                  <w:rFonts w:ascii="Times New Roman" w:hAnsi="Times New Roman"/>
                  <w:color w:val="0000FF"/>
                  <w:sz w:val="13"/>
                  <w:u w:val="single"/>
                </w:rPr>
                <w:t>(24)</w:t>
              </w:r>
            </w:hyperlink>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statementsofoperations_538321">
              <w:r>
                <w:rPr>
                  <w:rStyle w:val="InternetLink"/>
                  <w:rFonts w:ascii="Times New Roman" w:hAnsi="Times New Roman"/>
                  <w:color w:val="0000FF"/>
                  <w:sz w:val="20"/>
                  <w:u w:val="single"/>
                </w:rPr>
                <w:t>Computation of Per Share Earnings (Included in the notes to the consolidated financial statements contained in this report)</w:t>
              </w:r>
            </w:hyperlink>
            <w:r>
              <w:rPr>
                <w:rFonts w:ascii="Times New Roman" w:hAnsi="Times New Roman"/>
                <w:color w:val="000000"/>
                <w:sz w:val="20"/>
              </w:rPr>
              <w:t xml:space="preserve"> </w:t>
            </w:r>
          </w:p>
        </w:tc>
      </w:tr>
      <w:tr>
        <w:trPr/>
        <w:tc>
          <w:tcPr>
            <w:tcW w:w="80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7" w:type="dxa"/>
            <w:tcBorders/>
            <w:tcMar>
              <w:top w:w="0" w:type="dxa"/>
              <w:left w:w="0" w:type="dxa"/>
              <w:bottom w:w="0" w:type="dxa"/>
              <w:right w:w="0" w:type="dxa"/>
            </w:tcMar>
            <w:vAlign w:val="center"/>
          </w:tcPr>
          <w:p>
            <w:pPr>
              <w:pStyle w:val="TableContents"/>
              <w:bidi w:val="0"/>
              <w:spacing w:before="0" w:after="283"/>
              <w:jc w:val="left"/>
              <w:rPr/>
            </w:pPr>
            <w:hyperlink r:id="rId86">
              <w:r>
                <w:rPr>
                  <w:rStyle w:val="InternetLink"/>
                  <w:rFonts w:ascii="Times New Roman" w:hAnsi="Times New Roman"/>
                  <w:color w:val="0000FF"/>
                  <w:sz w:val="20"/>
                  <w:u w:val="single"/>
                </w:rPr>
                <w:t>Joint Code of Ethics</w:t>
              </w:r>
            </w:hyperlink>
            <w:hyperlink r:id="rId87">
              <w:r>
                <w:rPr>
                  <w:rStyle w:val="InternetLink"/>
                  <w:rFonts w:ascii="Times New Roman" w:hAnsi="Times New Roman"/>
                  <w:color w:val="0000FF"/>
                  <w:sz w:val="13"/>
                  <w:u w:val="single"/>
                </w:rPr>
                <w:t>(20)</w:t>
              </w:r>
            </w:hyperlink>
          </w:p>
        </w:tc>
      </w:tr>
    </w:tbl>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tbl>
      <w:tblPr>
        <w:tblW w:w="10205" w:type="dxa"/>
        <w:jc w:val="left"/>
        <w:tblInd w:w="0" w:type="dxa"/>
        <w:tblLayout w:type="fixed"/>
        <w:tblCellMar>
          <w:top w:w="28" w:type="dxa"/>
          <w:left w:w="28" w:type="dxa"/>
          <w:bottom w:w="28" w:type="dxa"/>
          <w:right w:w="28" w:type="dxa"/>
        </w:tblCellMar>
      </w:tblPr>
      <w:tblGrid>
        <w:gridCol w:w="932"/>
        <w:gridCol w:w="146"/>
        <w:gridCol w:w="9127"/>
      </w:tblGrid>
      <w:tr>
        <w:trPr/>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7" w:type="dxa"/>
            <w:tcBorders/>
            <w:vAlign w:val="center"/>
          </w:tcPr>
          <w:p>
            <w:pPr>
              <w:pStyle w:val="TableContents"/>
              <w:bidi w:val="0"/>
              <w:spacing w:before="0" w:after="283"/>
              <w:ind w:left="0" w:right="0" w:firstLine="216"/>
              <w:jc w:val="left"/>
              <w:rPr>
                <w:sz w:val="4"/>
                <w:szCs w:val="4"/>
              </w:rPr>
            </w:pPr>
            <w:r>
              <w:rPr>
                <w:sz w:val="4"/>
                <w:szCs w:val="4"/>
              </w:rPr>
            </w:r>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88">
              <w:r>
                <w:rPr>
                  <w:rStyle w:val="InternetLink"/>
                  <w:rFonts w:ascii="Times New Roman" w:hAnsi="Times New Roman"/>
                  <w:color w:val="0000FF"/>
                  <w:sz w:val="20"/>
                  <w:u w:val="single"/>
                </w:rPr>
                <w:t>Insider Trading Policy and Procedures</w:t>
              </w:r>
            </w:hyperlink>
            <w:hyperlink r:id="rId89">
              <w:r>
                <w:rPr>
                  <w:rStyle w:val="InternetLink"/>
                  <w:rFonts w:ascii="Times New Roman" w:hAnsi="Times New Roman"/>
                  <w:color w:val="0000FF"/>
                  <w:sz w:val="13"/>
                  <w:u w:val="single"/>
                </w:rPr>
                <w:t>(23)</w:t>
              </w:r>
            </w:hyperlink>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List of Subsidiaries: None</w:t>
            </w:r>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23_1.htm">
              <w:r>
                <w:rPr>
                  <w:rStyle w:val="InternetLink"/>
                  <w:rFonts w:ascii="Times New Roman" w:hAnsi="Times New Roman"/>
                  <w:color w:val="0000FF"/>
                  <w:sz w:val="20"/>
                  <w:u w:val="single"/>
                </w:rPr>
                <w:t>Consent of RSM US LLP*</w:t>
              </w:r>
            </w:hyperlink>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23_2.htm">
              <w:r>
                <w:rPr>
                  <w:rStyle w:val="InternetLink"/>
                  <w:rFonts w:ascii="Times New Roman" w:hAnsi="Times New Roman"/>
                  <w:color w:val="0000FF"/>
                  <w:sz w:val="20"/>
                  <w:u w:val="single"/>
                </w:rPr>
                <w:t>Consent of Deloitte &amp; Touche LLP*</w:t>
              </w:r>
            </w:hyperlink>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 xml:space="preserve">31.1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31_1.htm">
              <w:r>
                <w:rPr>
                  <w:rStyle w:val="InternetLink"/>
                  <w:rFonts w:ascii="Times New Roman" w:hAnsi="Times New Roman"/>
                  <w:color w:val="0000FF"/>
                  <w:sz w:val="20"/>
                  <w:u w:val="single"/>
                </w:rPr>
                <w:t>Certification of Chief Executive Officer pursuant to Rule 13a-14 of the Securities Exchange Act of 1934, as amended*</w:t>
              </w:r>
            </w:hyperlink>
            <w:r>
              <w:rPr>
                <w:rFonts w:ascii="Times New Roman" w:hAnsi="Times New Roman"/>
                <w:color w:val="000000"/>
                <w:sz w:val="20"/>
              </w:rPr>
              <w:t xml:space="preserve"> </w:t>
            </w:r>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 xml:space="preserve">31.2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31_2.htm">
              <w:r>
                <w:rPr>
                  <w:rStyle w:val="InternetLink"/>
                  <w:rFonts w:ascii="Times New Roman" w:hAnsi="Times New Roman"/>
                  <w:color w:val="0000FF"/>
                  <w:sz w:val="20"/>
                  <w:u w:val="single"/>
                </w:rPr>
                <w:t>Certification of Chief Financial Officer pursuant to Rule 13a-14 of the Securities Exchange Act of 1934, as amended*</w:t>
              </w:r>
            </w:hyperlink>
            <w:hyperlink w:anchor="rway-ex31_2.htm">
              <w:r>
                <w:rPr>
                  <w:rStyle w:val="InternetLink"/>
                  <w:rFonts w:ascii="Times New Roman" w:hAnsi="Times New Roman"/>
                  <w:color w:val="0000FF"/>
                  <w:sz w:val="20"/>
                </w:rPr>
                <w:t xml:space="preserve"> </w:t>
              </w:r>
            </w:hyperlink>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 xml:space="preserve">32.1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32_1.htm">
              <w:r>
                <w:rPr>
                  <w:rStyle w:val="InternetLink"/>
                  <w:rFonts w:ascii="Times New Roman" w:hAnsi="Times New Roman"/>
                  <w:color w:val="0000FF"/>
                  <w:sz w:val="20"/>
                  <w:u w:val="single"/>
                </w:rPr>
                <w:t>Certification of Chief Executive Officer pursuant to Section 906 of the Sarbanes-Oxley Act of 2002*</w:t>
              </w:r>
            </w:hyperlink>
            <w:hyperlink w:anchor="rway-ex32_1.htm">
              <w:r>
                <w:rPr>
                  <w:rStyle w:val="InternetLink"/>
                  <w:rFonts w:ascii="Times New Roman" w:hAnsi="Times New Roman"/>
                  <w:color w:val="0000FF"/>
                  <w:sz w:val="20"/>
                </w:rPr>
                <w:t xml:space="preserve"> </w:t>
              </w:r>
            </w:hyperlink>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 xml:space="preserve">32.2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rway-ex32_2.htm">
              <w:r>
                <w:rPr>
                  <w:rStyle w:val="InternetLink"/>
                  <w:rFonts w:ascii="Times New Roman" w:hAnsi="Times New Roman"/>
                  <w:color w:val="0000FF"/>
                  <w:sz w:val="20"/>
                  <w:u w:val="single"/>
                </w:rPr>
                <w:t>Certification of Chief Financial Officer pursuant to Section 906 of the Sarbanes-Oxley Act of 2002*</w:t>
              </w:r>
            </w:hyperlink>
            <w:hyperlink w:anchor="rway-ex32_2.htm">
              <w:r>
                <w:rPr>
                  <w:rStyle w:val="InternetLink"/>
                  <w:rFonts w:ascii="Times New Roman" w:hAnsi="Times New Roman"/>
                  <w:color w:val="0000FF"/>
                  <w:sz w:val="20"/>
                </w:rPr>
                <w:t xml:space="preserve"> </w:t>
              </w:r>
            </w:hyperlink>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r:id="rId90">
              <w:r>
                <w:rPr>
                  <w:rStyle w:val="InternetLink"/>
                  <w:rFonts w:ascii="Times New Roman" w:hAnsi="Times New Roman"/>
                  <w:color w:val="0000FF"/>
                  <w:sz w:val="20"/>
                  <w:u w:val="single"/>
                </w:rPr>
                <w:t>Policy Relating to Recovery of Erroneously Awarded Compensation</w:t>
              </w:r>
            </w:hyperlink>
            <w:hyperlink r:id="rId91">
              <w:r>
                <w:rPr>
                  <w:rStyle w:val="InternetLink"/>
                  <w:rFonts w:ascii="Times New Roman" w:hAnsi="Times New Roman"/>
                  <w:color w:val="0000FF"/>
                  <w:sz w:val="13"/>
                  <w:u w:val="single"/>
                </w:rPr>
                <w:t>(23)</w:t>
              </w:r>
            </w:hyperlink>
            <w:hyperlink r:id="rId92">
              <w:r>
                <w:rPr>
                  <w:rStyle w:val="InternetLink"/>
                  <w:rFonts w:ascii="Times New Roman" w:hAnsi="Times New Roman"/>
                  <w:color w:val="0000FF"/>
                  <w:sz w:val="20"/>
                </w:rPr>
                <w:t xml:space="preserve"> </w:t>
              </w:r>
            </w:hyperlink>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932" w:type="dxa"/>
            <w:tcBorders/>
            <w:tcMar>
              <w:top w:w="0" w:type="dxa"/>
              <w:left w:w="0" w:type="dxa"/>
              <w:bottom w:w="0" w:type="dxa"/>
              <w:right w:w="0" w:type="dxa"/>
            </w:tcMar>
            <w:vAlign w:val="center"/>
          </w:tcPr>
          <w:p>
            <w:pPr>
              <w:pStyle w:val="TableContents"/>
              <w:bidi w:val="0"/>
              <w:spacing w:before="0" w:after="283"/>
              <w:ind w:left="0" w:right="0" w:firstLine="216"/>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pBdr>
          <w:bottom w:val="single" w:sz="6" w:space="1" w:color="000000"/>
        </w:pBdr>
        <w:bidi w:val="0"/>
        <w:spacing w:before="0" w:after="20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Current Report on Form 8</w:t>
        <w:noBreakHyphen/>
        <w:t>K filed with the SEC on December 19, 2016.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Annual Report on Form 10</w:t>
        <w:noBreakHyphen/>
        <w:t>K filed with the SEC on March 29, 2017.</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Registration Statement on Form 10 (File No. 000</w:t>
        <w:noBreakHyphen/>
        <w:t>55544) filed with the SEC on February 12, 2016.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Current Report on Form 8</w:t>
        <w:noBreakHyphen/>
        <w:t>K filed with the SEC on December 28, 2018.</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Annual Report on Form 10</w:t>
        <w:noBreakHyphen/>
        <w:t>K filed with the SEC on March 28, 2019.</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Annual Report on Form 10-K filed with the SEC on March 20, 2020.</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Quarterly Report on Form 10-Q filed with the SEC on November 12, 2020.</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Current Report on Form 8-K filed with the SEC on December 4, 2020.</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Previously filed as an exhibit to the Company’s Quarterly Report on Form 10-Q filed with the SEC on August 5, 2021.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August 19, 2021.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Registration Statement on Form N-2 (File No. 333-259824) filed with the SEC on September 27, 2021.</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September 23, 2021.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Previously filed as an exhibit to the Company’s Annual Report on Form 10-K filed with the SEC on March 14, 2022.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Current Report on Form 8-K filed with the SEC on April 20, 2022.</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July 22, 2022.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December 7, 2022.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January 9, 2023.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(18)</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Previously filed as an exhibit to the Company’s Quarterly Report on Form 10-Q filed with the SEC on August 8, 2023.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(19)</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December 6, 2023.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(20)</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Current Report on Form 8-K filed with the SEC on January 29, 2025.</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(21)</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Previously filed as an exhibit to the Company’s Current Report on Form 8-K filed with the SEC on January 31, 2025.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(22)</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Previously filed as an exhibit to the Company’s Registration Statement on Form N-2/A filed with the SEC on March 19, 2025.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(23)</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Annual Report on Form 10-K filed with the SEC on March 20,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(24)</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Current Report on Form 8-K filed with the SEC on April 8,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Current Report on Form 8-K filed with the SEC on October 10, 2025.</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(26)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Previously filed as an exhibit to the Company's Current Report on Form 8-K filed with the SEC on February 3, 2026.</w:t>
      </w:r>
    </w:p>
    <w:p>
      <w:pPr>
        <w:pStyle w:val="Heading1"/>
        <w:bidi w:val="0"/>
        <w:spacing w:before="200" w:after="240"/>
        <w:jc w:val="left"/>
        <w:rPr>
          <w:rFonts w:ascii="Times New Roman" w:hAnsi="Times New Roman"/>
          <w:color w:val="000000"/>
          <w:sz w:val="20"/>
        </w:rPr>
      </w:pPr>
      <w:bookmarkStart w:id="36" w:name="item1610k_summary"/>
      <w:bookmarkEnd w:id="36"/>
      <w:r>
        <w:rPr>
          <w:rFonts w:ascii="Times New Roman" w:hAnsi="Times New Roman"/>
          <w:color w:val="000000"/>
          <w:sz w:val="20"/>
        </w:rPr>
        <w:t>Item 16. Form 10-K Summary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p>
      <w:pPr>
        <w:pStyle w:val="TextBody"/>
        <w:bidi w:val="0"/>
        <w:spacing w:before="0" w:after="240"/>
        <w:jc w:val="center"/>
        <w:rPr>
          <w:rFonts w:ascii="Times New Roman" w:hAnsi="Times New Roman"/>
          <w:b/>
          <w:color w:val="000000"/>
          <w:sz w:val="20"/>
        </w:rPr>
      </w:pPr>
      <w:bookmarkStart w:id="37" w:name="signatures_215282"/>
      <w:bookmarkEnd w:id="37"/>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RUNWAY GROWTH FINANCE CORP.</w:t>
      </w:r>
    </w:p>
    <w:tbl>
      <w:tblPr>
        <w:tblW w:w="5248" w:type="dxa"/>
        <w:jc w:val="left"/>
        <w:tblInd w:w="0" w:type="dxa"/>
        <w:tblLayout w:type="fixed"/>
        <w:tblCellMar>
          <w:top w:w="28" w:type="dxa"/>
          <w:left w:w="28" w:type="dxa"/>
          <w:bottom w:w="28" w:type="dxa"/>
          <w:right w:w="28" w:type="dxa"/>
        </w:tblCellMar>
      </w:tblPr>
      <w:tblGrid>
        <w:gridCol w:w="1891"/>
        <w:gridCol w:w="146"/>
        <w:gridCol w:w="321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33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David Spreng</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David Spreng</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person whose signature appears below constitutes and appoints R. David Spreng and Thomas B. Raterman, and each of them, such person’s true and lawful attorney-in-act and agent, with full power of substitution and revocation, for such person and in such person’s name, place and stead, in any and all capacities, to sign one or more Annual Reports on Form 10-K for the year ended December 31, 2025, and any and all amendments thereto, and to file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and each of them, or their or his substitutes, may lawfully do or cause to be done hereof.</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tbl>
      <w:tblPr>
        <w:tblW w:w="6028" w:type="dxa"/>
        <w:jc w:val="left"/>
        <w:tblInd w:w="0" w:type="dxa"/>
        <w:tblLayout w:type="fixed"/>
        <w:tblCellMar>
          <w:top w:w="28" w:type="dxa"/>
          <w:left w:w="28" w:type="dxa"/>
          <w:bottom w:w="28" w:type="dxa"/>
          <w:right w:w="28" w:type="dxa"/>
        </w:tblCellMar>
      </w:tblPr>
      <w:tblGrid>
        <w:gridCol w:w="1891"/>
        <w:gridCol w:w="146"/>
        <w:gridCol w:w="399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David Spreng</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David Spreng</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B. Raterman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B. Raterman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Treasurer and Secretary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Ted Goldthorpe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Ted Goldthorpe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Directors</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Gary Kovacs</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Gary Kovacs</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Catherine Frey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Catherine Frey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41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bl>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600"/>
        <w:jc w:val="left"/>
        <w:rPr/>
      </w:pPr>
      <w:r>
        <w:rPr/>
        <w:t> </w:t>
      </w:r>
    </w:p>
    <w:tbl>
      <w:tblPr>
        <w:tblW w:w="4353" w:type="dxa"/>
        <w:jc w:val="left"/>
        <w:tblInd w:w="0" w:type="dxa"/>
        <w:tblLayout w:type="fixed"/>
        <w:tblCellMar>
          <w:top w:w="28" w:type="dxa"/>
          <w:left w:w="28" w:type="dxa"/>
          <w:bottom w:w="28" w:type="dxa"/>
          <w:right w:w="28" w:type="dxa"/>
        </w:tblCellMar>
      </w:tblPr>
      <w:tblGrid>
        <w:gridCol w:w="1891"/>
        <w:gridCol w:w="406"/>
        <w:gridCol w:w="2056"/>
      </w:tblGrid>
      <w:tr>
        <w:trPr/>
        <w:tc>
          <w:tcPr>
            <w:tcW w:w="18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Julie Persily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Julie Persily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2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24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Jennifer Kwon Chou</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Kwon Chou</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Warshauer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Warshauer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12,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Alexander Duka</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Alexander Duka</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spacing w:before="480" w:after="283"/>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8" w:name="rway-ex10_23.htm"/>
      <w:bookmarkStart w:id="39" w:name="ksrwayex10_23"/>
      <w:bookmarkEnd w:id="38"/>
      <w:bookmarkEnd w:id="39"/>
      <w:r>
        <w:rPr>
          <w:rFonts w:ascii="Times New Roman" w:hAnsi="Times New Roman"/>
          <w:b/>
          <w:color w:val="000000"/>
          <w:sz w:val="22"/>
        </w:rPr>
        <w:t>Exhibit 10.23</w:t>
      </w:r>
      <w:r>
        <w:br w:type="page"/>
      </w:r>
    </w:p>
    <w:p>
      <w:pPr>
        <w:pStyle w:val="TextBody"/>
        <w:bidi w:val="0"/>
        <w:jc w:val="right"/>
        <w:rPr/>
      </w:pPr>
      <w:r>
        <w:rPr/>
        <w:t> </w:t>
      </w:r>
    </w:p>
    <w:p>
      <w:pPr>
        <w:pStyle w:val="TextBody"/>
        <w:bidi w:val="0"/>
        <w:jc w:val="right"/>
        <w:rPr>
          <w:rFonts w:ascii="Times New Roman" w:hAnsi="Times New Roman"/>
          <w:b/>
          <w:i/>
          <w:color w:val="000000"/>
          <w:sz w:val="24"/>
        </w:rPr>
      </w:pPr>
      <w:r>
        <w:rPr>
          <w:rFonts w:ascii="Times New Roman" w:hAnsi="Times New Roman"/>
          <w:b/>
          <w:i/>
          <w:color w:val="000000"/>
          <w:sz w:val="24"/>
        </w:rPr>
        <w:t>Execution Version</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Seventh Amendment to Amended and Restated Credit Agreement and Waiver</w:t>
      </w:r>
    </w:p>
    <w:p>
      <w:pPr>
        <w:pStyle w:val="TextBody"/>
        <w:bidi w:val="0"/>
        <w:spacing w:before="280" w:after="283"/>
        <w:jc w:val="both"/>
        <w:rPr>
          <w:rFonts w:ascii="Times New Roman" w:hAnsi="Times New Roman"/>
          <w:sz w:val="20"/>
        </w:rPr>
      </w:pPr>
      <w:r>
        <w:rPr>
          <w:rFonts w:ascii="Times New Roman" w:hAnsi="Times New Roman"/>
          <w:smallCaps/>
          <w:color w:val="000000"/>
          <w:sz w:val="24"/>
        </w:rPr>
        <w:t>This Seventh Amendment to Amended and Restated Credit Agreement and Waiver</w:t>
      </w:r>
      <w:r>
        <w:rPr>
          <w:rFonts w:ascii="Times New Roman" w:hAnsi="Times New Roman"/>
          <w:color w:val="000000"/>
          <w:sz w:val="24"/>
        </w:rPr>
        <w:t xml:space="preserve">, dated as of December 19, 2025 (the </w:t>
      </w:r>
      <w:r>
        <w:rPr>
          <w:rFonts w:ascii="Times New Roman" w:hAnsi="Times New Roman"/>
          <w:color w:val="000000"/>
          <w:sz w:val="20"/>
        </w:rPr>
        <w:t>“</w:t>
      </w:r>
      <w:r>
        <w:rPr>
          <w:rFonts w:ascii="Times New Roman" w:hAnsi="Times New Roman"/>
          <w:i/>
          <w:color w:val="000000"/>
          <w:sz w:val="24"/>
        </w:rPr>
        <w:t>Amendment”</w:t>
      </w:r>
      <w:r>
        <w:rPr>
          <w:rFonts w:ascii="Times New Roman" w:hAnsi="Times New Roman"/>
          <w:color w:val="000000"/>
          <w:sz w:val="24"/>
        </w:rPr>
        <w:t xml:space="preserve">), is made pursuant to that certain Amended and Restated Credit Agreement dated as of April 20, 2022 (as amended, restated, modified or supplemented from time to time, the </w:t>
      </w:r>
      <w:r>
        <w:rPr>
          <w:rFonts w:ascii="Times New Roman" w:hAnsi="Times New Roman"/>
          <w:color w:val="000000"/>
          <w:sz w:val="20"/>
        </w:rPr>
        <w:t>“</w:t>
      </w:r>
      <w:r>
        <w:rPr>
          <w:rFonts w:ascii="Times New Roman" w:hAnsi="Times New Roman"/>
          <w:i/>
          <w:color w:val="000000"/>
          <w:sz w:val="24"/>
        </w:rPr>
        <w:t>Credit Agreement”</w:t>
      </w:r>
      <w:r>
        <w:rPr>
          <w:rFonts w:ascii="Times New Roman" w:hAnsi="Times New Roman"/>
          <w:color w:val="000000"/>
          <w:sz w:val="24"/>
        </w:rPr>
        <w:t xml:space="preserve">), among </w:t>
      </w:r>
      <w:r>
        <w:rPr>
          <w:rFonts w:ascii="Times New Roman" w:hAnsi="Times New Roman"/>
          <w:smallCaps/>
          <w:color w:val="000000"/>
          <w:sz w:val="24"/>
        </w:rPr>
        <w:t>Runway Growth Finance Corp.</w:t>
      </w:r>
      <w:r>
        <w:rPr>
          <w:rFonts w:ascii="Times New Roman" w:hAnsi="Times New Roman"/>
          <w:color w:val="000000"/>
          <w:sz w:val="20"/>
        </w:rPr>
        <w:t xml:space="preserve"> </w:t>
      </w:r>
      <w:r>
        <w:rPr>
          <w:rFonts w:ascii="Times New Roman" w:hAnsi="Times New Roman"/>
          <w:color w:val="000000"/>
          <w:sz w:val="24"/>
        </w:rPr>
        <w:t xml:space="preserve">(f/k/a </w:t>
      </w:r>
      <w:r>
        <w:rPr>
          <w:rFonts w:ascii="Times New Roman" w:hAnsi="Times New Roman"/>
          <w:smallCaps/>
          <w:color w:val="000000"/>
          <w:sz w:val="24"/>
        </w:rPr>
        <w:t>Runway Growth Credit Fund Inc.)</w:t>
      </w:r>
      <w:r>
        <w:rPr>
          <w:rFonts w:ascii="Times New Roman" w:hAnsi="Times New Roman"/>
          <w:color w:val="000000"/>
          <w:sz w:val="24"/>
        </w:rPr>
        <w:t xml:space="preserve">, a Maryland corporation, as borrower (the </w:t>
      </w:r>
      <w:r>
        <w:rPr>
          <w:rFonts w:ascii="Times New Roman" w:hAnsi="Times New Roman"/>
          <w:color w:val="000000"/>
          <w:sz w:val="20"/>
        </w:rPr>
        <w:t>“</w:t>
      </w:r>
      <w:r>
        <w:rPr>
          <w:rFonts w:ascii="Times New Roman" w:hAnsi="Times New Roman"/>
          <w:i/>
          <w:color w:val="000000"/>
          <w:sz w:val="24"/>
        </w:rPr>
        <w:t>Borrower</w:t>
      </w:r>
      <w:r>
        <w:rPr>
          <w:rFonts w:ascii="Times New Roman" w:hAnsi="Times New Roman"/>
          <w:color w:val="000000"/>
          <w:sz w:val="20"/>
        </w:rPr>
        <w:t>”</w:t>
      </w:r>
      <w:r>
        <w:rPr>
          <w:rFonts w:ascii="Times New Roman" w:hAnsi="Times New Roman"/>
          <w:color w:val="000000"/>
          <w:sz w:val="24"/>
        </w:rPr>
        <w:t xml:space="preserve">); each Guarantor party thereto; the financial institutions currently party thereto as lenders (the </w:t>
      </w:r>
      <w:r>
        <w:rPr>
          <w:rFonts w:ascii="Times New Roman" w:hAnsi="Times New Roman"/>
          <w:color w:val="000000"/>
          <w:sz w:val="20"/>
        </w:rPr>
        <w:t>“</w:t>
      </w:r>
      <w:r>
        <w:rPr>
          <w:rFonts w:ascii="Times New Roman" w:hAnsi="Times New Roman"/>
          <w:i/>
          <w:color w:val="000000"/>
          <w:sz w:val="24"/>
        </w:rPr>
        <w:t>Lenders”</w:t>
      </w:r>
      <w:r>
        <w:rPr>
          <w:rFonts w:ascii="Times New Roman" w:hAnsi="Times New Roman"/>
          <w:color w:val="000000"/>
          <w:sz w:val="24"/>
        </w:rPr>
        <w:t xml:space="preserve">); </w:t>
      </w:r>
      <w:r>
        <w:rPr>
          <w:rFonts w:ascii="Times New Roman" w:hAnsi="Times New Roman"/>
          <w:smallCaps/>
          <w:color w:val="000000"/>
          <w:sz w:val="24"/>
        </w:rPr>
        <w:t>KeyBank National Association,</w:t>
      </w:r>
      <w:r>
        <w:rPr>
          <w:rFonts w:ascii="Times New Roman" w:hAnsi="Times New Roman"/>
          <w:color w:val="000000"/>
          <w:sz w:val="20"/>
        </w:rPr>
        <w:t xml:space="preserve"> </w:t>
      </w:r>
      <w:r>
        <w:rPr>
          <w:rFonts w:ascii="Times New Roman" w:hAnsi="Times New Roman"/>
          <w:color w:val="000000"/>
          <w:sz w:val="24"/>
        </w:rPr>
        <w:t xml:space="preserve">as administrative agent for the Lenders (in such capacity, together with its successors and assigns, the </w:t>
      </w:r>
      <w:r>
        <w:rPr>
          <w:rFonts w:ascii="Times New Roman" w:hAnsi="Times New Roman"/>
          <w:color w:val="000000"/>
          <w:sz w:val="20"/>
        </w:rPr>
        <w:t>“</w:t>
      </w:r>
      <w:r>
        <w:rPr>
          <w:rFonts w:ascii="Times New Roman" w:hAnsi="Times New Roman"/>
          <w:i/>
          <w:color w:val="000000"/>
          <w:sz w:val="24"/>
        </w:rPr>
        <w:t>Administrative Agent”</w:t>
      </w:r>
      <w:r>
        <w:rPr>
          <w:rFonts w:ascii="Times New Roman" w:hAnsi="Times New Roman"/>
          <w:color w:val="000000"/>
          <w:sz w:val="24"/>
        </w:rPr>
        <w:t xml:space="preserve">); CIBC Bank USA, as documentation agent (together with its successors and assigns, the </w:t>
      </w:r>
      <w:r>
        <w:rPr>
          <w:rFonts w:ascii="Times New Roman" w:hAnsi="Times New Roman"/>
          <w:color w:val="000000"/>
          <w:sz w:val="20"/>
        </w:rPr>
        <w:t>“</w:t>
      </w:r>
      <w:r>
        <w:rPr>
          <w:rFonts w:ascii="Times New Roman" w:hAnsi="Times New Roman"/>
          <w:i/>
          <w:color w:val="000000"/>
          <w:sz w:val="24"/>
        </w:rPr>
        <w:t>Documentation Agent”</w:t>
      </w:r>
      <w:r>
        <w:rPr>
          <w:rFonts w:ascii="Times New Roman" w:hAnsi="Times New Roman"/>
          <w:color w:val="000000"/>
          <w:sz w:val="24"/>
        </w:rPr>
        <w:t xml:space="preserve">); MUFG Bank, Ltd. (as successor-in-interest to MUFG Union Bank, N.A.), as co-documentation agent (together with its successors and assigns, the </w:t>
      </w:r>
      <w:r>
        <w:rPr>
          <w:rFonts w:ascii="Times New Roman" w:hAnsi="Times New Roman"/>
          <w:color w:val="000000"/>
          <w:sz w:val="20"/>
        </w:rPr>
        <w:t>“</w:t>
      </w:r>
      <w:r>
        <w:rPr>
          <w:rFonts w:ascii="Times New Roman" w:hAnsi="Times New Roman"/>
          <w:i/>
          <w:color w:val="000000"/>
          <w:sz w:val="24"/>
        </w:rPr>
        <w:t>Co-Documentation Agent”</w:t>
      </w:r>
      <w:r>
        <w:rPr>
          <w:rFonts w:ascii="Times New Roman" w:hAnsi="Times New Roman"/>
          <w:color w:val="000000"/>
          <w:sz w:val="24"/>
        </w:rPr>
        <w:t xml:space="preserve">); and U.S. Bank Trust Company, National Association, not in its individual capacity but as successor in interest to U.S. Bank National Association as the paying agent (together with its successors and assigns, the </w:t>
      </w:r>
      <w:r>
        <w:rPr>
          <w:rFonts w:ascii="Times New Roman" w:hAnsi="Times New Roman"/>
          <w:color w:val="000000"/>
          <w:sz w:val="20"/>
        </w:rPr>
        <w:t>“</w:t>
      </w:r>
      <w:r>
        <w:rPr>
          <w:rFonts w:ascii="Times New Roman" w:hAnsi="Times New Roman"/>
          <w:i/>
          <w:color w:val="000000"/>
          <w:sz w:val="24"/>
        </w:rPr>
        <w:t>Paying Agent”</w:t>
      </w:r>
      <w:r>
        <w:rPr>
          <w:rFonts w:ascii="Times New Roman" w:hAnsi="Times New Roman"/>
          <w:color w:val="000000"/>
          <w:sz w:val="24"/>
        </w:rPr>
        <w:t>) and collateral custodian (together with its successors and assigns in such capacity, the “</w:t>
      </w:r>
      <w:r>
        <w:rPr>
          <w:rFonts w:ascii="Times New Roman" w:hAnsi="Times New Roman"/>
          <w:i/>
          <w:color w:val="000000"/>
          <w:sz w:val="24"/>
        </w:rPr>
        <w:t>Collateral Custodian</w:t>
      </w:r>
      <w:r>
        <w:rPr>
          <w:rFonts w:ascii="Times New Roman" w:hAnsi="Times New Roman"/>
          <w:color w:val="000000"/>
          <w:sz w:val="20"/>
        </w:rPr>
        <w:t>”</w:t>
      </w:r>
      <w:r>
        <w:rPr>
          <w:rFonts w:ascii="Times New Roman" w:hAnsi="Times New Roman"/>
          <w:color w:val="000000"/>
          <w:sz w:val="24"/>
        </w:rPr>
        <w:t>).</w:t>
      </w:r>
    </w:p>
    <w:p>
      <w:pPr>
        <w:pStyle w:val="TextBody"/>
        <w:bidi w:val="0"/>
        <w:spacing w:before="360" w:after="283"/>
        <w:jc w:val="center"/>
        <w:rPr>
          <w:rFonts w:ascii="Times New Roman" w:hAnsi="Times New Roman"/>
          <w:b/>
          <w:smallCaps/>
          <w:color w:val="000000"/>
          <w:sz w:val="24"/>
        </w:rPr>
      </w:pPr>
      <w:r>
        <w:rPr>
          <w:rFonts w:ascii="Times New Roman" w:hAnsi="Times New Roman"/>
          <w:b/>
          <w:smallCaps/>
          <w:color w:val="000000"/>
          <w:sz w:val="24"/>
        </w:rPr>
        <w:t>W i t n e s s e t h :</w:t>
      </w:r>
    </w:p>
    <w:p>
      <w:pPr>
        <w:pStyle w:val="TextBody"/>
        <w:bidi w:val="0"/>
        <w:spacing w:before="280" w:after="283"/>
        <w:jc w:val="both"/>
        <w:rPr>
          <w:rFonts w:ascii="Times New Roman" w:hAnsi="Times New Roman"/>
          <w:sz w:val="20"/>
        </w:rPr>
      </w:pPr>
      <w:r>
        <w:rPr>
          <w:rFonts w:ascii="Times New Roman" w:hAnsi="Times New Roman"/>
          <w:smallCaps/>
          <w:color w:val="000000"/>
          <w:sz w:val="24"/>
        </w:rPr>
        <w:t xml:space="preserve">Whereas, </w:t>
      </w:r>
      <w:r>
        <w:rPr>
          <w:rFonts w:ascii="Times New Roman" w:hAnsi="Times New Roman"/>
          <w:color w:val="000000"/>
          <w:sz w:val="24"/>
        </w:rPr>
        <w:t>the Borrower, the Lenders, the Guarantors, the Documentation Agent, the Co-Documentation Agent, the Paying Agent, the Collateral Custodian and the Administrative Agent have previously entered into and are currently party to the Credit Agreement; and</w:t>
      </w:r>
    </w:p>
    <w:p>
      <w:pPr>
        <w:pStyle w:val="TextBody"/>
        <w:bidi w:val="0"/>
        <w:spacing w:before="280" w:after="283"/>
        <w:jc w:val="both"/>
        <w:rPr>
          <w:rFonts w:ascii="Times New Roman" w:hAnsi="Times New Roman"/>
          <w:sz w:val="20"/>
        </w:rPr>
      </w:pPr>
      <w:r>
        <w:rPr>
          <w:rFonts w:ascii="Times New Roman" w:hAnsi="Times New Roman"/>
          <w:smallCaps/>
          <w:color w:val="000000"/>
          <w:sz w:val="24"/>
        </w:rPr>
        <w:t>Whereas,</w:t>
      </w:r>
      <w:r>
        <w:rPr>
          <w:rFonts w:ascii="Times New Roman" w:hAnsi="Times New Roman"/>
          <w:color w:val="000000"/>
          <w:sz w:val="20"/>
        </w:rPr>
        <w:t xml:space="preserve"> </w:t>
      </w:r>
      <w:r>
        <w:rPr>
          <w:rFonts w:ascii="Times New Roman" w:hAnsi="Times New Roman"/>
          <w:color w:val="000000"/>
          <w:sz w:val="24"/>
        </w:rPr>
        <w:t>the parties hereto desire to make certain amendments to the Credit Agreement and to waive certain provisions thereof with respect to the Subject Loans (as defined in Section 2), as permitted by Section 12.1 of the Credit Agreement, pursuant to the terms and conditions set forth herein</w:t>
      </w:r>
    </w:p>
    <w:p>
      <w:pPr>
        <w:pStyle w:val="TextBody"/>
        <w:bidi w:val="0"/>
        <w:spacing w:before="280" w:after="283"/>
        <w:jc w:val="both"/>
        <w:rPr>
          <w:rFonts w:ascii="Times New Roman" w:hAnsi="Times New Roman"/>
          <w:sz w:val="20"/>
        </w:rPr>
      </w:pPr>
      <w:r>
        <w:rPr>
          <w:rFonts w:ascii="Times New Roman" w:hAnsi="Times New Roman"/>
          <w:smallCaps/>
          <w:color w:val="000000"/>
          <w:sz w:val="24"/>
        </w:rPr>
        <w:t xml:space="preserve">Now, Therefore, </w:t>
      </w:r>
      <w:r>
        <w:rPr>
          <w:rFonts w:ascii="Times New Roman" w:hAnsi="Times New Roman"/>
          <w:color w:val="000000"/>
          <w:sz w:val="24"/>
        </w:rPr>
        <w:t>for good and valuable consideration, the receipt and sufficiency of which are hereby acknowledged, the parties hereto, intending to be legally bound, agree as follows:</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1. Defined Terms. </w:t>
      </w:r>
      <w:r>
        <w:rPr>
          <w:rFonts w:ascii="Times New Roman" w:hAnsi="Times New Roman"/>
          <w:color w:val="000000"/>
          <w:sz w:val="24"/>
        </w:rPr>
        <w:t>Unless otherwise amended by the terms of this Amendment, terms used in this Amendment shall have the meanings assigned in the Credit Agreement.</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2. Waiver. </w:t>
      </w:r>
      <w:r>
        <w:rPr>
          <w:rFonts w:ascii="Times New Roman" w:hAnsi="Times New Roman"/>
          <w:color w:val="000000"/>
          <w:sz w:val="24"/>
        </w:rPr>
        <w:t xml:space="preserve">The Borrower has notified the Administrative Agent that it will acquire the Loans specified on </w:t>
      </w:r>
      <w:r>
        <w:rPr>
          <w:rFonts w:ascii="Times New Roman" w:hAnsi="Times New Roman"/>
          <w:color w:val="000000"/>
          <w:sz w:val="24"/>
          <w:u w:val="single"/>
        </w:rPr>
        <w:t>Schedule I</w:t>
      </w:r>
      <w:r>
        <w:rPr>
          <w:rFonts w:ascii="Times New Roman" w:hAnsi="Times New Roman"/>
          <w:color w:val="000000"/>
          <w:sz w:val="20"/>
        </w:rPr>
        <w:t xml:space="preserve"> </w:t>
      </w:r>
      <w:r>
        <w:rPr>
          <w:rFonts w:ascii="Times New Roman" w:hAnsi="Times New Roman"/>
          <w:color w:val="000000"/>
          <w:sz w:val="24"/>
        </w:rPr>
        <w:t>(such Loans, the “</w:t>
      </w:r>
      <w:r>
        <w:rPr>
          <w:rFonts w:ascii="Times New Roman" w:hAnsi="Times New Roman"/>
          <w:i/>
          <w:color w:val="000000"/>
          <w:sz w:val="24"/>
        </w:rPr>
        <w:t>Subject Loans</w:t>
      </w:r>
      <w:r>
        <w:rPr>
          <w:rFonts w:ascii="Times New Roman" w:hAnsi="Times New Roman"/>
          <w:color w:val="000000"/>
          <w:sz w:val="20"/>
        </w:rPr>
        <w:t>”</w:t>
      </w:r>
      <w:r>
        <w:rPr>
          <w:rFonts w:ascii="Times New Roman" w:hAnsi="Times New Roman"/>
          <w:color w:val="000000"/>
          <w:sz w:val="24"/>
        </w:rPr>
        <w:t xml:space="preserve">) and plans to include such Subject Loans in the Borrowing Base as Eligible Loans. Pursuant to clause (xviii) of the defined term </w:t>
      </w:r>
      <w:r>
        <w:rPr>
          <w:rFonts w:ascii="Times New Roman" w:hAnsi="Times New Roman"/>
          <w:color w:val="000000"/>
          <w:sz w:val="20"/>
        </w:rPr>
        <w:t>“</w:t>
      </w:r>
      <w:r>
        <w:rPr>
          <w:rFonts w:ascii="Times New Roman" w:hAnsi="Times New Roman"/>
          <w:i/>
          <w:color w:val="000000"/>
          <w:sz w:val="24"/>
        </w:rPr>
        <w:t>Eligible Loan”</w:t>
      </w:r>
      <w:r>
        <w:rPr>
          <w:rFonts w:ascii="Times New Roman" w:hAnsi="Times New Roman"/>
          <w:color w:val="000000"/>
          <w:sz w:val="20"/>
        </w:rPr>
        <w:t xml:space="preserve"> </w:t>
      </w:r>
      <w:r>
        <w:rPr>
          <w:rFonts w:ascii="Times New Roman" w:hAnsi="Times New Roman"/>
          <w:color w:val="000000"/>
          <w:sz w:val="24"/>
        </w:rPr>
        <w:t>in Section 1.1 of the Credit Agreement, to qualify as an Eligible Loan, a Loan that is not a Broadly Syndicated Loan shall not have an original term to maturity of greater than sixty (60) months (the “</w:t>
      </w:r>
      <w:r>
        <w:rPr>
          <w:rFonts w:ascii="Times New Roman" w:hAnsi="Times New Roman"/>
          <w:i/>
          <w:color w:val="000000"/>
          <w:sz w:val="24"/>
        </w:rPr>
        <w:t>Original Term Criterion</w:t>
      </w:r>
      <w:r>
        <w:rPr>
          <w:rFonts w:ascii="Times New Roman" w:hAnsi="Times New Roman"/>
          <w:color w:val="000000"/>
          <w:sz w:val="20"/>
        </w:rPr>
        <w:t>”</w:t>
      </w:r>
      <w:r>
        <w:rPr>
          <w:rFonts w:ascii="Times New Roman" w:hAnsi="Times New Roman"/>
          <w:color w:val="000000"/>
          <w:sz w:val="24"/>
        </w:rPr>
        <w:t>) unless waived by the Required Lenders in their sole discretion.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The Borrower has notified the Administrative Agent that the Subject Loans fail to satisfy the Original Term Criterion, because each of the Subject Loans, none of which qualify as a Broadly Syndicated Loan, had an original term to maturity in excess of sixty (60) months (the “</w:t>
      </w:r>
      <w:r>
        <w:rPr>
          <w:rFonts w:ascii="Times New Roman" w:hAnsi="Times New Roman"/>
          <w:i/>
          <w:color w:val="000000"/>
          <w:sz w:val="24"/>
        </w:rPr>
        <w:t>Specified Non-Compliance</w:t>
      </w:r>
      <w:r>
        <w:rPr>
          <w:rFonts w:ascii="Times New Roman" w:hAnsi="Times New Roman"/>
          <w:color w:val="000000"/>
          <w:sz w:val="20"/>
        </w:rPr>
        <w:t>”</w:t>
      </w:r>
      <w:r>
        <w:rPr>
          <w:rFonts w:ascii="Times New Roman" w:hAnsi="Times New Roman"/>
          <w:color w:val="000000"/>
          <w:sz w:val="24"/>
        </w:rPr>
        <w:t>). The Borrower has requested that the Administrative Agent and the Lenders waive the Specified Non-Compliance with the Original Term Criterion.</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Each of the Lenders and the Administrative Agent hereby agrees by its execution hereof to waive the Specified Non-Compliance with respect to the Subject Loans and, as long as each Subject Loan satisfies each other eligibility criterion set forth in the definition of </w:t>
      </w:r>
      <w:r>
        <w:rPr>
          <w:rFonts w:ascii="Times New Roman" w:hAnsi="Times New Roman"/>
          <w:color w:val="000000"/>
          <w:sz w:val="20"/>
        </w:rPr>
        <w:t>“</w:t>
      </w:r>
      <w:r>
        <w:rPr>
          <w:rFonts w:ascii="Times New Roman" w:hAnsi="Times New Roman"/>
          <w:i/>
          <w:color w:val="000000"/>
          <w:sz w:val="24"/>
        </w:rPr>
        <w:t>Eligible Loan,”</w:t>
      </w:r>
      <w:r>
        <w:rPr>
          <w:rFonts w:ascii="Times New Roman" w:hAnsi="Times New Roman"/>
          <w:color w:val="000000"/>
          <w:sz w:val="20"/>
        </w:rPr>
        <w:t xml:space="preserve"> </w:t>
      </w:r>
      <w:r>
        <w:rPr>
          <w:rFonts w:ascii="Times New Roman" w:hAnsi="Times New Roman"/>
          <w:color w:val="000000"/>
          <w:sz w:val="24"/>
        </w:rPr>
        <w:t>such Subject Loan shall qualify as an Eligible Loan. This waiver is expressly limited to the Specified Non-Compliance, and all other terms and conditions of the Credit Agreement and the other Transaction Documents shall stand and remain unchanged and in full force and effect.</w:t>
      </w:r>
    </w:p>
    <w:p>
      <w:pPr>
        <w:pStyle w:val="TextBody"/>
        <w:bidi w:val="0"/>
        <w:spacing w:before="280" w:after="283"/>
        <w:jc w:val="both"/>
        <w:rPr>
          <w:rFonts w:ascii="Times New Roman" w:hAnsi="Times New Roman"/>
          <w:sz w:val="20"/>
        </w:rPr>
      </w:pPr>
      <w:r>
        <w:rPr>
          <w:rFonts w:ascii="Times New Roman" w:hAnsi="Times New Roman"/>
          <w:i/>
          <w:color w:val="000000"/>
          <w:sz w:val="24"/>
        </w:rPr>
        <w:t xml:space="preserve">Section 3. Amendments to Credit Agreement. </w:t>
      </w:r>
      <w:r>
        <w:rPr>
          <w:rFonts w:ascii="Times New Roman" w:hAnsi="Times New Roman"/>
          <w:color w:val="000000"/>
          <w:sz w:val="24"/>
        </w:rPr>
        <w:t>Subject to the satisfaction of the conditions precedent set forth in Section 4 below, the parties hereto agree to the following amendments:</w:t>
      </w:r>
    </w:p>
    <w:p>
      <w:pPr>
        <w:pStyle w:val="TextBody"/>
        <w:bidi w:val="0"/>
        <w:spacing w:before="280" w:after="283"/>
        <w:jc w:val="both"/>
        <w:rPr>
          <w:rFonts w:ascii="Times New Roman" w:hAnsi="Times New Roman"/>
          <w:sz w:val="20"/>
        </w:rPr>
      </w:pPr>
      <w:r>
        <w:rPr>
          <w:rFonts w:ascii="Times New Roman" w:hAnsi="Times New Roman"/>
          <w:color w:val="000000"/>
          <w:sz w:val="24"/>
        </w:rPr>
        <w:t>3.1 the phrase, “unless waived by the Required Lenders in their sole discretion” in the lead-in to the definition of “</w:t>
      </w:r>
      <w:r>
        <w:rPr>
          <w:rFonts w:ascii="Times New Roman" w:hAnsi="Times New Roman"/>
          <w:i/>
          <w:color w:val="000000"/>
          <w:sz w:val="24"/>
        </w:rPr>
        <w:t>Eligible Loan</w:t>
      </w:r>
      <w:r>
        <w:rPr>
          <w:rFonts w:ascii="Times New Roman" w:hAnsi="Times New Roman"/>
          <w:color w:val="000000"/>
          <w:sz w:val="20"/>
        </w:rPr>
        <w:t xml:space="preserve">” </w:t>
      </w:r>
      <w:r>
        <w:rPr>
          <w:rFonts w:ascii="Times New Roman" w:hAnsi="Times New Roman"/>
          <w:color w:val="000000"/>
          <w:sz w:val="24"/>
        </w:rPr>
        <w:t>is hereby replaced with the phrase, “unless waived with respect to a particular Loan or Loans by the Required Lenders in their sole discretion”.</w:t>
      </w:r>
      <w:r>
        <w:rPr>
          <w:rFonts w:ascii="Times New Roman" w:hAnsi="Times New Roman"/>
          <w:color w:val="000000"/>
          <w:sz w:val="20"/>
        </w:rPr>
        <w:t xml:space="preserve"> </w:t>
      </w:r>
    </w:p>
    <w:p>
      <w:pPr>
        <w:pStyle w:val="TextBody"/>
        <w:bidi w:val="0"/>
        <w:spacing w:before="280" w:after="283"/>
        <w:jc w:val="both"/>
        <w:rPr>
          <w:rFonts w:ascii="Times New Roman" w:hAnsi="Times New Roman"/>
          <w:sz w:val="20"/>
        </w:rPr>
      </w:pPr>
      <w:r>
        <w:rPr>
          <w:rFonts w:ascii="Times New Roman" w:hAnsi="Times New Roman"/>
          <w:color w:val="000000"/>
          <w:sz w:val="24"/>
        </w:rPr>
        <w:t xml:space="preserve">3.2 clause (aa) of the defined term </w:t>
      </w:r>
      <w:r>
        <w:rPr>
          <w:rFonts w:ascii="Times New Roman" w:hAnsi="Times New Roman"/>
          <w:color w:val="000000"/>
          <w:sz w:val="20"/>
        </w:rPr>
        <w:t>“</w:t>
      </w:r>
      <w:r>
        <w:rPr>
          <w:rFonts w:ascii="Times New Roman" w:hAnsi="Times New Roman"/>
          <w:i/>
          <w:color w:val="000000"/>
          <w:sz w:val="24"/>
        </w:rPr>
        <w:t>Excess Concentration”</w:t>
      </w:r>
      <w:r>
        <w:rPr>
          <w:rFonts w:ascii="Times New Roman" w:hAnsi="Times New Roman"/>
          <w:color w:val="000000"/>
          <w:sz w:val="20"/>
        </w:rPr>
        <w:t xml:space="preserve"> </w:t>
      </w:r>
      <w:r>
        <w:rPr>
          <w:rFonts w:ascii="Times New Roman" w:hAnsi="Times New Roman"/>
          <w:color w:val="000000"/>
          <w:sz w:val="24"/>
        </w:rPr>
        <w:t>appearing in Section 1.1 of the Credit Agreement is hereby amended and restated in its entirety and as so amended and restated shall read as follows:</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(aa) the amount by which (i) the aggregate Outstanding Loan Balances of all Eligible Loans included as part of the Collateral that are Term Loans and that do not fully amortize over their respective terms to a balance on the maturity date of 40.0% or less of the initial Loan Balance exceeds (ii) 35.0% of the Aggregate Outstanding Loan Balance;</w:t>
      </w:r>
    </w:p>
    <w:p>
      <w:pPr>
        <w:pStyle w:val="TextBody"/>
        <w:bidi w:val="0"/>
        <w:spacing w:before="280" w:after="283"/>
        <w:jc w:val="both"/>
        <w:rPr>
          <w:rFonts w:ascii="Times New Roman" w:hAnsi="Times New Roman"/>
          <w:sz w:val="20"/>
        </w:rPr>
      </w:pPr>
      <w:r>
        <w:rPr>
          <w:rFonts w:ascii="Times New Roman" w:hAnsi="Times New Roman"/>
          <w:color w:val="000000"/>
          <w:sz w:val="24"/>
        </w:rPr>
        <w:t>3.3 Section 5.1(h) of the Credit Agreement is hereby amended by (a) deleting “and” prior to clause (v) therein, and (b) adding a new clause (vi) at the end such section before the period as follows: “and (vi) any transaction which has been consented to by the Administrative Agent under Section 5.1(i)”.</w:t>
      </w:r>
      <w:r>
        <w:rPr>
          <w:rFonts w:ascii="Times New Roman" w:hAnsi="Times New Roman"/>
          <w:color w:val="000000"/>
          <w:sz w:val="20"/>
        </w:rPr>
        <w:t xml:space="preserve">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3.4 Section 5.1(i) of the Credit Agreement is hereby amended by deleting the word “not” therein.</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3.5 Clause (iii)(G) of the proviso to Section 12.1 of the Credit Agreement is hereby amended and restated in its entirety and as so amended and restated shall read as follows:</w:t>
      </w:r>
    </w:p>
    <w:p>
      <w:pPr>
        <w:pStyle w:val="TextBody"/>
        <w:bidi w:val="0"/>
        <w:spacing w:before="280" w:after="283"/>
        <w:jc w:val="both"/>
        <w:rPr>
          <w:rFonts w:ascii="Times New Roman" w:hAnsi="Times New Roman"/>
          <w:sz w:val="20"/>
        </w:rPr>
      </w:pPr>
      <w:r>
        <w:rPr>
          <w:rFonts w:ascii="Times New Roman" w:hAnsi="Times New Roman"/>
          <w:color w:val="000000"/>
          <w:sz w:val="24"/>
        </w:rPr>
        <w:t>(G) change the definition of “Borrowing Base,” “Collateral Default Ratio,” “Eligible Loan” (subject to the definition thereof, which permits Required Lenders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to waive Eligible Loan requirements with respect to a particular Loan or Loans) or “Payment Date,”</w:t>
      </w:r>
    </w:p>
    <w:p>
      <w:pPr>
        <w:pStyle w:val="TextBody"/>
        <w:bidi w:val="0"/>
        <w:spacing w:before="280" w:after="283"/>
        <w:jc w:val="both"/>
        <w:rPr>
          <w:rFonts w:ascii="Times New Roman" w:hAnsi="Times New Roman"/>
          <w:sz w:val="20"/>
        </w:rPr>
      </w:pPr>
      <w:r>
        <w:rPr>
          <w:rFonts w:ascii="Times New Roman" w:hAnsi="Times New Roman"/>
          <w:i/>
          <w:color w:val="000000"/>
          <w:sz w:val="24"/>
        </w:rPr>
        <w:t>Section 4. Conditions Precedent.</w:t>
      </w:r>
      <w:r>
        <w:rPr>
          <w:rFonts w:ascii="Times New Roman" w:hAnsi="Times New Roman"/>
          <w:color w:val="000000"/>
          <w:sz w:val="20"/>
        </w:rPr>
        <w:t xml:space="preserve"> </w:t>
      </w:r>
      <w:r>
        <w:rPr>
          <w:rFonts w:ascii="Times New Roman" w:hAnsi="Times New Roman"/>
          <w:color w:val="000000"/>
          <w:sz w:val="24"/>
        </w:rPr>
        <w:t>This Amendment shall become effective as of the date of the satisfaction of all of the following conditions precedent: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4.1. The Administrative Agent, the Borrower, and the Lenders party hereto shall have executed and delivered this Amendment.</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4.2. Legal matters incident to the execution and delivery of this Amendment shall be satisfactory to the Administrative Agent and its counsel.</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4.3. No Unmatured Event of Default or Event of Default shall have occurred and be continuing (after giving effect to this Amendment).</w:t>
      </w:r>
    </w:p>
    <w:p>
      <w:pPr>
        <w:pStyle w:val="TextBody"/>
        <w:bidi w:val="0"/>
        <w:spacing w:before="280" w:after="283"/>
        <w:jc w:val="both"/>
        <w:rPr>
          <w:rFonts w:ascii="Times New Roman" w:hAnsi="Times New Roman"/>
          <w:sz w:val="20"/>
        </w:rPr>
      </w:pPr>
      <w:r>
        <w:rPr>
          <w:rFonts w:ascii="Times New Roman" w:hAnsi="Times New Roman"/>
          <w:i/>
          <w:color w:val="000000"/>
          <w:sz w:val="24"/>
        </w:rPr>
        <w:t>Section 5. Representations of the Borrower.</w:t>
      </w:r>
      <w:r>
        <w:rPr>
          <w:rFonts w:ascii="Times New Roman" w:hAnsi="Times New Roman"/>
          <w:color w:val="000000"/>
          <w:sz w:val="20"/>
        </w:rPr>
        <w:t xml:space="preserve"> </w:t>
      </w:r>
      <w:r>
        <w:rPr>
          <w:rFonts w:ascii="Times New Roman" w:hAnsi="Times New Roman"/>
          <w:color w:val="000000"/>
          <w:sz w:val="24"/>
        </w:rPr>
        <w:t>The Borrower hereby represents and warrants to the parties hereto that as of the date hereof its representations and warranties contained in Article IV of the Credit Agreement and any other Transaction Documents to which it is a party are true and correct in all material respects as of the date hereof and after giving effect to this Amendment (except to the extent that such representations and warranties relate solely to an earlier date, and then are true and correct as of such earlier date).</w:t>
      </w:r>
    </w:p>
    <w:p>
      <w:pPr>
        <w:pStyle w:val="TextBody"/>
        <w:bidi w:val="0"/>
        <w:spacing w:before="280" w:after="283"/>
        <w:jc w:val="both"/>
        <w:rPr>
          <w:rFonts w:ascii="Times New Roman" w:hAnsi="Times New Roman"/>
          <w:sz w:val="20"/>
        </w:rPr>
      </w:pPr>
      <w:r>
        <w:rPr>
          <w:rFonts w:ascii="Times New Roman" w:hAnsi="Times New Roman"/>
          <w:i/>
          <w:color w:val="000000"/>
          <w:sz w:val="24"/>
        </w:rPr>
        <w:t>Section 6. Execution in Counterparts.</w:t>
      </w:r>
      <w:r>
        <w:rPr>
          <w:rFonts w:ascii="Times New Roman" w:hAnsi="Times New Roman"/>
          <w:color w:val="000000"/>
          <w:sz w:val="20"/>
        </w:rPr>
        <w:t xml:space="preserve"> </w:t>
      </w:r>
      <w:r>
        <w:rPr>
          <w:rFonts w:ascii="Times New Roman" w:hAnsi="Times New Roman"/>
          <w:color w:val="000000"/>
          <w:sz w:val="24"/>
        </w:rPr>
        <w:t>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a counterpart hereof by facsimile transmission or by e</w:t>
        <w:noBreakHyphen/>
        <w:t>mail transmission of an Adobe Portable Document Format File (also known as an</w:t>
      </w:r>
      <w:r>
        <w:rPr>
          <w:rFonts w:ascii="Times New Roman" w:hAnsi="Times New Roman"/>
          <w:color w:val="000000"/>
          <w:sz w:val="20"/>
        </w:rPr>
        <w:t xml:space="preserve"> “</w:t>
      </w:r>
      <w:r>
        <w:rPr>
          <w:rFonts w:ascii="Times New Roman" w:hAnsi="Times New Roman"/>
          <w:i/>
          <w:color w:val="000000"/>
          <w:sz w:val="24"/>
        </w:rPr>
        <w:t xml:space="preserve">PDF” </w:t>
      </w:r>
      <w:r>
        <w:rPr>
          <w:rFonts w:ascii="Times New Roman" w:hAnsi="Times New Roman"/>
          <w:color w:val="000000"/>
          <w:sz w:val="24"/>
        </w:rPr>
        <w:t>file) shall be effective as delivery of a manually executed counterpart hereof.</w:t>
      </w:r>
    </w:p>
    <w:p>
      <w:pPr>
        <w:pStyle w:val="TextBody"/>
        <w:bidi w:val="0"/>
        <w:spacing w:before="280" w:after="283"/>
        <w:jc w:val="both"/>
        <w:rPr>
          <w:rFonts w:ascii="Times New Roman" w:hAnsi="Times New Roman"/>
          <w:sz w:val="20"/>
        </w:rPr>
      </w:pPr>
      <w:r>
        <w:rPr>
          <w:rFonts w:ascii="Times New Roman" w:hAnsi="Times New Roman"/>
          <w:i/>
          <w:color w:val="000000"/>
          <w:sz w:val="24"/>
        </w:rPr>
        <w:t>Section 7. Termination of First Foundation Bank</w:t>
      </w:r>
      <w:r>
        <w:rPr>
          <w:rFonts w:ascii="Times New Roman" w:hAnsi="Times New Roman"/>
          <w:color w:val="000000"/>
          <w:sz w:val="24"/>
        </w:rPr>
        <w:t>. On the date hereof, in connection with this Amendment, the parties hereto hereby agree that (a) (i) Autobahn Funding Company LLC hereby purchases 60.0% of the Commitment and outstanding Advances of First Foundation Bank (the “</w:t>
      </w:r>
      <w:r>
        <w:rPr>
          <w:rFonts w:ascii="Times New Roman" w:hAnsi="Times New Roman"/>
          <w:i/>
          <w:color w:val="000000"/>
          <w:sz w:val="24"/>
        </w:rPr>
        <w:t>Exiting Lender</w:t>
      </w:r>
      <w:r>
        <w:rPr>
          <w:rFonts w:ascii="Times New Roman" w:hAnsi="Times New Roman"/>
          <w:color w:val="000000"/>
          <w:sz w:val="20"/>
        </w:rPr>
        <w:t>”</w:t>
      </w:r>
      <w:r>
        <w:rPr>
          <w:rFonts w:ascii="Times New Roman" w:hAnsi="Times New Roman"/>
          <w:color w:val="000000"/>
          <w:sz w:val="24"/>
        </w:rPr>
        <w:t>), (ii) KeyBank National Association hereby purchases 20.0% of the Commitments and outstanding Advances of the Exiting Lender, and (iii) East West Bank hereby purchases 20.0% of the Commitment and outstanding Advances of the Exiting Lender, and the Lenders shall make such purchases and sales of the outstanding Advances on the date of this Amendment so that after giving effect to such purchases and sales, each Lender is then holding its percentage of the aggregate outstanding Advances based on the Commitments</w:t>
      </w:r>
      <w:r>
        <w:rPr>
          <w:rFonts w:ascii="Times New Roman" w:hAnsi="Times New Roman"/>
          <w:color w:val="212121"/>
          <w:sz w:val="20"/>
        </w:rPr>
        <w:t xml:space="preserve"> </w:t>
      </w:r>
      <w:r>
        <w:rPr>
          <w:rFonts w:ascii="Times New Roman" w:hAnsi="Times New Roman"/>
          <w:color w:val="000000"/>
          <w:sz w:val="24"/>
        </w:rPr>
        <w:t>reflected on Schedule II hereto, (b) the Exiting Lender shall cease to be a party to the Credit Agreement and all of its respective rights and obligations under the Credit Agreement and the other Transaction Documents (other than those rights which expressly survive the termination or cancellation of the Credit Agreement, as in effect prior to this Amendment) shall terminate and cease to be of further force or effect, (c) the “Commitment” of the Exiting Lender is hereby assigned to Autobahn Funding Company LLC, KeyBank National Association and East West Bank, respectively, and accordingly the Exiting Lender shall have no “Commitment” under the Credit Agreement from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sz w:val="20"/>
        </w:rPr>
      </w:pPr>
      <w:r>
        <w:rPr>
          <w:rFonts w:ascii="Times New Roman" w:hAnsi="Times New Roman"/>
          <w:color w:val="000000"/>
          <w:sz w:val="24"/>
        </w:rPr>
        <w:t>and after the date hereof, and (d) each Lender and the Administrative Agent consent to the assignment of the Commitment of the Exiting Lender and the purchase of the outstanding Advances of the Exiting Lender in the manner contemplated by this Amendment and waive compliance with any other terms, conditions or requirements in the Credit Agreement applicable to the transactions contemplated under clauses (a) through (c) above. The purchases and sales</w:t>
      </w:r>
      <w:r>
        <w:rPr>
          <w:rFonts w:ascii="Times New Roman" w:hAnsi="Times New Roman"/>
          <w:color w:val="000000"/>
          <w:sz w:val="20"/>
        </w:rPr>
        <w:t xml:space="preserve"> </w:t>
      </w:r>
      <w:r>
        <w:rPr>
          <w:rFonts w:ascii="Times New Roman" w:hAnsi="Times New Roman"/>
          <w:color w:val="000000"/>
          <w:sz w:val="24"/>
        </w:rPr>
        <w:t>referenced in clause (a) above shall be arranged through the Administrative Agent who shall distribute any amounts received to the Lenders in accordance with the foregoing, and each Lender hereby agrees to execute such further instruments and documents, if any, as the Administrative Agent may reasonably request in connection therewith.</w:t>
      </w:r>
    </w:p>
    <w:p>
      <w:pPr>
        <w:pStyle w:val="TextBody"/>
        <w:bidi w:val="0"/>
        <w:spacing w:before="280" w:after="283"/>
        <w:jc w:val="both"/>
        <w:rPr>
          <w:rFonts w:ascii="Times New Roman" w:hAnsi="Times New Roman"/>
          <w:sz w:val="20"/>
        </w:rPr>
      </w:pPr>
      <w:r>
        <w:rPr>
          <w:rFonts w:ascii="Times New Roman" w:hAnsi="Times New Roman"/>
          <w:i/>
          <w:color w:val="000000"/>
          <w:sz w:val="24"/>
        </w:rPr>
        <w:t>Section 8 Governing Law.</w:t>
      </w:r>
      <w:r>
        <w:rPr>
          <w:rFonts w:ascii="Times New Roman" w:hAnsi="Times New Roman"/>
          <w:color w:val="000000"/>
          <w:sz w:val="20"/>
        </w:rPr>
        <w:t xml:space="preserve"> </w:t>
      </w:r>
      <w:r>
        <w:rPr>
          <w:rFonts w:ascii="Times New Roman" w:hAnsi="Times New Roman"/>
          <w:smallCaps/>
          <w:color w:val="000000"/>
          <w:sz w:val="24"/>
        </w:rPr>
        <w:t>This Amendment</w:t>
      </w:r>
      <w:r>
        <w:rPr>
          <w:rFonts w:ascii="Times New Roman" w:hAnsi="Times New Roman"/>
          <w:color w:val="000000"/>
          <w:sz w:val="20"/>
        </w:rPr>
        <w:t xml:space="preserve"> </w:t>
      </w:r>
      <w:r>
        <w:rPr>
          <w:rFonts w:ascii="Times New Roman" w:hAnsi="Times New Roman"/>
          <w:smallCaps/>
          <w:color w:val="000000"/>
          <w:sz w:val="24"/>
        </w:rPr>
        <w:t>shall be construed in accordance with the internal laws of the State of New York, without reference to conflict of law principles, and the obligations, rights and remedies of the parties hereunder shall be determined in accordance with the internal laws of the State of New York.</w:t>
      </w:r>
    </w:p>
    <w:p>
      <w:pPr>
        <w:pStyle w:val="TextBody"/>
        <w:bidi w:val="0"/>
        <w:spacing w:before="400" w:after="283"/>
        <w:jc w:val="center"/>
        <w:rPr>
          <w:rFonts w:ascii="Times New Roman" w:hAnsi="Times New Roman"/>
          <w:smallCaps/>
          <w:color w:val="000000"/>
          <w:sz w:val="24"/>
        </w:rPr>
      </w:pPr>
      <w:r>
        <w:rPr>
          <w:rFonts w:ascii="Times New Roman" w:hAnsi="Times New Roman"/>
          <w:smallCaps/>
          <w:color w:val="000000"/>
          <w:sz w:val="24"/>
        </w:rPr>
        <w:t>[Signature Pages To Follow]</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smallCaps/>
          <w:color w:val="000000"/>
          <w:sz w:val="24"/>
        </w:rPr>
        <w:t>In Witness Whereof</w:t>
      </w:r>
      <w:r>
        <w:rPr>
          <w:rFonts w:ascii="Times New Roman" w:hAnsi="Times New Roman"/>
          <w:color w:val="000000"/>
          <w:sz w:val="24"/>
        </w:rPr>
        <w:t>, the parties hereto have caused this Amendment to Credit Agreement to be executed and delivered by their duly authorized officers as of the date hereof.</w:t>
      </w:r>
    </w:p>
    <w:p>
      <w:pPr>
        <w:pStyle w:val="TextBody"/>
        <w:bidi w:val="0"/>
        <w:spacing w:before="400" w:after="283"/>
        <w:jc w:val="left"/>
        <w:rPr>
          <w:rFonts w:ascii="Times New Roman" w:hAnsi="Times New Roman"/>
          <w:smallCaps/>
          <w:color w:val="000000"/>
          <w:sz w:val="24"/>
        </w:rPr>
      </w:pPr>
      <w:r>
        <w:rPr>
          <w:rFonts w:ascii="Times New Roman" w:hAnsi="Times New Roman"/>
          <w:smallCaps/>
          <w:color w:val="000000"/>
          <w:sz w:val="24"/>
        </w:rPr>
        <w:t>Borrower:</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Runway Growth Finance Corp.</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Thomas B. Raterman</w:t>
      </w:r>
    </w:p>
    <w:p>
      <w:pPr>
        <w:pStyle w:val="TextBody"/>
        <w:bidi w:val="0"/>
        <w:jc w:val="left"/>
        <w:rPr>
          <w:rFonts w:ascii="Times New Roman" w:hAnsi="Times New Roman"/>
          <w:color w:val="000000"/>
          <w:sz w:val="24"/>
        </w:rPr>
      </w:pPr>
      <w:r>
        <w:rPr>
          <w:rFonts w:ascii="Times New Roman" w:hAnsi="Times New Roman"/>
          <w:color w:val="000000"/>
          <w:sz w:val="24"/>
        </w:rPr>
        <w:t>Name: Thomas B. Raterman</w:t>
      </w:r>
    </w:p>
    <w:p>
      <w:pPr>
        <w:pStyle w:val="TextBody"/>
        <w:bidi w:val="0"/>
        <w:jc w:val="left"/>
        <w:rPr>
          <w:rFonts w:ascii="Times New Roman" w:hAnsi="Times New Roman"/>
          <w:color w:val="000000"/>
          <w:sz w:val="24"/>
        </w:rPr>
      </w:pPr>
      <w:r>
        <w:rPr>
          <w:rFonts w:ascii="Times New Roman" w:hAnsi="Times New Roman"/>
          <w:color w:val="000000"/>
          <w:sz w:val="24"/>
        </w:rPr>
        <w:t>Title: President</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KeyBank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KeyBank National Association</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Alma Thaxton</w:t>
      </w:r>
    </w:p>
    <w:p>
      <w:pPr>
        <w:pStyle w:val="TextBody"/>
        <w:bidi w:val="0"/>
        <w:jc w:val="left"/>
        <w:rPr>
          <w:rFonts w:ascii="Times New Roman" w:hAnsi="Times New Roman"/>
          <w:color w:val="000000"/>
          <w:sz w:val="24"/>
        </w:rPr>
      </w:pPr>
      <w:r>
        <w:rPr>
          <w:rFonts w:ascii="Times New Roman" w:hAnsi="Times New Roman"/>
          <w:color w:val="000000"/>
          <w:sz w:val="24"/>
        </w:rPr>
        <w:t>Name: Alma Thaxton</w:t>
      </w:r>
    </w:p>
    <w:p>
      <w:pPr>
        <w:pStyle w:val="TextBody"/>
        <w:bidi w:val="0"/>
        <w:jc w:val="left"/>
        <w:rPr>
          <w:rFonts w:ascii="Times New Roman" w:hAnsi="Times New Roman"/>
          <w:color w:val="000000"/>
          <w:sz w:val="24"/>
        </w:rPr>
      </w:pPr>
      <w:r>
        <w:rPr>
          <w:rFonts w:ascii="Times New Roman" w:hAnsi="Times New Roman"/>
          <w:color w:val="000000"/>
          <w:sz w:val="24"/>
        </w:rPr>
        <w:t>Title: VP, Account Executive</w:t>
      </w:r>
    </w:p>
    <w:p>
      <w:pPr>
        <w:pStyle w:val="TextBody"/>
        <w:bidi w:val="0"/>
        <w:spacing w:before="280" w:after="283"/>
        <w:jc w:val="left"/>
        <w:rPr>
          <w:rFonts w:ascii="Times New Roman" w:hAnsi="Times New Roman"/>
          <w:sz w:val="20"/>
        </w:rPr>
      </w:pPr>
      <w:r>
        <w:rPr>
          <w:rFonts w:ascii="Times New Roman" w:hAnsi="Times New Roman"/>
          <w:smallCaps/>
          <w:color w:val="000000"/>
          <w:sz w:val="24"/>
        </w:rPr>
        <w:t>Lender</w:t>
      </w:r>
      <w:r>
        <w:rPr>
          <w:rFonts w:ascii="Times New Roman" w:hAnsi="Times New Roman"/>
          <w:color w:val="000000"/>
          <w:sz w:val="20"/>
        </w:rPr>
        <w:t xml:space="preserve"> </w:t>
      </w:r>
      <w:r>
        <w:rPr>
          <w:rFonts w:ascii="Times New Roman" w:hAnsi="Times New Roman"/>
          <w:smallCaps/>
          <w:color w:val="000000"/>
          <w:sz w:val="24"/>
        </w:rPr>
        <w:t>for the KeyBank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KeyBank National Association</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Alma Thaxton</w:t>
      </w:r>
    </w:p>
    <w:p>
      <w:pPr>
        <w:pStyle w:val="TextBody"/>
        <w:bidi w:val="0"/>
        <w:jc w:val="left"/>
        <w:rPr>
          <w:rFonts w:ascii="Times New Roman" w:hAnsi="Times New Roman"/>
          <w:color w:val="000000"/>
          <w:sz w:val="24"/>
        </w:rPr>
      </w:pPr>
      <w:r>
        <w:rPr>
          <w:rFonts w:ascii="Times New Roman" w:hAnsi="Times New Roman"/>
          <w:color w:val="000000"/>
          <w:sz w:val="24"/>
        </w:rPr>
        <w:t>Name: Alma Thaxton</w:t>
      </w:r>
    </w:p>
    <w:p>
      <w:pPr>
        <w:pStyle w:val="TextBody"/>
        <w:bidi w:val="0"/>
        <w:jc w:val="left"/>
        <w:rPr>
          <w:rFonts w:ascii="Times New Roman" w:hAnsi="Times New Roman"/>
          <w:color w:val="000000"/>
          <w:sz w:val="24"/>
        </w:rPr>
      </w:pPr>
      <w:r>
        <w:rPr>
          <w:rFonts w:ascii="Times New Roman" w:hAnsi="Times New Roman"/>
          <w:color w:val="000000"/>
          <w:sz w:val="24"/>
        </w:rPr>
        <w:t>Title: VP, Account Executive</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4"/>
        </w:rPr>
        <w:t>Administrative Agent</w:t>
      </w:r>
      <w:r>
        <w:rPr>
          <w:rFonts w:ascii="Times New Roman" w:hAnsi="Times New Roman"/>
          <w:color w:val="000000"/>
          <w:sz w:val="24"/>
        </w:rPr>
        <w:t>:</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KeyBank National Association</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Alma Thaxton</w:t>
      </w:r>
    </w:p>
    <w:p>
      <w:pPr>
        <w:pStyle w:val="TextBody"/>
        <w:bidi w:val="0"/>
        <w:jc w:val="left"/>
        <w:rPr>
          <w:rFonts w:ascii="Times New Roman" w:hAnsi="Times New Roman"/>
          <w:color w:val="000000"/>
          <w:sz w:val="24"/>
        </w:rPr>
      </w:pPr>
      <w:r>
        <w:rPr>
          <w:rFonts w:ascii="Times New Roman" w:hAnsi="Times New Roman"/>
          <w:color w:val="000000"/>
          <w:sz w:val="24"/>
        </w:rPr>
        <w:t>Name: Alma Thaxton</w:t>
      </w:r>
    </w:p>
    <w:p>
      <w:pPr>
        <w:pStyle w:val="TextBody"/>
        <w:bidi w:val="0"/>
        <w:jc w:val="left"/>
        <w:rPr>
          <w:rFonts w:ascii="Times New Roman" w:hAnsi="Times New Roman"/>
          <w:color w:val="000000"/>
          <w:sz w:val="24"/>
        </w:rPr>
      </w:pPr>
      <w:r>
        <w:rPr>
          <w:rFonts w:ascii="Times New Roman" w:hAnsi="Times New Roman"/>
          <w:color w:val="000000"/>
          <w:sz w:val="24"/>
        </w:rPr>
        <w:t>Title: VP, Account Executive</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CIBC Bank USA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CIBC Bank USA</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Riley Hanson</w:t>
      </w:r>
    </w:p>
    <w:p>
      <w:pPr>
        <w:pStyle w:val="TextBody"/>
        <w:bidi w:val="0"/>
        <w:jc w:val="left"/>
        <w:rPr>
          <w:rFonts w:ascii="Times New Roman" w:hAnsi="Times New Roman"/>
          <w:color w:val="000000"/>
          <w:sz w:val="24"/>
        </w:rPr>
      </w:pPr>
      <w:r>
        <w:rPr>
          <w:rFonts w:ascii="Times New Roman" w:hAnsi="Times New Roman"/>
          <w:color w:val="000000"/>
          <w:sz w:val="24"/>
        </w:rPr>
        <w:t>Name: Riley Hanson</w:t>
      </w:r>
    </w:p>
    <w:p>
      <w:pPr>
        <w:pStyle w:val="TextBody"/>
        <w:bidi w:val="0"/>
        <w:jc w:val="left"/>
        <w:rPr>
          <w:rFonts w:ascii="Times New Roman" w:hAnsi="Times New Roman"/>
          <w:color w:val="000000"/>
          <w:sz w:val="24"/>
        </w:rPr>
      </w:pPr>
      <w:r>
        <w:rPr>
          <w:rFonts w:ascii="Times New Roman" w:hAnsi="Times New Roman"/>
          <w:color w:val="000000"/>
          <w:sz w:val="24"/>
        </w:rPr>
        <w:t>Title: Associate Managing Director</w:t>
      </w:r>
    </w:p>
    <w:p>
      <w:pPr>
        <w:pStyle w:val="TextBody"/>
        <w:bidi w:val="0"/>
        <w:spacing w:before="280" w:after="283"/>
        <w:jc w:val="left"/>
        <w:rPr>
          <w:rFonts w:ascii="Times New Roman" w:hAnsi="Times New Roman"/>
          <w:sz w:val="20"/>
        </w:rPr>
      </w:pPr>
      <w:r>
        <w:rPr>
          <w:rFonts w:ascii="Times New Roman" w:hAnsi="Times New Roman"/>
          <w:smallCaps/>
          <w:color w:val="000000"/>
          <w:sz w:val="24"/>
        </w:rPr>
        <w:t>Lender</w:t>
      </w:r>
      <w:r>
        <w:rPr>
          <w:rFonts w:ascii="Times New Roman" w:hAnsi="Times New Roman"/>
          <w:color w:val="000000"/>
          <w:sz w:val="20"/>
        </w:rPr>
        <w:t xml:space="preserve"> </w:t>
      </w:r>
      <w:r>
        <w:rPr>
          <w:rFonts w:ascii="Times New Roman" w:hAnsi="Times New Roman"/>
          <w:smallCaps/>
          <w:color w:val="000000"/>
          <w:sz w:val="24"/>
        </w:rPr>
        <w:t>for the CIBC BANK USA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CIBC Bank USA</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Riley Hanson</w:t>
      </w:r>
    </w:p>
    <w:p>
      <w:pPr>
        <w:pStyle w:val="TextBody"/>
        <w:bidi w:val="0"/>
        <w:jc w:val="left"/>
        <w:rPr>
          <w:rFonts w:ascii="Times New Roman" w:hAnsi="Times New Roman"/>
          <w:color w:val="000000"/>
          <w:sz w:val="24"/>
        </w:rPr>
      </w:pPr>
      <w:r>
        <w:rPr>
          <w:rFonts w:ascii="Times New Roman" w:hAnsi="Times New Roman"/>
          <w:color w:val="000000"/>
          <w:sz w:val="24"/>
        </w:rPr>
        <w:t>Name: Riley Hanson</w:t>
      </w:r>
    </w:p>
    <w:p>
      <w:pPr>
        <w:pStyle w:val="TextBody"/>
        <w:bidi w:val="0"/>
        <w:jc w:val="left"/>
        <w:rPr>
          <w:rFonts w:ascii="Times New Roman" w:hAnsi="Times New Roman"/>
          <w:color w:val="000000"/>
          <w:sz w:val="24"/>
        </w:rPr>
      </w:pPr>
      <w:r>
        <w:rPr>
          <w:rFonts w:ascii="Times New Roman" w:hAnsi="Times New Roman"/>
          <w:color w:val="000000"/>
          <w:sz w:val="24"/>
        </w:rPr>
        <w:t>Title: Associate Managing Director</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MUFG Bank, Ltd.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MUFG Bank, Ltd.</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Ted Polito</w:t>
      </w:r>
    </w:p>
    <w:p>
      <w:pPr>
        <w:pStyle w:val="TextBody"/>
        <w:bidi w:val="0"/>
        <w:jc w:val="left"/>
        <w:rPr>
          <w:rFonts w:ascii="Times New Roman" w:hAnsi="Times New Roman"/>
          <w:color w:val="000000"/>
          <w:sz w:val="24"/>
        </w:rPr>
      </w:pPr>
      <w:r>
        <w:rPr>
          <w:rFonts w:ascii="Times New Roman" w:hAnsi="Times New Roman"/>
          <w:color w:val="000000"/>
          <w:sz w:val="24"/>
        </w:rPr>
        <w:t>Name: Ted Polito</w:t>
      </w:r>
    </w:p>
    <w:p>
      <w:pPr>
        <w:pStyle w:val="TextBody"/>
        <w:bidi w:val="0"/>
        <w:jc w:val="left"/>
        <w:rPr>
          <w:rFonts w:ascii="Times New Roman" w:hAnsi="Times New Roman"/>
          <w:color w:val="000000"/>
          <w:sz w:val="24"/>
        </w:rPr>
      </w:pPr>
      <w:r>
        <w:rPr>
          <w:rFonts w:ascii="Times New Roman" w:hAnsi="Times New Roman"/>
          <w:color w:val="000000"/>
          <w:sz w:val="24"/>
        </w:rPr>
        <w:t>Title: Vice President</w:t>
      </w:r>
    </w:p>
    <w:p>
      <w:pPr>
        <w:pStyle w:val="TextBody"/>
        <w:bidi w:val="0"/>
        <w:spacing w:before="280" w:after="283"/>
        <w:jc w:val="left"/>
        <w:rPr>
          <w:rFonts w:ascii="Times New Roman" w:hAnsi="Times New Roman"/>
          <w:sz w:val="20"/>
        </w:rPr>
      </w:pPr>
      <w:r>
        <w:rPr>
          <w:rFonts w:ascii="Times New Roman" w:hAnsi="Times New Roman"/>
          <w:smallCaps/>
          <w:color w:val="000000"/>
          <w:sz w:val="24"/>
        </w:rPr>
        <w:t>Lender</w:t>
      </w:r>
      <w:r>
        <w:rPr>
          <w:rFonts w:ascii="Times New Roman" w:hAnsi="Times New Roman"/>
          <w:color w:val="000000"/>
          <w:sz w:val="20"/>
        </w:rPr>
        <w:t xml:space="preserve"> </w:t>
      </w:r>
      <w:r>
        <w:rPr>
          <w:rFonts w:ascii="Times New Roman" w:hAnsi="Times New Roman"/>
          <w:smallCaps/>
          <w:color w:val="000000"/>
          <w:sz w:val="24"/>
        </w:rPr>
        <w:t>for the MUFG Bank, Ltd.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MUFG Bank, Ltd.</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Ted Polito</w:t>
      </w:r>
    </w:p>
    <w:p>
      <w:pPr>
        <w:pStyle w:val="TextBody"/>
        <w:bidi w:val="0"/>
        <w:jc w:val="left"/>
        <w:rPr>
          <w:rFonts w:ascii="Times New Roman" w:hAnsi="Times New Roman"/>
          <w:color w:val="000000"/>
          <w:sz w:val="24"/>
        </w:rPr>
      </w:pPr>
      <w:r>
        <w:rPr>
          <w:rFonts w:ascii="Times New Roman" w:hAnsi="Times New Roman"/>
          <w:color w:val="000000"/>
          <w:sz w:val="24"/>
        </w:rPr>
        <w:t>Name: Ted Polito</w:t>
      </w:r>
    </w:p>
    <w:p>
      <w:pPr>
        <w:pStyle w:val="TextBody"/>
        <w:bidi w:val="0"/>
        <w:jc w:val="left"/>
        <w:rPr>
          <w:rFonts w:ascii="Times New Roman" w:hAnsi="Times New Roman"/>
          <w:color w:val="000000"/>
          <w:sz w:val="24"/>
        </w:rPr>
      </w:pPr>
      <w:r>
        <w:rPr>
          <w:rFonts w:ascii="Times New Roman" w:hAnsi="Times New Roman"/>
          <w:color w:val="000000"/>
          <w:sz w:val="24"/>
        </w:rPr>
        <w:t>Title: Vice President</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Everbank, N.A.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Everbank, N.A.</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Martin O’Brien</w:t>
      </w:r>
    </w:p>
    <w:p>
      <w:pPr>
        <w:pStyle w:val="TextBody"/>
        <w:bidi w:val="0"/>
        <w:jc w:val="left"/>
        <w:rPr>
          <w:rFonts w:ascii="Times New Roman" w:hAnsi="Times New Roman"/>
          <w:color w:val="000000"/>
          <w:sz w:val="24"/>
        </w:rPr>
      </w:pPr>
      <w:r>
        <w:rPr>
          <w:rFonts w:ascii="Times New Roman" w:hAnsi="Times New Roman"/>
          <w:color w:val="000000"/>
          <w:sz w:val="24"/>
        </w:rPr>
        <w:t>Name: Martin O’Brien</w:t>
      </w:r>
    </w:p>
    <w:p>
      <w:pPr>
        <w:pStyle w:val="TextBody"/>
        <w:bidi w:val="0"/>
        <w:jc w:val="left"/>
        <w:rPr>
          <w:rFonts w:ascii="Times New Roman" w:hAnsi="Times New Roman"/>
          <w:color w:val="000000"/>
          <w:sz w:val="24"/>
        </w:rPr>
      </w:pPr>
      <w:r>
        <w:rPr>
          <w:rFonts w:ascii="Times New Roman" w:hAnsi="Times New Roman"/>
          <w:color w:val="000000"/>
          <w:sz w:val="24"/>
        </w:rPr>
        <w:t>Title: Managing Director</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Everbank, N.A.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Everbank, N.A.</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Martin O’Brien</w:t>
      </w:r>
    </w:p>
    <w:p>
      <w:pPr>
        <w:pStyle w:val="TextBody"/>
        <w:bidi w:val="0"/>
        <w:jc w:val="left"/>
        <w:rPr>
          <w:rFonts w:ascii="Times New Roman" w:hAnsi="Times New Roman"/>
          <w:color w:val="000000"/>
          <w:sz w:val="24"/>
        </w:rPr>
      </w:pPr>
      <w:r>
        <w:rPr>
          <w:rFonts w:ascii="Times New Roman" w:hAnsi="Times New Roman"/>
          <w:color w:val="000000"/>
          <w:sz w:val="24"/>
        </w:rPr>
        <w:t>Name: Martin O’Brien</w:t>
      </w:r>
    </w:p>
    <w:p>
      <w:pPr>
        <w:pStyle w:val="TextBody"/>
        <w:bidi w:val="0"/>
        <w:jc w:val="left"/>
        <w:rPr>
          <w:rFonts w:ascii="Times New Roman" w:hAnsi="Times New Roman"/>
          <w:color w:val="000000"/>
          <w:sz w:val="24"/>
        </w:rPr>
      </w:pPr>
      <w:r>
        <w:rPr>
          <w:rFonts w:ascii="Times New Roman" w:hAnsi="Times New Roman"/>
          <w:color w:val="000000"/>
          <w:sz w:val="24"/>
        </w:rPr>
        <w:t>Title: Managing Director</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WebBank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WebBank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James Petersen</w:t>
      </w:r>
    </w:p>
    <w:p>
      <w:pPr>
        <w:pStyle w:val="TextBody"/>
        <w:bidi w:val="0"/>
        <w:jc w:val="left"/>
        <w:rPr>
          <w:rFonts w:ascii="Times New Roman" w:hAnsi="Times New Roman"/>
          <w:color w:val="000000"/>
          <w:sz w:val="24"/>
        </w:rPr>
      </w:pPr>
      <w:r>
        <w:rPr>
          <w:rFonts w:ascii="Times New Roman" w:hAnsi="Times New Roman"/>
          <w:color w:val="000000"/>
          <w:sz w:val="24"/>
        </w:rPr>
        <w:t>Name: James Petersen</w:t>
      </w:r>
    </w:p>
    <w:p>
      <w:pPr>
        <w:pStyle w:val="TextBody"/>
        <w:bidi w:val="0"/>
        <w:jc w:val="left"/>
        <w:rPr>
          <w:rFonts w:ascii="Times New Roman" w:hAnsi="Times New Roman"/>
          <w:color w:val="000000"/>
          <w:sz w:val="24"/>
        </w:rPr>
      </w:pPr>
      <w:r>
        <w:rPr>
          <w:rFonts w:ascii="Times New Roman" w:hAnsi="Times New Roman"/>
          <w:color w:val="000000"/>
          <w:sz w:val="24"/>
        </w:rPr>
        <w:t>Title: Chief Credit Officer</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WebBank Lender Group:</w:t>
      </w:r>
    </w:p>
    <w:p>
      <w:pPr>
        <w:pStyle w:val="TextBody"/>
        <w:bidi w:val="0"/>
        <w:spacing w:before="280" w:after="640"/>
        <w:jc w:val="left"/>
        <w:rPr>
          <w:rFonts w:ascii="Times New Roman" w:hAnsi="Times New Roman"/>
          <w:smallCaps/>
          <w:color w:val="000000"/>
          <w:sz w:val="24"/>
        </w:rPr>
      </w:pPr>
      <w:r>
        <w:rPr>
          <w:rFonts w:ascii="Times New Roman" w:hAnsi="Times New Roman"/>
          <w:smallCaps/>
          <w:color w:val="000000"/>
          <w:sz w:val="24"/>
        </w:rPr>
        <w:t>WebBank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James Petersen</w:t>
      </w:r>
    </w:p>
    <w:p>
      <w:pPr>
        <w:pStyle w:val="TextBody"/>
        <w:bidi w:val="0"/>
        <w:jc w:val="left"/>
        <w:rPr>
          <w:rFonts w:ascii="Times New Roman" w:hAnsi="Times New Roman"/>
          <w:color w:val="000000"/>
          <w:sz w:val="24"/>
        </w:rPr>
      </w:pPr>
      <w:r>
        <w:rPr>
          <w:rFonts w:ascii="Times New Roman" w:hAnsi="Times New Roman"/>
          <w:color w:val="000000"/>
          <w:sz w:val="24"/>
        </w:rPr>
        <w:t>Name: James Petersen</w:t>
      </w:r>
    </w:p>
    <w:p>
      <w:pPr>
        <w:pStyle w:val="TextBody"/>
        <w:bidi w:val="0"/>
        <w:jc w:val="left"/>
        <w:rPr>
          <w:rFonts w:ascii="Times New Roman" w:hAnsi="Times New Roman"/>
          <w:color w:val="000000"/>
          <w:sz w:val="24"/>
        </w:rPr>
      </w:pPr>
      <w:r>
        <w:rPr>
          <w:rFonts w:ascii="Times New Roman" w:hAnsi="Times New Roman"/>
          <w:color w:val="000000"/>
          <w:sz w:val="24"/>
        </w:rPr>
        <w:t>Title: Chief Credit Officer</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Bank of Hope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Bank of Hope</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Manjula Jayasignhe</w:t>
      </w:r>
    </w:p>
    <w:p>
      <w:pPr>
        <w:pStyle w:val="TextBody"/>
        <w:bidi w:val="0"/>
        <w:jc w:val="left"/>
        <w:rPr>
          <w:rFonts w:ascii="Times New Roman" w:hAnsi="Times New Roman"/>
          <w:color w:val="000000"/>
          <w:sz w:val="24"/>
        </w:rPr>
      </w:pPr>
      <w:r>
        <w:rPr>
          <w:rFonts w:ascii="Times New Roman" w:hAnsi="Times New Roman"/>
          <w:color w:val="000000"/>
          <w:sz w:val="24"/>
        </w:rPr>
        <w:t>Name: Manjula Jayasinghe</w:t>
      </w:r>
    </w:p>
    <w:p>
      <w:pPr>
        <w:pStyle w:val="TextBody"/>
        <w:bidi w:val="0"/>
        <w:jc w:val="left"/>
        <w:rPr>
          <w:rFonts w:ascii="Times New Roman" w:hAnsi="Times New Roman"/>
          <w:color w:val="000000"/>
          <w:sz w:val="24"/>
        </w:rPr>
      </w:pPr>
      <w:r>
        <w:rPr>
          <w:rFonts w:ascii="Times New Roman" w:hAnsi="Times New Roman"/>
          <w:color w:val="000000"/>
          <w:sz w:val="24"/>
        </w:rPr>
        <w:t>Title: RM- Financial Institutions Group</w:t>
      </w:r>
    </w:p>
    <w:p>
      <w:pPr>
        <w:pStyle w:val="TextBody"/>
        <w:bidi w:val="0"/>
        <w:spacing w:before="280" w:after="283"/>
        <w:jc w:val="left"/>
        <w:rPr>
          <w:rFonts w:ascii="Times New Roman" w:hAnsi="Times New Roman"/>
          <w:sz w:val="20"/>
        </w:rPr>
      </w:pPr>
      <w:r>
        <w:rPr>
          <w:rFonts w:ascii="Times New Roman" w:hAnsi="Times New Roman"/>
          <w:smallCaps/>
          <w:color w:val="000000"/>
          <w:sz w:val="24"/>
        </w:rPr>
        <w:t>Lender</w:t>
      </w:r>
      <w:r>
        <w:rPr>
          <w:rFonts w:ascii="Times New Roman" w:hAnsi="Times New Roman"/>
          <w:color w:val="000000"/>
          <w:sz w:val="20"/>
        </w:rPr>
        <w:t xml:space="preserve"> </w:t>
      </w:r>
      <w:r>
        <w:rPr>
          <w:rFonts w:ascii="Times New Roman" w:hAnsi="Times New Roman"/>
          <w:smallCaps/>
          <w:color w:val="000000"/>
          <w:sz w:val="24"/>
        </w:rPr>
        <w:t>for the Bank of Hope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Bank of Hope</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Manjula Jayasinghe</w:t>
      </w:r>
    </w:p>
    <w:p>
      <w:pPr>
        <w:pStyle w:val="TextBody"/>
        <w:bidi w:val="0"/>
        <w:jc w:val="left"/>
        <w:rPr>
          <w:rFonts w:ascii="Times New Roman" w:hAnsi="Times New Roman"/>
          <w:color w:val="000000"/>
          <w:sz w:val="24"/>
        </w:rPr>
      </w:pPr>
      <w:r>
        <w:rPr>
          <w:rFonts w:ascii="Times New Roman" w:hAnsi="Times New Roman"/>
          <w:color w:val="000000"/>
          <w:sz w:val="24"/>
        </w:rPr>
        <w:t>Name: Manjula Jayasinghe</w:t>
      </w:r>
    </w:p>
    <w:p>
      <w:pPr>
        <w:pStyle w:val="TextBody"/>
        <w:bidi w:val="0"/>
        <w:jc w:val="left"/>
        <w:rPr>
          <w:rFonts w:ascii="Times New Roman" w:hAnsi="Times New Roman"/>
          <w:color w:val="000000"/>
          <w:sz w:val="24"/>
        </w:rPr>
      </w:pPr>
      <w:r>
        <w:rPr>
          <w:rFonts w:ascii="Times New Roman" w:hAnsi="Times New Roman"/>
          <w:color w:val="000000"/>
          <w:sz w:val="24"/>
        </w:rPr>
        <w:t>Title: RM- Financial Institutions Group</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Managing Agent</w:t>
      </w:r>
      <w:r>
        <w:rPr>
          <w:rFonts w:ascii="Times New Roman" w:hAnsi="Times New Roman"/>
          <w:color w:val="000000"/>
          <w:sz w:val="20"/>
        </w:rPr>
        <w:t xml:space="preserve"> </w:t>
      </w:r>
      <w:r>
        <w:rPr>
          <w:rFonts w:ascii="Times New Roman" w:hAnsi="Times New Roman"/>
          <w:smallCaps/>
          <w:color w:val="000000"/>
          <w:sz w:val="24"/>
        </w:rPr>
        <w:t>for the First Foundation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First Foundation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David T Mitsuuchi</w:t>
      </w:r>
    </w:p>
    <w:p>
      <w:pPr>
        <w:pStyle w:val="TextBody"/>
        <w:bidi w:val="0"/>
        <w:jc w:val="left"/>
        <w:rPr>
          <w:rFonts w:ascii="Times New Roman" w:hAnsi="Times New Roman"/>
          <w:color w:val="000000"/>
          <w:sz w:val="24"/>
        </w:rPr>
      </w:pPr>
      <w:r>
        <w:rPr>
          <w:rFonts w:ascii="Times New Roman" w:hAnsi="Times New Roman"/>
          <w:color w:val="000000"/>
          <w:sz w:val="24"/>
        </w:rPr>
        <w:t>Name: David T Mitsuuchi</w:t>
      </w:r>
    </w:p>
    <w:p>
      <w:pPr>
        <w:pStyle w:val="TextBody"/>
        <w:bidi w:val="0"/>
        <w:jc w:val="left"/>
        <w:rPr>
          <w:rFonts w:ascii="Times New Roman" w:hAnsi="Times New Roman"/>
          <w:color w:val="000000"/>
          <w:sz w:val="24"/>
        </w:rPr>
      </w:pPr>
      <w:r>
        <w:rPr>
          <w:rFonts w:ascii="Times New Roman" w:hAnsi="Times New Roman"/>
          <w:color w:val="000000"/>
          <w:sz w:val="24"/>
        </w:rPr>
        <w:t>Title: EVP Chief Lending Officer</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First Foundation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First Foundation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David T Mitsuuchi</w:t>
      </w:r>
    </w:p>
    <w:p>
      <w:pPr>
        <w:pStyle w:val="TextBody"/>
        <w:bidi w:val="0"/>
        <w:jc w:val="left"/>
        <w:rPr>
          <w:rFonts w:ascii="Times New Roman" w:hAnsi="Times New Roman"/>
          <w:color w:val="000000"/>
          <w:sz w:val="24"/>
        </w:rPr>
      </w:pPr>
      <w:r>
        <w:rPr>
          <w:rFonts w:ascii="Times New Roman" w:hAnsi="Times New Roman"/>
          <w:color w:val="000000"/>
          <w:sz w:val="24"/>
        </w:rPr>
        <w:t>Name: David T Mitsuuchi</w:t>
      </w:r>
    </w:p>
    <w:p>
      <w:pPr>
        <w:pStyle w:val="TextBody"/>
        <w:bidi w:val="0"/>
        <w:jc w:val="left"/>
        <w:rPr>
          <w:rFonts w:ascii="Times New Roman" w:hAnsi="Times New Roman"/>
          <w:color w:val="000000"/>
          <w:sz w:val="24"/>
        </w:rPr>
      </w:pPr>
      <w:r>
        <w:rPr>
          <w:rFonts w:ascii="Times New Roman" w:hAnsi="Times New Roman"/>
          <w:color w:val="000000"/>
          <w:sz w:val="24"/>
        </w:rPr>
        <w:t>Title: EVP Chief Lending Officer</w:t>
      </w:r>
    </w:p>
    <w:p>
      <w:pPr>
        <w:pStyle w:val="TextBody"/>
        <w:bidi w:val="0"/>
        <w:spacing w:before="280" w:after="283"/>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East West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East West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Brian Carbone</w:t>
      </w:r>
    </w:p>
    <w:p>
      <w:pPr>
        <w:pStyle w:val="TextBody"/>
        <w:bidi w:val="0"/>
        <w:jc w:val="left"/>
        <w:rPr>
          <w:rFonts w:ascii="Times New Roman" w:hAnsi="Times New Roman"/>
          <w:color w:val="000000"/>
          <w:sz w:val="24"/>
        </w:rPr>
      </w:pPr>
      <w:r>
        <w:rPr>
          <w:rFonts w:ascii="Times New Roman" w:hAnsi="Times New Roman"/>
          <w:color w:val="000000"/>
          <w:sz w:val="24"/>
        </w:rPr>
        <w:t>Name: Brian Carbone</w:t>
      </w:r>
    </w:p>
    <w:p>
      <w:pPr>
        <w:pStyle w:val="TextBody"/>
        <w:bidi w:val="0"/>
        <w:jc w:val="left"/>
        <w:rPr>
          <w:rFonts w:ascii="Times New Roman" w:hAnsi="Times New Roman"/>
          <w:color w:val="000000"/>
          <w:sz w:val="24"/>
        </w:rPr>
      </w:pPr>
      <w:r>
        <w:rPr>
          <w:rFonts w:ascii="Times New Roman" w:hAnsi="Times New Roman"/>
          <w:color w:val="000000"/>
          <w:sz w:val="24"/>
        </w:rPr>
        <w:t>Title: Managing Director</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East West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East West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Brian Carbone</w:t>
      </w:r>
    </w:p>
    <w:p>
      <w:pPr>
        <w:pStyle w:val="TextBody"/>
        <w:bidi w:val="0"/>
        <w:jc w:val="left"/>
        <w:rPr>
          <w:rFonts w:ascii="Times New Roman" w:hAnsi="Times New Roman"/>
          <w:color w:val="000000"/>
          <w:sz w:val="24"/>
        </w:rPr>
      </w:pPr>
      <w:r>
        <w:rPr>
          <w:rFonts w:ascii="Times New Roman" w:hAnsi="Times New Roman"/>
          <w:color w:val="000000"/>
          <w:sz w:val="24"/>
        </w:rPr>
        <w:t>Name: Brian Carbone</w:t>
      </w:r>
    </w:p>
    <w:p>
      <w:pPr>
        <w:pStyle w:val="TextBody"/>
        <w:bidi w:val="0"/>
        <w:jc w:val="left"/>
        <w:rPr>
          <w:rFonts w:ascii="Times New Roman" w:hAnsi="Times New Roman"/>
          <w:color w:val="000000"/>
          <w:sz w:val="24"/>
        </w:rPr>
      </w:pPr>
      <w:r>
        <w:rPr>
          <w:rFonts w:ascii="Times New Roman" w:hAnsi="Times New Roman"/>
          <w:color w:val="000000"/>
          <w:sz w:val="24"/>
        </w:rPr>
        <w:t>Title: Managing Director</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Zions Bancorporation, N.A.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 xml:space="preserve">Zions Bancorporation, N.A. </w:t>
        <w:br/>
        <w:t>d/b/a California Bank &amp; Trust</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Peter Drees</w:t>
      </w:r>
    </w:p>
    <w:p>
      <w:pPr>
        <w:pStyle w:val="TextBody"/>
        <w:bidi w:val="0"/>
        <w:jc w:val="left"/>
        <w:rPr>
          <w:rFonts w:ascii="Times New Roman" w:hAnsi="Times New Roman"/>
          <w:color w:val="000000"/>
          <w:sz w:val="24"/>
        </w:rPr>
      </w:pPr>
      <w:r>
        <w:rPr>
          <w:rFonts w:ascii="Times New Roman" w:hAnsi="Times New Roman"/>
          <w:color w:val="000000"/>
          <w:sz w:val="24"/>
        </w:rPr>
        <w:t>Name: Peter Drees</w:t>
      </w:r>
    </w:p>
    <w:p>
      <w:pPr>
        <w:pStyle w:val="TextBody"/>
        <w:bidi w:val="0"/>
        <w:jc w:val="left"/>
        <w:rPr>
          <w:rFonts w:ascii="Times New Roman" w:hAnsi="Times New Roman"/>
          <w:color w:val="000000"/>
          <w:sz w:val="24"/>
        </w:rPr>
      </w:pPr>
      <w:r>
        <w:rPr>
          <w:rFonts w:ascii="Times New Roman" w:hAnsi="Times New Roman"/>
          <w:color w:val="000000"/>
          <w:sz w:val="24"/>
        </w:rPr>
        <w:t>Title: Senior Vice President</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Zions Bancorporation, N.A.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 xml:space="preserve">Zions Bancorporation, N.A. </w:t>
        <w:br/>
        <w:t>d/b/a California Bank &amp; Trust</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Peter Drees</w:t>
      </w:r>
    </w:p>
    <w:p>
      <w:pPr>
        <w:pStyle w:val="TextBody"/>
        <w:bidi w:val="0"/>
        <w:jc w:val="left"/>
        <w:rPr>
          <w:rFonts w:ascii="Times New Roman" w:hAnsi="Times New Roman"/>
          <w:color w:val="000000"/>
          <w:sz w:val="24"/>
        </w:rPr>
      </w:pPr>
      <w:r>
        <w:rPr>
          <w:rFonts w:ascii="Times New Roman" w:hAnsi="Times New Roman"/>
          <w:color w:val="000000"/>
          <w:sz w:val="24"/>
        </w:rPr>
        <w:t>Name: Peter Drees</w:t>
      </w:r>
    </w:p>
    <w:p>
      <w:pPr>
        <w:pStyle w:val="TextBody"/>
        <w:bidi w:val="0"/>
        <w:jc w:val="left"/>
        <w:rPr>
          <w:rFonts w:ascii="Times New Roman" w:hAnsi="Times New Roman"/>
          <w:color w:val="000000"/>
          <w:sz w:val="24"/>
        </w:rPr>
      </w:pPr>
      <w:r>
        <w:rPr>
          <w:rFonts w:ascii="Times New Roman" w:hAnsi="Times New Roman"/>
          <w:color w:val="000000"/>
          <w:sz w:val="24"/>
        </w:rPr>
        <w:t>Title: Senior Vice President</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Hancock Whitney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Hancock Whitney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Thomas Pericak</w:t>
      </w:r>
    </w:p>
    <w:p>
      <w:pPr>
        <w:pStyle w:val="TextBody"/>
        <w:bidi w:val="0"/>
        <w:jc w:val="left"/>
        <w:rPr>
          <w:rFonts w:ascii="Times New Roman" w:hAnsi="Times New Roman"/>
          <w:color w:val="000000"/>
          <w:sz w:val="24"/>
        </w:rPr>
      </w:pPr>
      <w:r>
        <w:rPr>
          <w:rFonts w:ascii="Times New Roman" w:hAnsi="Times New Roman"/>
          <w:color w:val="000000"/>
          <w:sz w:val="24"/>
        </w:rPr>
        <w:t>Name: Thomas Pericak</w:t>
      </w:r>
    </w:p>
    <w:p>
      <w:pPr>
        <w:pStyle w:val="TextBody"/>
        <w:bidi w:val="0"/>
        <w:jc w:val="left"/>
        <w:rPr>
          <w:rFonts w:ascii="Times New Roman" w:hAnsi="Times New Roman"/>
          <w:color w:val="000000"/>
          <w:sz w:val="24"/>
        </w:rPr>
      </w:pPr>
      <w:r>
        <w:rPr>
          <w:rFonts w:ascii="Times New Roman" w:hAnsi="Times New Roman"/>
          <w:color w:val="000000"/>
          <w:sz w:val="24"/>
        </w:rPr>
        <w:t>Title: Senior Vice President</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Hancock Whitney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Hancock Whitney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Thomas Pericak</w:t>
      </w:r>
    </w:p>
    <w:p>
      <w:pPr>
        <w:pStyle w:val="TextBody"/>
        <w:bidi w:val="0"/>
        <w:jc w:val="left"/>
        <w:rPr>
          <w:rFonts w:ascii="Times New Roman" w:hAnsi="Times New Roman"/>
          <w:color w:val="000000"/>
          <w:sz w:val="24"/>
        </w:rPr>
      </w:pPr>
      <w:r>
        <w:rPr>
          <w:rFonts w:ascii="Times New Roman" w:hAnsi="Times New Roman"/>
          <w:color w:val="000000"/>
          <w:sz w:val="24"/>
        </w:rPr>
        <w:t>Name: Thomas Pericak</w:t>
      </w:r>
    </w:p>
    <w:p>
      <w:pPr>
        <w:pStyle w:val="TextBody"/>
        <w:bidi w:val="0"/>
        <w:jc w:val="left"/>
        <w:rPr>
          <w:rFonts w:ascii="Times New Roman" w:hAnsi="Times New Roman"/>
          <w:color w:val="000000"/>
          <w:sz w:val="24"/>
        </w:rPr>
      </w:pPr>
      <w:r>
        <w:rPr>
          <w:rFonts w:ascii="Times New Roman" w:hAnsi="Times New Roman"/>
          <w:color w:val="000000"/>
          <w:sz w:val="24"/>
        </w:rPr>
        <w:t>Title: Senior Vice President</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Mitsubishi HC Capital America Lender Group:</w:t>
      </w:r>
    </w:p>
    <w:p>
      <w:pPr>
        <w:pStyle w:val="TextBody"/>
        <w:bidi w:val="0"/>
        <w:spacing w:before="280" w:after="560"/>
        <w:jc w:val="left"/>
        <w:rPr>
          <w:rFonts w:ascii="Times New Roman" w:hAnsi="Times New Roman"/>
          <w:sz w:val="20"/>
        </w:rPr>
      </w:pPr>
      <w:r>
        <w:rPr>
          <w:rFonts w:ascii="Times New Roman" w:hAnsi="Times New Roman"/>
          <w:smallCaps/>
          <w:color w:val="000000"/>
          <w:sz w:val="24"/>
        </w:rPr>
        <w:t>Mitsubishi HC Capital America</w:t>
      </w:r>
      <w:r>
        <w:rPr>
          <w:rFonts w:ascii="Times New Roman" w:hAnsi="Times New Roman"/>
          <w:smallCaps/>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Candace Pavliscak</w:t>
      </w:r>
    </w:p>
    <w:p>
      <w:pPr>
        <w:pStyle w:val="TextBody"/>
        <w:bidi w:val="0"/>
        <w:jc w:val="left"/>
        <w:rPr>
          <w:rFonts w:ascii="Times New Roman" w:hAnsi="Times New Roman"/>
          <w:color w:val="000000"/>
          <w:sz w:val="24"/>
        </w:rPr>
      </w:pPr>
      <w:r>
        <w:rPr>
          <w:rFonts w:ascii="Times New Roman" w:hAnsi="Times New Roman"/>
          <w:color w:val="000000"/>
          <w:sz w:val="24"/>
        </w:rPr>
        <w:t>Name: Candace Pavliscak</w:t>
      </w:r>
    </w:p>
    <w:p>
      <w:pPr>
        <w:pStyle w:val="TextBody"/>
        <w:bidi w:val="0"/>
        <w:jc w:val="left"/>
        <w:rPr>
          <w:rFonts w:ascii="Times New Roman" w:hAnsi="Times New Roman"/>
          <w:color w:val="000000"/>
          <w:sz w:val="24"/>
        </w:rPr>
      </w:pPr>
      <w:r>
        <w:rPr>
          <w:rFonts w:ascii="Times New Roman" w:hAnsi="Times New Roman"/>
          <w:color w:val="000000"/>
          <w:sz w:val="24"/>
        </w:rPr>
        <w:t>Title: Senior Vice President</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Mitsubishi HC Capital America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Mitsubishi HC Capital America</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Candace Pavliscak</w:t>
      </w:r>
    </w:p>
    <w:p>
      <w:pPr>
        <w:pStyle w:val="TextBody"/>
        <w:bidi w:val="0"/>
        <w:jc w:val="left"/>
        <w:rPr>
          <w:rFonts w:ascii="Times New Roman" w:hAnsi="Times New Roman"/>
          <w:color w:val="000000"/>
          <w:sz w:val="24"/>
        </w:rPr>
      </w:pPr>
      <w:r>
        <w:rPr>
          <w:rFonts w:ascii="Times New Roman" w:hAnsi="Times New Roman"/>
          <w:color w:val="000000"/>
          <w:sz w:val="24"/>
        </w:rPr>
        <w:t>Name: Candace Pavliscak</w:t>
      </w:r>
    </w:p>
    <w:p>
      <w:pPr>
        <w:pStyle w:val="TextBody"/>
        <w:bidi w:val="0"/>
        <w:jc w:val="left"/>
        <w:rPr>
          <w:rFonts w:ascii="Times New Roman" w:hAnsi="Times New Roman"/>
          <w:color w:val="000000"/>
          <w:sz w:val="24"/>
        </w:rPr>
      </w:pPr>
      <w:r>
        <w:rPr>
          <w:rFonts w:ascii="Times New Roman" w:hAnsi="Times New Roman"/>
          <w:color w:val="000000"/>
          <w:sz w:val="24"/>
        </w:rPr>
        <w:t>Title: Senior Vice President</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Customers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Customers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S. Scott Gates</w:t>
      </w:r>
    </w:p>
    <w:p>
      <w:pPr>
        <w:pStyle w:val="TextBody"/>
        <w:bidi w:val="0"/>
        <w:jc w:val="left"/>
        <w:rPr>
          <w:rFonts w:ascii="Times New Roman" w:hAnsi="Times New Roman"/>
          <w:color w:val="000000"/>
          <w:sz w:val="24"/>
        </w:rPr>
      </w:pPr>
      <w:r>
        <w:rPr>
          <w:rFonts w:ascii="Times New Roman" w:hAnsi="Times New Roman"/>
          <w:color w:val="000000"/>
          <w:sz w:val="24"/>
        </w:rPr>
        <w:t>Name: S. Scott Gates</w:t>
      </w:r>
    </w:p>
    <w:p>
      <w:pPr>
        <w:pStyle w:val="TextBody"/>
        <w:bidi w:val="0"/>
        <w:jc w:val="left"/>
        <w:rPr>
          <w:rFonts w:ascii="Times New Roman" w:hAnsi="Times New Roman"/>
          <w:color w:val="000000"/>
          <w:sz w:val="24"/>
        </w:rPr>
      </w:pPr>
      <w:r>
        <w:rPr>
          <w:rFonts w:ascii="Times New Roman" w:hAnsi="Times New Roman"/>
          <w:color w:val="000000"/>
          <w:sz w:val="24"/>
        </w:rPr>
        <w:t>Title: Senior Vice President</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Customers Bank Lender Group:</w:t>
      </w:r>
    </w:p>
    <w:p>
      <w:pPr>
        <w:pStyle w:val="TextBody"/>
        <w:bidi w:val="0"/>
        <w:spacing w:before="280" w:after="560"/>
        <w:jc w:val="left"/>
        <w:rPr>
          <w:rFonts w:ascii="Times New Roman" w:hAnsi="Times New Roman"/>
          <w:smallCaps/>
          <w:color w:val="000000"/>
          <w:sz w:val="24"/>
        </w:rPr>
      </w:pPr>
      <w:r>
        <w:rPr>
          <w:rFonts w:ascii="Times New Roman" w:hAnsi="Times New Roman"/>
          <w:smallCaps/>
          <w:color w:val="000000"/>
          <w:sz w:val="24"/>
        </w:rPr>
        <w:t>Customers Bank</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S. Scott Gates</w:t>
      </w:r>
    </w:p>
    <w:p>
      <w:pPr>
        <w:pStyle w:val="TextBody"/>
        <w:bidi w:val="0"/>
        <w:jc w:val="left"/>
        <w:rPr>
          <w:rFonts w:ascii="Times New Roman" w:hAnsi="Times New Roman"/>
          <w:color w:val="000000"/>
          <w:sz w:val="24"/>
        </w:rPr>
      </w:pPr>
      <w:r>
        <w:rPr>
          <w:rFonts w:ascii="Times New Roman" w:hAnsi="Times New Roman"/>
          <w:color w:val="000000"/>
          <w:sz w:val="24"/>
        </w:rPr>
        <w:t>Name: S. Scott Gates</w:t>
      </w:r>
    </w:p>
    <w:p>
      <w:pPr>
        <w:pStyle w:val="TextBody"/>
        <w:bidi w:val="0"/>
        <w:jc w:val="left"/>
        <w:rPr>
          <w:rFonts w:ascii="Times New Roman" w:hAnsi="Times New Roman"/>
          <w:color w:val="000000"/>
          <w:sz w:val="24"/>
        </w:rPr>
      </w:pPr>
      <w:r>
        <w:rPr>
          <w:rFonts w:ascii="Times New Roman" w:hAnsi="Times New Roman"/>
          <w:color w:val="000000"/>
          <w:sz w:val="24"/>
        </w:rPr>
        <w:t>Title: Senior Vice President</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Autobahn Funding Company LLC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Autobahn Funding Company LLC</w:t>
      </w:r>
    </w:p>
    <w:p>
      <w:pPr>
        <w:pStyle w:val="TextBody"/>
        <w:bidi w:val="0"/>
        <w:spacing w:before="280" w:after="560"/>
        <w:jc w:val="left"/>
        <w:rPr>
          <w:rFonts w:ascii="Times New Roman" w:hAnsi="Times New Roman"/>
          <w:sz w:val="20"/>
        </w:rPr>
      </w:pPr>
      <w:r>
        <w:rPr>
          <w:rFonts w:ascii="Times New Roman" w:hAnsi="Times New Roman"/>
          <w:smallCaps/>
          <w:color w:val="000000"/>
          <w:sz w:val="24"/>
        </w:rPr>
        <w:t xml:space="preserve">By: DZ Bank AG Deutsche Zentral-Genossenschaftsbank, Frankfurt Am Main, New York Branch, </w:t>
      </w:r>
      <w:r>
        <w:rPr>
          <w:rFonts w:ascii="Times New Roman" w:hAnsi="Times New Roman"/>
          <w:color w:val="000000"/>
          <w:sz w:val="24"/>
        </w:rPr>
        <w:t>as its attorney-in-fact</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James A. Miers</w:t>
      </w:r>
    </w:p>
    <w:p>
      <w:pPr>
        <w:pStyle w:val="TextBody"/>
        <w:bidi w:val="0"/>
        <w:jc w:val="left"/>
        <w:rPr>
          <w:rFonts w:ascii="Times New Roman" w:hAnsi="Times New Roman"/>
          <w:color w:val="000000"/>
          <w:sz w:val="24"/>
        </w:rPr>
      </w:pPr>
      <w:r>
        <w:rPr>
          <w:rFonts w:ascii="Times New Roman" w:hAnsi="Times New Roman"/>
          <w:color w:val="000000"/>
          <w:sz w:val="24"/>
        </w:rPr>
        <w:t>Name: James A. Miers</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Eva Geng</w:t>
      </w:r>
    </w:p>
    <w:p>
      <w:pPr>
        <w:pStyle w:val="TextBody"/>
        <w:bidi w:val="0"/>
        <w:jc w:val="left"/>
        <w:rPr>
          <w:rFonts w:ascii="Times New Roman" w:hAnsi="Times New Roman"/>
          <w:color w:val="000000"/>
          <w:sz w:val="24"/>
        </w:rPr>
      </w:pPr>
      <w:r>
        <w:rPr>
          <w:rFonts w:ascii="Times New Roman" w:hAnsi="Times New Roman"/>
          <w:color w:val="000000"/>
          <w:sz w:val="24"/>
        </w:rPr>
        <w:t>Name: Eva Geng</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Autobahn Funding Company LLC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Autobahn Funding Company LLC</w:t>
      </w:r>
    </w:p>
    <w:p>
      <w:pPr>
        <w:pStyle w:val="TextBody"/>
        <w:bidi w:val="0"/>
        <w:spacing w:before="280" w:after="283"/>
        <w:jc w:val="left"/>
        <w:rPr>
          <w:rFonts w:ascii="Times New Roman" w:hAnsi="Times New Roman"/>
          <w:sz w:val="20"/>
        </w:rPr>
      </w:pPr>
      <w:r>
        <w:rPr>
          <w:rFonts w:ascii="Times New Roman" w:hAnsi="Times New Roman"/>
          <w:smallCaps/>
          <w:color w:val="000000"/>
          <w:sz w:val="24"/>
        </w:rPr>
        <w:t xml:space="preserve">By: DZ Bank AG Deutsche Zentral-Genossenschaftsbank, Frankfurt Am Main, New York Branch, </w:t>
      </w:r>
      <w:r>
        <w:rPr>
          <w:rFonts w:ascii="Times New Roman" w:hAnsi="Times New Roman"/>
          <w:color w:val="000000"/>
          <w:sz w:val="24"/>
        </w:rPr>
        <w:t>as its attorney-in-fact</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James A. Miers</w:t>
      </w:r>
    </w:p>
    <w:p>
      <w:pPr>
        <w:pStyle w:val="TextBody"/>
        <w:bidi w:val="0"/>
        <w:jc w:val="left"/>
        <w:rPr>
          <w:rFonts w:ascii="Times New Roman" w:hAnsi="Times New Roman"/>
          <w:color w:val="000000"/>
          <w:sz w:val="24"/>
        </w:rPr>
      </w:pPr>
      <w:r>
        <w:rPr>
          <w:rFonts w:ascii="Times New Roman" w:hAnsi="Times New Roman"/>
          <w:color w:val="000000"/>
          <w:sz w:val="24"/>
        </w:rPr>
        <w:t>Name: James A. Miers</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Eva Geng</w:t>
      </w:r>
    </w:p>
    <w:p>
      <w:pPr>
        <w:pStyle w:val="TextBody"/>
        <w:bidi w:val="0"/>
        <w:jc w:val="left"/>
        <w:rPr>
          <w:rFonts w:ascii="Times New Roman" w:hAnsi="Times New Roman"/>
          <w:color w:val="000000"/>
          <w:sz w:val="24"/>
        </w:rPr>
      </w:pPr>
      <w:r>
        <w:rPr>
          <w:rFonts w:ascii="Times New Roman" w:hAnsi="Times New Roman"/>
          <w:color w:val="000000"/>
          <w:sz w:val="24"/>
        </w:rPr>
        <w:t>Name: Eva Geng</w:t>
      </w:r>
    </w:p>
    <w:p>
      <w:pPr>
        <w:pStyle w:val="TextBody"/>
        <w:bidi w:val="0"/>
        <w:spacing w:before="0" w:after="56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smallCaps/>
          <w:color w:val="000000"/>
          <w:sz w:val="24"/>
        </w:rPr>
        <w:t xml:space="preserve">DZ Bank AG Deutsche Zentral-Genossenschaftsbank, Frankfurt Am Main, New York Branch, </w:t>
      </w:r>
      <w:r>
        <w:rPr>
          <w:rFonts w:ascii="Times New Roman" w:hAnsi="Times New Roman"/>
          <w:color w:val="000000"/>
          <w:sz w:val="24"/>
        </w:rPr>
        <w:t>as Liquidity Provider</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James A. Miers</w:t>
      </w:r>
    </w:p>
    <w:p>
      <w:pPr>
        <w:pStyle w:val="TextBody"/>
        <w:bidi w:val="0"/>
        <w:jc w:val="left"/>
        <w:rPr>
          <w:rFonts w:ascii="Times New Roman" w:hAnsi="Times New Roman"/>
          <w:color w:val="000000"/>
          <w:sz w:val="24"/>
        </w:rPr>
      </w:pPr>
      <w:r>
        <w:rPr>
          <w:rFonts w:ascii="Times New Roman" w:hAnsi="Times New Roman"/>
          <w:color w:val="000000"/>
          <w:sz w:val="24"/>
        </w:rPr>
        <w:t>Name: James A. Miers</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Eva Geng</w:t>
      </w:r>
    </w:p>
    <w:p>
      <w:pPr>
        <w:pStyle w:val="TextBody"/>
        <w:bidi w:val="0"/>
        <w:jc w:val="left"/>
        <w:rPr>
          <w:rFonts w:ascii="Times New Roman" w:hAnsi="Times New Roman"/>
          <w:color w:val="000000"/>
          <w:sz w:val="24"/>
        </w:rPr>
      </w:pPr>
      <w:r>
        <w:rPr>
          <w:rFonts w:ascii="Times New Roman" w:hAnsi="Times New Roman"/>
          <w:color w:val="000000"/>
          <w:sz w:val="24"/>
        </w:rPr>
        <w:t>Name: Eva Geng</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Managing Agent for the Valley National Bank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Valley National Bank</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Phillip McCaulay</w:t>
      </w:r>
    </w:p>
    <w:p>
      <w:pPr>
        <w:pStyle w:val="TextBody"/>
        <w:bidi w:val="0"/>
        <w:jc w:val="left"/>
        <w:rPr>
          <w:rFonts w:ascii="Times New Roman" w:hAnsi="Times New Roman"/>
          <w:color w:val="000000"/>
          <w:sz w:val="24"/>
        </w:rPr>
      </w:pPr>
      <w:r>
        <w:rPr>
          <w:rFonts w:ascii="Times New Roman" w:hAnsi="Times New Roman"/>
          <w:color w:val="000000"/>
          <w:sz w:val="24"/>
        </w:rPr>
        <w:t>Name: Phillip McCaulay</w:t>
      </w:r>
    </w:p>
    <w:p>
      <w:pPr>
        <w:pStyle w:val="TextBody"/>
        <w:bidi w:val="0"/>
        <w:jc w:val="left"/>
        <w:rPr>
          <w:rFonts w:ascii="Times New Roman" w:hAnsi="Times New Roman"/>
          <w:color w:val="000000"/>
          <w:sz w:val="24"/>
        </w:rPr>
      </w:pPr>
      <w:r>
        <w:rPr>
          <w:rFonts w:ascii="Times New Roman" w:hAnsi="Times New Roman"/>
          <w:color w:val="000000"/>
          <w:sz w:val="24"/>
        </w:rPr>
        <w:t>Title: Senior Vice President</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Lender for the Valley National Bank Lender Group:</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Valley National Bank</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Phillip McCaulay</w:t>
      </w:r>
    </w:p>
    <w:p>
      <w:pPr>
        <w:pStyle w:val="TextBody"/>
        <w:bidi w:val="0"/>
        <w:jc w:val="left"/>
        <w:rPr>
          <w:rFonts w:ascii="Times New Roman" w:hAnsi="Times New Roman"/>
          <w:color w:val="000000"/>
          <w:sz w:val="24"/>
        </w:rPr>
      </w:pPr>
      <w:r>
        <w:rPr>
          <w:rFonts w:ascii="Times New Roman" w:hAnsi="Times New Roman"/>
          <w:color w:val="000000"/>
          <w:sz w:val="24"/>
        </w:rPr>
        <w:t>Name: Phillip McCaulay</w:t>
      </w:r>
    </w:p>
    <w:p>
      <w:pPr>
        <w:pStyle w:val="TextBody"/>
        <w:bidi w:val="0"/>
        <w:jc w:val="left"/>
        <w:rPr>
          <w:rFonts w:ascii="Times New Roman" w:hAnsi="Times New Roman"/>
          <w:color w:val="000000"/>
          <w:sz w:val="24"/>
        </w:rPr>
      </w:pPr>
      <w:r>
        <w:rPr>
          <w:rFonts w:ascii="Times New Roman" w:hAnsi="Times New Roman"/>
          <w:color w:val="000000"/>
          <w:sz w:val="24"/>
        </w:rPr>
        <w:t>Title: Senior Vice President</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0" w:after="283"/>
        <w:jc w:val="left"/>
        <w:rPr>
          <w:rFonts w:ascii="Times New Roman" w:hAnsi="Times New Roman"/>
          <w:smallCaps/>
          <w:color w:val="000000"/>
          <w:sz w:val="24"/>
        </w:rPr>
      </w:pPr>
      <w:r>
        <w:rPr>
          <w:rFonts w:ascii="Times New Roman" w:hAnsi="Times New Roman"/>
          <w:smallCaps/>
          <w:color w:val="000000"/>
          <w:sz w:val="24"/>
        </w:rPr>
        <w:t>Acknowledged and Agreed:</w:t>
      </w:r>
    </w:p>
    <w:p>
      <w:pPr>
        <w:pStyle w:val="TextBody"/>
        <w:bidi w:val="0"/>
        <w:spacing w:before="400" w:after="283"/>
        <w:jc w:val="left"/>
        <w:rPr>
          <w:rFonts w:ascii="Times New Roman" w:hAnsi="Times New Roman"/>
          <w:smallCaps/>
          <w:color w:val="000000"/>
          <w:sz w:val="24"/>
        </w:rPr>
      </w:pPr>
      <w:r>
        <w:rPr>
          <w:rFonts w:ascii="Times New Roman" w:hAnsi="Times New Roman"/>
          <w:smallCaps/>
          <w:color w:val="000000"/>
          <w:sz w:val="24"/>
        </w:rPr>
        <w:t>Guarantors:</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RWAY Portfolio Corp.</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Thomas B. Raterman</w:t>
      </w:r>
    </w:p>
    <w:p>
      <w:pPr>
        <w:pStyle w:val="TextBody"/>
        <w:bidi w:val="0"/>
        <w:jc w:val="left"/>
        <w:rPr>
          <w:rFonts w:ascii="Times New Roman" w:hAnsi="Times New Roman"/>
          <w:color w:val="000000"/>
          <w:sz w:val="24"/>
        </w:rPr>
      </w:pPr>
      <w:r>
        <w:rPr>
          <w:rFonts w:ascii="Times New Roman" w:hAnsi="Times New Roman"/>
          <w:color w:val="000000"/>
          <w:sz w:val="24"/>
        </w:rPr>
        <w:t>Name: Thomas B. Raterman</w:t>
      </w:r>
    </w:p>
    <w:p>
      <w:pPr>
        <w:pStyle w:val="TextBody"/>
        <w:bidi w:val="0"/>
        <w:jc w:val="left"/>
        <w:rPr>
          <w:rFonts w:ascii="Times New Roman" w:hAnsi="Times New Roman"/>
          <w:color w:val="000000"/>
          <w:sz w:val="24"/>
        </w:rPr>
      </w:pPr>
      <w:r>
        <w:rPr>
          <w:rFonts w:ascii="Times New Roman" w:hAnsi="Times New Roman"/>
          <w:color w:val="000000"/>
          <w:sz w:val="24"/>
        </w:rPr>
        <w:t>Title: President</w:t>
      </w:r>
    </w:p>
    <w:p>
      <w:pPr>
        <w:pStyle w:val="TextBody"/>
        <w:bidi w:val="0"/>
        <w:jc w:val="left"/>
        <w:rPr/>
      </w:pPr>
      <w:r>
        <w:rPr/>
        <w:t> </w:t>
      </w:r>
    </w:p>
    <w:p>
      <w:pPr>
        <w:pStyle w:val="TextBody"/>
        <w:bidi w:val="0"/>
        <w:spacing w:before="280" w:after="283"/>
        <w:jc w:val="left"/>
        <w:rPr>
          <w:rFonts w:ascii="Times New Roman" w:hAnsi="Times New Roman"/>
          <w:smallCaps/>
          <w:color w:val="000000"/>
          <w:sz w:val="24"/>
        </w:rPr>
      </w:pPr>
      <w:r>
        <w:rPr>
          <w:rFonts w:ascii="Times New Roman" w:hAnsi="Times New Roman"/>
          <w:smallCaps/>
          <w:color w:val="000000"/>
          <w:sz w:val="24"/>
        </w:rPr>
        <w:t>RWAY Portfolio Holding Corp.</w:t>
      </w:r>
    </w:p>
    <w:p>
      <w:pPr>
        <w:pStyle w:val="TextBody"/>
        <w:bidi w:val="0"/>
        <w:spacing w:before="64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Thomas B. Raterman</w:t>
      </w:r>
    </w:p>
    <w:p>
      <w:pPr>
        <w:pStyle w:val="TextBody"/>
        <w:bidi w:val="0"/>
        <w:jc w:val="left"/>
        <w:rPr>
          <w:rFonts w:ascii="Times New Roman" w:hAnsi="Times New Roman"/>
          <w:color w:val="000000"/>
          <w:sz w:val="24"/>
        </w:rPr>
      </w:pPr>
      <w:r>
        <w:rPr>
          <w:rFonts w:ascii="Times New Roman" w:hAnsi="Times New Roman"/>
          <w:color w:val="000000"/>
          <w:sz w:val="24"/>
        </w:rPr>
        <w:t>Name: Thomas B. Raterman</w:t>
      </w:r>
    </w:p>
    <w:p>
      <w:pPr>
        <w:pStyle w:val="TextBody"/>
        <w:bidi w:val="0"/>
        <w:jc w:val="left"/>
        <w:rPr>
          <w:rFonts w:ascii="Times New Roman" w:hAnsi="Times New Roman"/>
          <w:color w:val="000000"/>
          <w:sz w:val="24"/>
        </w:rPr>
      </w:pPr>
      <w:r>
        <w:rPr>
          <w:rFonts w:ascii="Times New Roman" w:hAnsi="Times New Roman"/>
          <w:color w:val="000000"/>
          <w:sz w:val="24"/>
        </w:rPr>
        <w:t>Title: President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[Signature Page to Seventh Amendment to Amended and Restated Credit Agreement and Waiver]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Schedule I</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Subject Loans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1"/>
        <w:gridCol w:w="2373"/>
        <w:gridCol w:w="1719"/>
        <w:gridCol w:w="1689"/>
        <w:gridCol w:w="2253"/>
      </w:tblGrid>
      <w:tr>
        <w:trPr/>
        <w:tc>
          <w:tcPr>
            <w:tcW w:w="2171"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mallCaps/>
                <w:color w:val="000000"/>
                <w:sz w:val="22"/>
                <w:u w:val="single"/>
              </w:rPr>
            </w:pPr>
            <w:r>
              <w:rPr>
                <w:rFonts w:ascii="Times New Roman" w:hAnsi="Times New Roman"/>
                <w:smallCaps/>
                <w:color w:val="000000"/>
                <w:sz w:val="22"/>
                <w:u w:val="single"/>
              </w:rPr>
              <w:t>Subject Obligor</w:t>
            </w:r>
          </w:p>
        </w:tc>
        <w:tc>
          <w:tcPr>
            <w:tcW w:w="237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2"/>
              </w:rPr>
            </w:pPr>
            <w:r>
              <w:rPr>
                <w:rFonts w:ascii="Times New Roman" w:hAnsi="Times New Roman"/>
                <w:smallCaps/>
                <w:color w:val="000000"/>
                <w:sz w:val="22"/>
              </w:rPr>
              <w:t>Outstanding Loan Balance</w:t>
            </w:r>
            <w:r>
              <w:rPr>
                <w:rFonts w:ascii="Times New Roman" w:hAnsi="Times New Roman"/>
                <w:smallCaps/>
                <w:color w:val="000000"/>
                <w:sz w:val="22"/>
                <w:u w:val="single"/>
              </w:rPr>
              <w:t> as of 9/30/25</w:t>
            </w:r>
          </w:p>
        </w:tc>
        <w:tc>
          <w:tcPr>
            <w:tcW w:w="171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2"/>
              </w:rPr>
            </w:pPr>
            <w:r>
              <w:rPr>
                <w:rFonts w:ascii="Times New Roman" w:hAnsi="Times New Roman"/>
                <w:smallCaps/>
                <w:color w:val="000000"/>
                <w:sz w:val="22"/>
              </w:rPr>
              <w:t>Risk Category as of</w:t>
            </w:r>
            <w:r>
              <w:rPr>
                <w:rFonts w:ascii="Times New Roman" w:hAnsi="Times New Roman"/>
                <w:smallCaps/>
                <w:color w:val="000000"/>
                <w:sz w:val="22"/>
                <w:u w:val="single"/>
              </w:rPr>
              <w:t> 9/30/25</w:t>
            </w:r>
          </w:p>
        </w:tc>
        <w:tc>
          <w:tcPr>
            <w:tcW w:w="1689"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2"/>
              </w:rPr>
            </w:pPr>
            <w:r>
              <w:rPr>
                <w:rFonts w:ascii="Times New Roman" w:hAnsi="Times New Roman"/>
                <w:smallCaps/>
                <w:color w:val="000000"/>
                <w:sz w:val="22"/>
              </w:rPr>
              <w:t>Original Term To Maturity</w:t>
              <w:br/>
            </w:r>
            <w:r>
              <w:rPr>
                <w:rFonts w:ascii="Times New Roman" w:hAnsi="Times New Roman"/>
                <w:smallCaps/>
                <w:color w:val="000000"/>
                <w:sz w:val="22"/>
                <w:u w:val="single"/>
              </w:rPr>
              <w:t>(in months)</w:t>
            </w:r>
          </w:p>
        </w:tc>
        <w:tc>
          <w:tcPr>
            <w:tcW w:w="225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sz w:val="22"/>
              </w:rPr>
            </w:pPr>
            <w:r>
              <w:rPr>
                <w:rFonts w:ascii="Times New Roman" w:hAnsi="Times New Roman"/>
                <w:smallCaps/>
                <w:color w:val="000000"/>
                <w:sz w:val="22"/>
              </w:rPr>
              <w:t>Runway Maturity (in months) as of</w:t>
            </w:r>
            <w:r>
              <w:rPr>
                <w:rFonts w:ascii="Times New Roman" w:hAnsi="Times New Roman"/>
                <w:smallCaps/>
                <w:color w:val="000000"/>
                <w:sz w:val="22"/>
                <w:u w:val="single"/>
              </w:rPr>
              <w:t> 9/30/25</w:t>
            </w:r>
          </w:p>
        </w:tc>
      </w:tr>
      <w:tr>
        <w:trPr/>
        <w:tc>
          <w:tcPr>
            <w:tcW w:w="2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4WEB, Inc.</w:t>
            </w:r>
          </w:p>
        </w:tc>
        <w:tc>
          <w:tcPr>
            <w:tcW w:w="23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$19,485,607</w:t>
            </w:r>
          </w:p>
        </w:tc>
        <w:tc>
          <w:tcPr>
            <w:tcW w:w="1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w:t>
            </w:r>
          </w:p>
        </w:tc>
        <w:tc>
          <w:tcPr>
            <w:tcW w:w="16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90</w:t>
            </w:r>
          </w:p>
        </w:tc>
        <w:tc>
          <w:tcPr>
            <w:tcW w:w="22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w:t>
            </w:r>
          </w:p>
        </w:tc>
      </w:tr>
      <w:tr>
        <w:trPr/>
        <w:tc>
          <w:tcPr>
            <w:tcW w:w="2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Advanced Oxygen Therapy, Inc.</w:t>
            </w:r>
          </w:p>
        </w:tc>
        <w:tc>
          <w:tcPr>
            <w:tcW w:w="23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$19,477,512</w:t>
            </w:r>
          </w:p>
        </w:tc>
        <w:tc>
          <w:tcPr>
            <w:tcW w:w="1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w:t>
            </w:r>
          </w:p>
        </w:tc>
        <w:tc>
          <w:tcPr>
            <w:tcW w:w="16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82</w:t>
            </w:r>
          </w:p>
        </w:tc>
        <w:tc>
          <w:tcPr>
            <w:tcW w:w="22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40</w:t>
            </w:r>
          </w:p>
        </w:tc>
      </w:tr>
      <w:tr>
        <w:trPr/>
        <w:tc>
          <w:tcPr>
            <w:tcW w:w="2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Eton Pharmaceuticals, Inc.</w:t>
            </w:r>
          </w:p>
        </w:tc>
        <w:tc>
          <w:tcPr>
            <w:tcW w:w="23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$30,000,000</w:t>
            </w:r>
          </w:p>
        </w:tc>
        <w:tc>
          <w:tcPr>
            <w:tcW w:w="1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c>
          <w:tcPr>
            <w:tcW w:w="16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97</w:t>
            </w:r>
          </w:p>
        </w:tc>
        <w:tc>
          <w:tcPr>
            <w:tcW w:w="22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26</w:t>
            </w:r>
          </w:p>
        </w:tc>
      </w:tr>
      <w:tr>
        <w:trPr/>
        <w:tc>
          <w:tcPr>
            <w:tcW w:w="2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MedMinder Systems, Inc.</w:t>
            </w:r>
          </w:p>
        </w:tc>
        <w:tc>
          <w:tcPr>
            <w:tcW w:w="23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$22,500,000</w:t>
            </w:r>
          </w:p>
        </w:tc>
        <w:tc>
          <w:tcPr>
            <w:tcW w:w="1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w:t>
            </w:r>
          </w:p>
        </w:tc>
        <w:tc>
          <w:tcPr>
            <w:tcW w:w="16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72</w:t>
            </w:r>
          </w:p>
        </w:tc>
        <w:tc>
          <w:tcPr>
            <w:tcW w:w="22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34</w:t>
            </w:r>
          </w:p>
        </w:tc>
      </w:tr>
      <w:tr>
        <w:trPr/>
        <w:tc>
          <w:tcPr>
            <w:tcW w:w="2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SKNV, LLC</w:t>
            </w:r>
          </w:p>
        </w:tc>
        <w:tc>
          <w:tcPr>
            <w:tcW w:w="23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$15,997,497</w:t>
            </w:r>
          </w:p>
        </w:tc>
        <w:tc>
          <w:tcPr>
            <w:tcW w:w="171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w:t>
            </w:r>
          </w:p>
        </w:tc>
        <w:tc>
          <w:tcPr>
            <w:tcW w:w="16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73</w:t>
            </w:r>
          </w:p>
        </w:tc>
        <w:tc>
          <w:tcPr>
            <w:tcW w:w="22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19</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S - 1</w:t>
      </w:r>
      <w:r>
        <w:rPr>
          <w:rFonts w:ascii="Times New Roman" w:hAnsi="Times New Roman"/>
          <w:color w:val="000000"/>
          <w:sz w:val="20"/>
        </w:rPr>
        <w:t xml:space="preserve"> </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Schedule II</w:t>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Commitments</w:t>
      </w:r>
    </w:p>
    <w:p>
      <w:pPr>
        <w:pStyle w:val="TextBody"/>
        <w:bidi w:val="0"/>
        <w:jc w:val="center"/>
        <w:rPr/>
      </w:pPr>
      <w:r>
        <w:rPr/>
        <w:t> </w:t>
      </w:r>
    </w:p>
    <w:tbl>
      <w:tblPr>
        <w:tblW w:w="6783" w:type="dxa"/>
        <w:jc w:val="left"/>
        <w:tblInd w:w="0" w:type="dxa"/>
        <w:tblLayout w:type="fixed"/>
        <w:tblCellMar>
          <w:top w:w="28" w:type="dxa"/>
          <w:left w:w="28" w:type="dxa"/>
          <w:bottom w:w="28" w:type="dxa"/>
          <w:right w:w="28" w:type="dxa"/>
        </w:tblCellMar>
      </w:tblPr>
      <w:tblGrid>
        <w:gridCol w:w="3601"/>
        <w:gridCol w:w="1441"/>
        <w:gridCol w:w="1741"/>
      </w:tblGrid>
      <w:tr>
        <w:trPr/>
        <w:tc>
          <w:tcPr>
            <w:tcW w:w="360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shd w:fill="BFBFBF" w:val="clear"/>
            <w:tcMar>
              <w:left w:w="108" w:type="dxa"/>
              <w:right w:w="108" w:type="dxa"/>
            </w:tcMar>
            <w:vAlign w:val="center"/>
          </w:tcPr>
          <w:p>
            <w:pPr>
              <w:pStyle w:val="TableContents"/>
              <w:bidi w:val="0"/>
              <w:spacing w:before="2" w:after="2"/>
              <w:jc w:val="left"/>
              <w:rPr>
                <w:rFonts w:ascii="Times New Roman" w:hAnsi="Times New Roman"/>
                <w:b/>
                <w:color w:val="000000"/>
                <w:sz w:val="24"/>
              </w:rPr>
            </w:pPr>
            <w:r>
              <w:rPr>
                <w:rFonts w:ascii="Times New Roman" w:hAnsi="Times New Roman"/>
                <w:b/>
                <w:color w:val="000000"/>
                <w:sz w:val="24"/>
              </w:rPr>
              <w:t>Lender</w:t>
            </w:r>
          </w:p>
        </w:tc>
        <w:tc>
          <w:tcPr>
            <w:tcW w:w="144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2" w:after="2"/>
              <w:jc w:val="right"/>
              <w:rPr>
                <w:rFonts w:ascii="Times New Roman" w:hAnsi="Times New Roman"/>
                <w:b/>
                <w:color w:val="000000"/>
                <w:sz w:val="24"/>
              </w:rPr>
            </w:pPr>
            <w:r>
              <w:rPr>
                <w:rFonts w:ascii="Times New Roman" w:hAnsi="Times New Roman"/>
                <w:b/>
                <w:color w:val="000000"/>
                <w:sz w:val="24"/>
              </w:rPr>
              <w:t>Commitment</w:t>
            </w:r>
          </w:p>
        </w:tc>
        <w:tc>
          <w:tcPr>
            <w:tcW w:w="1741" w:type="dxa"/>
            <w:tcBorders>
              <w:top w:val="single" w:sz="4" w:space="0" w:color="000000"/>
              <w:bottom w:val="single" w:sz="4" w:space="0" w:color="000000"/>
              <w:right w:val="single" w:sz="4" w:space="0" w:color="000000"/>
            </w:tcBorders>
            <w:shd w:fill="BFBFBF" w:val="clear"/>
            <w:tcMar>
              <w:left w:w="0" w:type="dxa"/>
              <w:right w:w="108" w:type="dxa"/>
            </w:tcMar>
            <w:vAlign w:val="center"/>
          </w:tcPr>
          <w:p>
            <w:pPr>
              <w:pStyle w:val="TableContents"/>
              <w:bidi w:val="0"/>
              <w:spacing w:before="2" w:after="2"/>
              <w:jc w:val="right"/>
              <w:rPr>
                <w:rFonts w:ascii="Times New Roman" w:hAnsi="Times New Roman"/>
                <w:b/>
                <w:color w:val="000000"/>
                <w:sz w:val="24"/>
              </w:rPr>
            </w:pPr>
            <w:r>
              <w:rPr>
                <w:rFonts w:ascii="Times New Roman" w:hAnsi="Times New Roman"/>
                <w:b/>
                <w:color w:val="000000"/>
                <w:sz w:val="24"/>
              </w:rPr>
              <w:t>Pro Rata Share</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KeyBank N.A.</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$90,000,000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16.3636%</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CIBC Bank USA</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75,000,000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13.6364%</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Autobahn Funding Company LLC</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65,000,000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11.8182%</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MUFG Bank</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50,000,000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9.0909%</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Everbank</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50,000,000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9.0909%</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WebBank</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40,000,000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7.2727%</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Customers Bank</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35,000,000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6.3636%</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East West Bank</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30,000,000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5.4545%</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Bank of Hope</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25,000,000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4.5455%</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California Bank &amp; Trust</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25,000,000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4.5455%</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Hancock Whitney Bank</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25,000,000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4.5455%</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Mitsubishi HC Capital America, Inc.</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20,000,000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3.6364%</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color w:val="000000"/>
                <w:sz w:val="24"/>
              </w:rPr>
            </w:pPr>
            <w:r>
              <w:rPr>
                <w:rFonts w:ascii="Times New Roman" w:hAnsi="Times New Roman"/>
                <w:color w:val="000000"/>
                <w:sz w:val="24"/>
              </w:rPr>
              <w:t>Valley National Bank</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20,000,000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color w:val="000000"/>
                <w:sz w:val="24"/>
              </w:rPr>
            </w:pPr>
            <w:r>
              <w:rPr>
                <w:rFonts w:ascii="Times New Roman" w:hAnsi="Times New Roman"/>
                <w:color w:val="000000"/>
                <w:sz w:val="24"/>
              </w:rPr>
              <w:t>3.6364%</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pPr>
            <w:r>
              <w:rPr/>
              <w:t> </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pPr>
            <w:r>
              <w:rPr/>
              <w:t> </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pPr>
            <w:r>
              <w:rPr/>
              <w:t> </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2" w:after="2"/>
              <w:jc w:val="left"/>
              <w:rPr>
                <w:rFonts w:ascii="Times New Roman" w:hAnsi="Times New Roman"/>
                <w:b/>
                <w:color w:val="000000"/>
                <w:sz w:val="24"/>
              </w:rPr>
            </w:pPr>
            <w:r>
              <w:rPr>
                <w:rFonts w:ascii="Times New Roman" w:hAnsi="Times New Roman"/>
                <w:b/>
                <w:color w:val="000000"/>
                <w:sz w:val="24"/>
              </w:rPr>
              <w:t>Aggregate</w:t>
            </w:r>
          </w:p>
        </w:tc>
        <w:tc>
          <w:tcPr>
            <w:tcW w:w="14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b/>
                <w:color w:val="000000"/>
                <w:sz w:val="24"/>
              </w:rPr>
            </w:pPr>
            <w:r>
              <w:rPr>
                <w:rFonts w:ascii="Times New Roman" w:hAnsi="Times New Roman"/>
                <w:b/>
                <w:color w:val="000000"/>
                <w:sz w:val="24"/>
              </w:rPr>
              <w:t>$550,000,000</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2" w:after="2"/>
              <w:jc w:val="right"/>
              <w:rPr>
                <w:rFonts w:ascii="Times New Roman" w:hAnsi="Times New Roman"/>
                <w:b/>
                <w:color w:val="000000"/>
                <w:sz w:val="24"/>
              </w:rPr>
            </w:pPr>
            <w:r>
              <w:rPr>
                <w:rFonts w:ascii="Times New Roman" w:hAnsi="Times New Roman"/>
                <w:b/>
                <w:color w:val="000000"/>
                <w:sz w:val="24"/>
              </w:rPr>
              <w:t>100.0%</w:t>
            </w:r>
          </w:p>
        </w:tc>
      </w:tr>
    </w:tbl>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 - 2 -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0" w:name="rway-ex23_1.htm"/>
      <w:bookmarkStart w:id="41" w:name="ksrwayex23_1"/>
      <w:bookmarkEnd w:id="40"/>
      <w:bookmarkEnd w:id="41"/>
      <w:r>
        <w:rPr>
          <w:rFonts w:ascii="Arial" w:hAnsi="Arial"/>
          <w:b/>
          <w:color w:val="000000"/>
          <w:sz w:val="20"/>
        </w:rPr>
        <w:t>Exhibit 23.1</w:t>
      </w:r>
      <w:r>
        <w:br w:type="page"/>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jc w:val="left"/>
        <w:rPr>
          <w:rFonts w:ascii="Times New Roman" w:hAnsi="Times New Roman"/>
          <w:sz w:val="20"/>
        </w:rPr>
      </w:pPr>
      <w:r>
        <w:rPr>
          <w:rFonts w:ascii="Arial" w:hAnsi="Arial"/>
          <w:color w:val="000000"/>
          <w:sz w:val="20"/>
        </w:rPr>
        <w:t>We consent to the incorporation by reference in the Registration Statement (No. 333-284781) on Form N-2 of Runway Growth Finance Corp. of our report dated March 7, 2024, relating to the consolidated financial statements, including the senior securities table, of Runway Growth Finance Corp., appearing in the Annual Report on Form 10-K of Runway Growth Finance Corp. for the year ended December 31, 2025.</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RSM US LLP</w:t>
      </w:r>
    </w:p>
    <w:p>
      <w:pPr>
        <w:pStyle w:val="TextBody"/>
        <w:bidi w:val="0"/>
        <w:jc w:val="left"/>
        <w:rPr>
          <w:rFonts w:ascii="Arial" w:hAnsi="Arial"/>
          <w:color w:val="000000"/>
          <w:sz w:val="20"/>
        </w:rPr>
      </w:pPr>
      <w:r>
        <w:rPr>
          <w:rFonts w:ascii="Arial" w:hAnsi="Arial"/>
          <w:color w:val="000000"/>
          <w:sz w:val="20"/>
        </w:rPr>
        <w:t>Chicago, Illinois</w:t>
      </w:r>
    </w:p>
    <w:p>
      <w:pPr>
        <w:pStyle w:val="TextBody"/>
        <w:bidi w:val="0"/>
        <w:jc w:val="left"/>
        <w:rPr>
          <w:rFonts w:ascii="Arial" w:hAnsi="Arial"/>
          <w:color w:val="000000"/>
          <w:sz w:val="20"/>
        </w:rPr>
      </w:pPr>
      <w:r>
        <w:rPr>
          <w:rFonts w:ascii="Arial" w:hAnsi="Arial"/>
          <w:color w:val="000000"/>
          <w:sz w:val="20"/>
        </w:rPr>
        <w:t>March 12, 2026</w:t>
      </w:r>
    </w:p>
    <w:p>
      <w:pPr>
        <w:pStyle w:val="TextBody"/>
        <w:bidi w:val="0"/>
        <w:spacing w:before="0" w:after="195"/>
        <w:jc w:val="left"/>
        <w:rPr/>
      </w:pPr>
      <w:bookmarkStart w:id="42" w:name="concept411"/>
      <w:bookmarkStart w:id="43" w:name="concept412"/>
      <w:bookmarkEnd w:id="42"/>
      <w:bookmarkEnd w:id="43"/>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Verdana;sans-serif" w:hAnsi="Verdana;sans-serif"/>
          <w:b/>
          <w:color w:val="000000"/>
          <w:sz w:val="20"/>
        </w:rPr>
      </w:pPr>
      <w:bookmarkStart w:id="44" w:name="rway-ex23_2.htm"/>
      <w:bookmarkStart w:id="45" w:name="ksrwayex23_2"/>
      <w:bookmarkEnd w:id="44"/>
      <w:bookmarkEnd w:id="45"/>
      <w:r>
        <w:rPr>
          <w:rFonts w:ascii="Verdana;sans-serif" w:hAnsi="Verdana;sans-serif"/>
          <w:b/>
          <w:color w:val="000000"/>
          <w:sz w:val="20"/>
        </w:rPr>
        <w:t>Exhibit 23.2</w:t>
      </w:r>
      <w:r>
        <w:br w:type="page"/>
      </w:r>
    </w:p>
    <w:p>
      <w:pPr>
        <w:pStyle w:val="TextBody"/>
        <w:bidi w:val="0"/>
        <w:spacing w:before="0" w:after="160"/>
        <w:jc w:val="center"/>
        <w:rPr/>
      </w:pPr>
      <w:r>
        <w:rPr/>
        <w:t> </w:t>
      </w:r>
    </w:p>
    <w:p>
      <w:pPr>
        <w:pStyle w:val="TextBody"/>
        <w:bidi w:val="0"/>
        <w:spacing w:before="0" w:after="160"/>
        <w:jc w:val="center"/>
        <w:rPr>
          <w:rFonts w:ascii="Verdana;sans-serif" w:hAnsi="Verdana;sans-serif"/>
          <w:b/>
          <w:color w:val="000000"/>
          <w:sz w:val="22"/>
        </w:rPr>
      </w:pPr>
      <w:r>
        <w:rPr>
          <w:rFonts w:ascii="Verdana;sans-serif" w:hAnsi="Verdana;sans-serif"/>
          <w:b/>
          <w:color w:val="000000"/>
          <w:sz w:val="22"/>
        </w:rPr>
        <w:t>CONSENT OF INDEPENDENT REGISTERED PUBLIC ACCOUNTING FIRM</w:t>
      </w:r>
    </w:p>
    <w:p>
      <w:pPr>
        <w:pStyle w:val="TextBody"/>
        <w:bidi w:val="0"/>
        <w:spacing w:before="0" w:after="160"/>
        <w:jc w:val="left"/>
        <w:rPr/>
      </w:pPr>
      <w:r>
        <w:rPr/>
        <w:t> </w:t>
      </w:r>
    </w:p>
    <w:p>
      <w:pPr>
        <w:pStyle w:val="TextBody"/>
        <w:bidi w:val="0"/>
        <w:spacing w:before="0" w:after="160"/>
        <w:jc w:val="both"/>
        <w:rPr>
          <w:rFonts w:ascii="Verdana;sans-serif" w:hAnsi="Verdana;sans-serif"/>
          <w:color w:val="000000"/>
          <w:sz w:val="20"/>
        </w:rPr>
      </w:pPr>
      <w:r>
        <w:rPr>
          <w:rFonts w:ascii="Verdana;sans-serif" w:hAnsi="Verdana;sans-serif"/>
          <w:color w:val="000000"/>
          <w:sz w:val="20"/>
        </w:rPr>
        <w:t>We consent to the incorporation by reference in Registration Statement No. 333-284781 on Form N-2 of our report dated March 12, 2026, relating to the consolidated financial statements of Runway Growth Finance Corp. appearing in this Annual Report on Form 10-K of the Company for the year ended December 31, 2025.</w:t>
      </w:r>
    </w:p>
    <w:p>
      <w:pPr>
        <w:pStyle w:val="TextBody"/>
        <w:bidi w:val="0"/>
        <w:spacing w:before="0" w:after="160"/>
        <w:jc w:val="left"/>
        <w:rPr>
          <w:rFonts w:ascii="Verdana;sans-serif" w:hAnsi="Verdana;sans-serif"/>
          <w:color w:val="000000"/>
          <w:sz w:val="20"/>
        </w:rPr>
      </w:pPr>
      <w:r>
        <w:rPr>
          <w:rFonts w:ascii="Verdana;sans-serif" w:hAnsi="Verdana;sans-serif"/>
          <w:color w:val="000000"/>
          <w:sz w:val="20"/>
        </w:rPr>
        <w:t>/s/ Deloitte &amp; Touche LLP</w:t>
      </w:r>
    </w:p>
    <w:p>
      <w:pPr>
        <w:pStyle w:val="TextBody"/>
        <w:bidi w:val="0"/>
        <w:spacing w:before="0" w:after="160"/>
        <w:jc w:val="left"/>
        <w:rPr>
          <w:rFonts w:ascii="Verdana;sans-serif" w:hAnsi="Verdana;sans-serif"/>
          <w:color w:val="000000"/>
          <w:sz w:val="20"/>
        </w:rPr>
      </w:pPr>
      <w:r>
        <w:rPr>
          <w:rFonts w:ascii="Verdana;sans-serif" w:hAnsi="Verdana;sans-serif"/>
          <w:color w:val="000000"/>
          <w:sz w:val="20"/>
        </w:rPr>
        <w:t>New York, New York</w:t>
      </w:r>
    </w:p>
    <w:p>
      <w:pPr>
        <w:pStyle w:val="TextBody"/>
        <w:bidi w:val="0"/>
        <w:spacing w:before="0" w:after="160"/>
        <w:jc w:val="left"/>
        <w:rPr>
          <w:rFonts w:ascii="Verdana;sans-serif" w:hAnsi="Verdana;sans-serif"/>
          <w:color w:val="000000"/>
          <w:sz w:val="20"/>
        </w:rPr>
      </w:pPr>
      <w:r>
        <w:rPr>
          <w:rFonts w:ascii="Verdana;sans-serif" w:hAnsi="Verdana;sans-serif"/>
          <w:color w:val="000000"/>
          <w:sz w:val="20"/>
        </w:rPr>
        <w:t>March 12,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46" w:name="rway-ex31_1.htm"/>
      <w:bookmarkStart w:id="47" w:name="ksrwayex31_1"/>
      <w:bookmarkEnd w:id="46"/>
      <w:bookmarkEnd w:id="47"/>
      <w:r>
        <w:rPr>
          <w:rFonts w:ascii="Times New Roman" w:hAnsi="Times New Roman"/>
          <w:b/>
          <w:color w:val="231F20"/>
          <w:sz w:val="16"/>
        </w:rPr>
        <w:t>Exhibit 31.1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231F20"/>
          <w:sz w:val="16"/>
        </w:rPr>
        <w:t>Certification of Chief Executive Officer</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Times New Roman" w:hAnsi="Times New Roman"/>
          <w:b/>
          <w:caps/>
          <w:color w:val="231F20"/>
          <w:sz w:val="16"/>
        </w:rPr>
        <w:t>pursuant to Rule 13a-14 under the Exchange Act of 1934, as adopted</w:t>
      </w:r>
      <w:r>
        <w:rPr>
          <w:rFonts w:ascii="Times New Roman" w:hAnsi="Times New Roman"/>
          <w:caps/>
          <w:color w:val="231F20"/>
          <w:sz w:val="20"/>
        </w:rPr>
        <w:t xml:space="preserve"> </w:t>
      </w:r>
    </w:p>
    <w:p>
      <w:pPr>
        <w:pStyle w:val="TextBody"/>
        <w:bidi w:val="0"/>
        <w:jc w:val="center"/>
        <w:rPr>
          <w:rFonts w:ascii="Times New Roman" w:hAnsi="Times New Roman"/>
          <w:b/>
          <w:caps/>
          <w:color w:val="231F20"/>
          <w:sz w:val="16"/>
        </w:rPr>
      </w:pPr>
      <w:r>
        <w:rPr>
          <w:rFonts w:ascii="Times New Roman" w:hAnsi="Times New Roman"/>
          <w:b/>
          <w:caps/>
          <w:color w:val="231F20"/>
          <w:sz w:val="16"/>
        </w:rPr>
        <w:t>pursuant to Section 302 of the Sarbanes-Oxley Act of 2002</w:t>
      </w:r>
    </w:p>
    <w:p>
      <w:pPr>
        <w:pStyle w:val="TextBody"/>
        <w:bidi w:val="0"/>
        <w:jc w:val="left"/>
        <w:rPr/>
      </w:pPr>
      <w:r>
        <w:rPr/>
        <w:t> </w:t>
      </w:r>
    </w:p>
    <w:p>
      <w:pPr>
        <w:pStyle w:val="TextBody"/>
        <w:bidi w:val="0"/>
        <w:spacing w:before="0" w:after="200"/>
        <w:jc w:val="left"/>
        <w:rPr>
          <w:rFonts w:ascii="Times New Roman" w:hAnsi="Times New Roman"/>
          <w:color w:val="231F20"/>
          <w:sz w:val="16"/>
        </w:rPr>
      </w:pPr>
      <w:r>
        <w:rPr>
          <w:rFonts w:ascii="Times New Roman" w:hAnsi="Times New Roman"/>
          <w:color w:val="231F20"/>
          <w:sz w:val="16"/>
        </w:rPr>
        <w:t>I, R. David Spreng, as Chief Executive Officer, certify that: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1. I have reviewed this annual report on Form 10-K of Runway Growth Finance Corp.;</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4. 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rFonts w:ascii="Times New Roman" w:hAnsi="Times New Roman"/>
          <w:color w:val="231F20"/>
          <w:sz w:val="16"/>
        </w:rPr>
      </w:pPr>
      <w:r>
        <w:rPr>
          <w:rFonts w:ascii="Times New Roman" w:hAnsi="Times New Roman"/>
          <w:color w:val="231F20"/>
          <w:sz w:val="16"/>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 March 12, 2026</w:t>
      </w:r>
    </w:p>
    <w:p>
      <w:pPr>
        <w:pStyle w:val="TextBody"/>
        <w:bidi w:val="0"/>
        <w:jc w:val="left"/>
        <w:rPr/>
      </w:pPr>
      <w:r>
        <w:rPr/>
        <w:t> </w:t>
      </w:r>
    </w:p>
    <w:tbl>
      <w:tblPr>
        <w:tblW w:w="2472" w:type="dxa"/>
        <w:jc w:val="left"/>
        <w:tblInd w:w="0" w:type="dxa"/>
        <w:tblLayout w:type="fixed"/>
        <w:tblCellMar>
          <w:top w:w="28" w:type="dxa"/>
          <w:left w:w="28" w:type="dxa"/>
          <w:bottom w:w="28" w:type="dxa"/>
          <w:right w:w="28" w:type="dxa"/>
        </w:tblCellMar>
      </w:tblPr>
      <w:tblGrid>
        <w:gridCol w:w="161"/>
        <w:gridCol w:w="2311"/>
      </w:tblGrid>
      <w:tr>
        <w:trPr/>
        <w:tc>
          <w:tcPr>
            <w:tcW w:w="16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/s/ R. David Spreng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R. David Spreng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231F20"/>
                <w:sz w:val="16"/>
              </w:rPr>
            </w:pPr>
            <w:r>
              <w:rPr>
                <w:rFonts w:ascii="Times New Roman" w:hAnsi="Times New Roman"/>
                <w:i/>
                <w:color w:val="231F20"/>
                <w:sz w:val="16"/>
              </w:rPr>
              <w:t>(Principal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Runway Growth Finance Corp.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48" w:name="rway-ex31_2.htm"/>
      <w:bookmarkStart w:id="49" w:name="ksrwayex31_2"/>
      <w:bookmarkEnd w:id="48"/>
      <w:bookmarkEnd w:id="49"/>
      <w:r>
        <w:rPr>
          <w:rFonts w:ascii="Times New Roman" w:hAnsi="Times New Roman"/>
          <w:b/>
          <w:color w:val="231F20"/>
          <w:sz w:val="16"/>
        </w:rPr>
        <w:t>Exhibit 31.2</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231F20"/>
          <w:sz w:val="16"/>
        </w:rPr>
        <w:t>Certification of Chief FINANCIAL Officer</w:t>
      </w:r>
      <w:r>
        <w:rPr>
          <w:rFonts w:ascii="Times New Roman" w:hAnsi="Times New Roman"/>
          <w:color w:val="231F20"/>
          <w:sz w:val="20"/>
        </w:rPr>
        <w:t xml:space="preserve"> </w:t>
      </w:r>
    </w:p>
    <w:p>
      <w:pPr>
        <w:pStyle w:val="TextBody"/>
        <w:bidi w:val="0"/>
        <w:jc w:val="center"/>
        <w:rPr>
          <w:rFonts w:ascii="Times New Roman" w:hAnsi="Times New Roman"/>
          <w:sz w:val="20"/>
        </w:rPr>
      </w:pPr>
      <w:r>
        <w:rPr>
          <w:rFonts w:ascii="Times New Roman" w:hAnsi="Times New Roman"/>
          <w:b/>
          <w:caps/>
          <w:color w:val="231F20"/>
          <w:sz w:val="16"/>
        </w:rPr>
        <w:t>pursuant to Rule 13a-14 under the Exchange Act of 1934, as adopted</w:t>
      </w:r>
      <w:r>
        <w:rPr>
          <w:rFonts w:ascii="Times New Roman" w:hAnsi="Times New Roman"/>
          <w:caps/>
          <w:color w:val="231F20"/>
          <w:sz w:val="20"/>
        </w:rPr>
        <w:t xml:space="preserve"> </w:t>
      </w:r>
    </w:p>
    <w:p>
      <w:pPr>
        <w:pStyle w:val="TextBody"/>
        <w:bidi w:val="0"/>
        <w:jc w:val="center"/>
        <w:rPr>
          <w:rFonts w:ascii="Times New Roman" w:hAnsi="Times New Roman"/>
          <w:b/>
          <w:caps/>
          <w:color w:val="231F20"/>
          <w:sz w:val="16"/>
        </w:rPr>
      </w:pPr>
      <w:r>
        <w:rPr>
          <w:rFonts w:ascii="Times New Roman" w:hAnsi="Times New Roman"/>
          <w:b/>
          <w:caps/>
          <w:color w:val="231F20"/>
          <w:sz w:val="16"/>
        </w:rPr>
        <w:t>pursuant to Section 302 of the Sarbanes-Oxley Act of 2002</w:t>
      </w:r>
    </w:p>
    <w:p>
      <w:pPr>
        <w:pStyle w:val="TextBody"/>
        <w:bidi w:val="0"/>
        <w:jc w:val="left"/>
        <w:rPr/>
      </w:pPr>
      <w:r>
        <w:rPr/>
        <w:t> </w:t>
      </w:r>
    </w:p>
    <w:p>
      <w:pPr>
        <w:pStyle w:val="TextBody"/>
        <w:bidi w:val="0"/>
        <w:spacing w:before="0" w:after="200"/>
        <w:jc w:val="left"/>
        <w:rPr>
          <w:rFonts w:ascii="Times New Roman" w:hAnsi="Times New Roman"/>
          <w:color w:val="231F20"/>
          <w:sz w:val="16"/>
        </w:rPr>
      </w:pPr>
      <w:r>
        <w:rPr>
          <w:rFonts w:ascii="Times New Roman" w:hAnsi="Times New Roman"/>
          <w:color w:val="231F20"/>
          <w:sz w:val="16"/>
        </w:rPr>
        <w:t>I, Thomas B. Raterman, as Chief Financial Officer, certify that: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1. I have reviewed this annual report on Form 10-K of Runway Growth Finance Corp.;</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4. 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rFonts w:ascii="Times New Roman" w:hAnsi="Times New Roman"/>
          <w:color w:val="231F20"/>
          <w:sz w:val="16"/>
        </w:rPr>
      </w:pPr>
      <w:r>
        <w:rPr>
          <w:rFonts w:ascii="Times New Roman" w:hAnsi="Times New Roman"/>
          <w:color w:val="231F20"/>
          <w:sz w:val="16"/>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231F20"/>
          <w:sz w:val="16"/>
        </w:rPr>
      </w:pPr>
      <w:r>
        <w:rPr>
          <w:rFonts w:ascii="Times New Roman" w:hAnsi="Times New Roman"/>
          <w:color w:val="231F20"/>
          <w:sz w:val="16"/>
        </w:rPr>
        <w:t>Date: March 12, 2026</w:t>
      </w:r>
    </w:p>
    <w:p>
      <w:pPr>
        <w:pStyle w:val="TextBody"/>
        <w:bidi w:val="0"/>
        <w:jc w:val="left"/>
        <w:rPr/>
      </w:pPr>
      <w:r>
        <w:rPr/>
        <w:t> </w:t>
      </w:r>
    </w:p>
    <w:tbl>
      <w:tblPr>
        <w:tblW w:w="2472" w:type="dxa"/>
        <w:jc w:val="left"/>
        <w:tblInd w:w="0" w:type="dxa"/>
        <w:tblLayout w:type="fixed"/>
        <w:tblCellMar>
          <w:top w:w="28" w:type="dxa"/>
          <w:left w:w="28" w:type="dxa"/>
          <w:bottom w:w="28" w:type="dxa"/>
          <w:right w:w="28" w:type="dxa"/>
        </w:tblCellMar>
      </w:tblPr>
      <w:tblGrid>
        <w:gridCol w:w="161"/>
        <w:gridCol w:w="2311"/>
      </w:tblGrid>
      <w:tr>
        <w:trPr/>
        <w:tc>
          <w:tcPr>
            <w:tcW w:w="16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/s/ Thomas B. Raterman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Thomas B. Raterman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231F20"/>
                <w:sz w:val="16"/>
              </w:rPr>
            </w:pPr>
            <w:r>
              <w:rPr>
                <w:rFonts w:ascii="Times New Roman" w:hAnsi="Times New Roman"/>
                <w:i/>
                <w:color w:val="231F20"/>
                <w:sz w:val="16"/>
              </w:rPr>
              <w:t>(Principal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Runway Growth Finance Corp.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50" w:name="rway-ex32_1.htm"/>
      <w:bookmarkStart w:id="51" w:name="ksrwayex32_1"/>
      <w:bookmarkEnd w:id="50"/>
      <w:bookmarkEnd w:id="51"/>
      <w:r>
        <w:rPr>
          <w:rFonts w:ascii="Times New Roman" w:hAnsi="Times New Roman"/>
          <w:b/>
          <w:color w:val="231F20"/>
          <w:sz w:val="16"/>
        </w:rPr>
        <w:t>Exhibit 32.1</w:t>
      </w:r>
      <w:r>
        <w:br w:type="page"/>
      </w:r>
    </w:p>
    <w:p>
      <w:pPr>
        <w:pStyle w:val="TextBody"/>
        <w:bidi w:val="0"/>
        <w:jc w:val="left"/>
        <w:rPr/>
      </w:pPr>
      <w:r>
        <w:rPr/>
        <w:t> </w:t>
      </w:r>
    </w:p>
    <w:p>
      <w:pPr>
        <w:pStyle w:val="TextBody"/>
        <w:bidi w:val="0"/>
        <w:spacing w:before="0" w:after="200"/>
        <w:jc w:val="center"/>
        <w:rPr>
          <w:rFonts w:ascii="Times New Roman" w:hAnsi="Times New Roman"/>
          <w:b/>
          <w:caps/>
          <w:color w:val="231F20"/>
          <w:sz w:val="16"/>
        </w:rPr>
      </w:pPr>
      <w:r>
        <w:rPr>
          <w:rFonts w:ascii="Times New Roman" w:hAnsi="Times New Roman"/>
          <w:b/>
          <w:caps/>
          <w:color w:val="231F20"/>
          <w:sz w:val="16"/>
        </w:rPr>
        <w:t>Certification of Chief Executive Officer</w:t>
        <w:br/>
        <w:t>Pursuant to 18 U.S.C. SECTION 1350, AS ADOPTED</w:t>
        <w:br/>
        <w:t>Pursuant to Section 906 of the Sarbanes-Oxley Act of 2002</w:t>
      </w:r>
    </w:p>
    <w:p>
      <w:pPr>
        <w:pStyle w:val="TextBody"/>
        <w:bidi w:val="0"/>
        <w:spacing w:before="0" w:after="200"/>
        <w:jc w:val="both"/>
        <w:rPr>
          <w:rFonts w:ascii="Times New Roman" w:hAnsi="Times New Roman"/>
          <w:color w:val="231F20"/>
          <w:sz w:val="16"/>
        </w:rPr>
      </w:pPr>
      <w:r>
        <w:rPr>
          <w:rFonts w:ascii="Times New Roman" w:hAnsi="Times New Roman"/>
          <w:color w:val="231F20"/>
          <w:sz w:val="16"/>
        </w:rPr>
        <w:t>I, R. David Spreng, Chief Executive Officer, in connection with the Annual Report of Runway Growth Finance Corp. (the “Company”), on Form 10-K for the year ended December 31, 2025, as filed with the U.S. Securities and Exchange Commission on the date hereof (the “Annual Report”), certify, pursuant to Section 906 of the Sarbanes-Oxley Act of 2002, that:</w:t>
      </w:r>
    </w:p>
    <w:p>
      <w:pPr>
        <w:pStyle w:val="TextBody"/>
        <w:bidi w:val="0"/>
        <w:spacing w:before="0" w:after="200"/>
        <w:jc w:val="left"/>
        <w:rPr>
          <w:rFonts w:ascii="Times New Roman" w:hAnsi="Times New Roman"/>
          <w:color w:val="231F20"/>
          <w:sz w:val="16"/>
        </w:rPr>
      </w:pPr>
      <w:r>
        <w:rPr>
          <w:rFonts w:ascii="Times New Roman" w:hAnsi="Times New Roman"/>
          <w:color w:val="231F20"/>
          <w:sz w:val="16"/>
        </w:rPr>
        <w:t>(1) the Annual Report fully complies with the requirements of Section 13(a) or 15(d) of the Securities Exchange Act of 1934, as amended; and</w:t>
      </w:r>
    </w:p>
    <w:p>
      <w:pPr>
        <w:pStyle w:val="TextBody"/>
        <w:bidi w:val="0"/>
        <w:jc w:val="left"/>
        <w:rPr>
          <w:rFonts w:ascii="Times New Roman" w:hAnsi="Times New Roman"/>
          <w:color w:val="231F20"/>
          <w:sz w:val="16"/>
        </w:rPr>
      </w:pPr>
      <w:r>
        <w:rPr>
          <w:rFonts w:ascii="Times New Roman" w:hAnsi="Times New Roman"/>
          <w:color w:val="231F20"/>
          <w:sz w:val="16"/>
        </w:rPr>
        <w:t>(2) the information contained in the Annual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 March 12, 2026</w:t>
      </w:r>
    </w:p>
    <w:p>
      <w:pPr>
        <w:pStyle w:val="TextBody"/>
        <w:bidi w:val="0"/>
        <w:jc w:val="left"/>
        <w:rPr/>
      </w:pPr>
      <w:r>
        <w:rPr/>
        <w:t> </w:t>
      </w:r>
    </w:p>
    <w:tbl>
      <w:tblPr>
        <w:tblW w:w="2618" w:type="dxa"/>
        <w:jc w:val="left"/>
        <w:tblInd w:w="0" w:type="dxa"/>
        <w:tblLayout w:type="fixed"/>
        <w:tblCellMar>
          <w:top w:w="28" w:type="dxa"/>
          <w:left w:w="28" w:type="dxa"/>
          <w:bottom w:w="28" w:type="dxa"/>
          <w:right w:w="28" w:type="dxa"/>
        </w:tblCellMar>
      </w:tblPr>
      <w:tblGrid>
        <w:gridCol w:w="161"/>
        <w:gridCol w:w="22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R. David Spreng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R. David Spreng</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 Growth Finance Corp.</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231F20"/>
          <w:sz w:val="16"/>
        </w:rPr>
      </w:pPr>
      <w:bookmarkStart w:id="52" w:name="rway-ex32_2.htm"/>
      <w:bookmarkStart w:id="53" w:name="ksrwayex32_2"/>
      <w:bookmarkEnd w:id="52"/>
      <w:bookmarkEnd w:id="53"/>
      <w:r>
        <w:rPr>
          <w:rFonts w:ascii="Times New Roman" w:hAnsi="Times New Roman"/>
          <w:b/>
          <w:color w:val="231F20"/>
          <w:sz w:val="16"/>
        </w:rPr>
        <w:t>Exhibit 32.2</w:t>
      </w:r>
      <w:r>
        <w:br w:type="page"/>
      </w:r>
    </w:p>
    <w:p>
      <w:pPr>
        <w:pStyle w:val="TextBody"/>
        <w:bidi w:val="0"/>
        <w:jc w:val="left"/>
        <w:rPr/>
      </w:pPr>
      <w:r>
        <w:rPr/>
        <w:t> </w:t>
      </w:r>
    </w:p>
    <w:p>
      <w:pPr>
        <w:pStyle w:val="TextBody"/>
        <w:bidi w:val="0"/>
        <w:spacing w:before="0" w:after="200"/>
        <w:jc w:val="center"/>
        <w:rPr>
          <w:rFonts w:ascii="Times New Roman" w:hAnsi="Times New Roman"/>
          <w:b/>
          <w:caps/>
          <w:color w:val="231F20"/>
          <w:sz w:val="16"/>
        </w:rPr>
      </w:pPr>
      <w:r>
        <w:rPr>
          <w:rFonts w:ascii="Times New Roman" w:hAnsi="Times New Roman"/>
          <w:b/>
          <w:caps/>
          <w:color w:val="231F20"/>
          <w:sz w:val="16"/>
        </w:rPr>
        <w:t>Certification of Chief FINANCIAL Officer</w:t>
        <w:br/>
        <w:t>Pursuant to 18 U.S.C. SECTION 1350, AS ADOPTED</w:t>
        <w:br/>
        <w:t>Pursuant to Section 906 of the Sarbanes-Oxley Act of 2002</w:t>
      </w:r>
    </w:p>
    <w:p>
      <w:pPr>
        <w:pStyle w:val="TextBody"/>
        <w:bidi w:val="0"/>
        <w:jc w:val="both"/>
        <w:rPr>
          <w:rFonts w:ascii="Times New Roman" w:hAnsi="Times New Roman"/>
          <w:color w:val="231F20"/>
          <w:sz w:val="16"/>
        </w:rPr>
      </w:pPr>
      <w:r>
        <w:rPr>
          <w:rFonts w:ascii="Times New Roman" w:hAnsi="Times New Roman"/>
          <w:color w:val="231F20"/>
          <w:sz w:val="16"/>
        </w:rPr>
        <w:t>I, Thomas B. Raterman, the Chief Financial Officer, in connection with the Annual Report of Runway Growth Finance Corp. (the “Company”), on Form 10-K for the year ended December 31, 2025, as filed with the U.S. Securities and Exchange Commission on the date hereof (the “Annual Report”), certify, pursuant to Section 906 of the Sarbanes-Oxley Act of 2002, that:</w:t>
      </w:r>
    </w:p>
    <w:p>
      <w:pPr>
        <w:pStyle w:val="TextBody"/>
        <w:bidi w:val="0"/>
        <w:jc w:val="left"/>
        <w:rPr>
          <w:rFonts w:ascii="Times New Roman" w:hAnsi="Times New Roman"/>
          <w:color w:val="231F20"/>
          <w:sz w:val="16"/>
        </w:rPr>
      </w:pPr>
      <w:r>
        <w:rPr>
          <w:rFonts w:ascii="Times New Roman" w:hAnsi="Times New Roman"/>
          <w:color w:val="231F20"/>
          <w:sz w:val="16"/>
        </w:rPr>
        <w:t>(1) the Annual Report fully complies with the requirements of Section 13(a) or 15(d) of the Securities Exchange Act of 1934, as amended; and</w:t>
      </w:r>
    </w:p>
    <w:p>
      <w:pPr>
        <w:pStyle w:val="TextBody"/>
        <w:bidi w:val="0"/>
        <w:jc w:val="left"/>
        <w:rPr>
          <w:rFonts w:ascii="Times New Roman" w:hAnsi="Times New Roman"/>
          <w:color w:val="231F20"/>
          <w:sz w:val="16"/>
        </w:rPr>
      </w:pPr>
      <w:r>
        <w:rPr>
          <w:rFonts w:ascii="Times New Roman" w:hAnsi="Times New Roman"/>
          <w:color w:val="231F20"/>
          <w:sz w:val="16"/>
        </w:rPr>
        <w:t>(2) the information contained in the Annual Report fairly presents, in all material respects, the financial condition and results of operations of the Company.</w:t>
      </w:r>
    </w:p>
    <w:p>
      <w:pPr>
        <w:pStyle w:val="TextBody"/>
        <w:bidi w:val="0"/>
        <w:jc w:val="left"/>
        <w:rPr>
          <w:rFonts w:ascii="Times New Roman" w:hAnsi="Times New Roman"/>
          <w:color w:val="000000"/>
          <w:sz w:val="16"/>
        </w:rPr>
      </w:pPr>
      <w:r>
        <w:rPr>
          <w:rFonts w:ascii="Times New Roman" w:hAnsi="Times New Roman"/>
          <w:color w:val="000000"/>
          <w:sz w:val="16"/>
        </w:rPr>
        <w:t>Date: March 12, 2026</w:t>
      </w:r>
    </w:p>
    <w:tbl>
      <w:tblPr>
        <w:tblW w:w="2544" w:type="dxa"/>
        <w:jc w:val="left"/>
        <w:tblInd w:w="0" w:type="dxa"/>
        <w:tblLayout w:type="fixed"/>
        <w:tblCellMar>
          <w:top w:w="28" w:type="dxa"/>
          <w:left w:w="28" w:type="dxa"/>
          <w:bottom w:w="28" w:type="dxa"/>
          <w:right w:w="28" w:type="dxa"/>
        </w:tblCellMar>
      </w:tblPr>
      <w:tblGrid>
        <w:gridCol w:w="124"/>
        <w:gridCol w:w="22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 </w:t>
            </w:r>
            <w:r>
              <w:rPr>
                <w:rFonts w:ascii="Times New Roman" w:hAnsi="Times New Roman"/>
                <w:color w:val="231F20"/>
                <w:sz w:val="16"/>
              </w:rPr>
              <w:t>Thomas B. Raterman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6"/>
              </w:rPr>
            </w:pPr>
            <w:r>
              <w:rPr>
                <w:rFonts w:ascii="Times New Roman" w:hAnsi="Times New Roman"/>
                <w:color w:val="231F20"/>
                <w:sz w:val="16"/>
              </w:rPr>
              <w:t>Thomas B. Raterman</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Financial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 Growth Finance Corp.</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653384/000119312525236260/rway-ex2_1.htm" TargetMode="External"/><Relationship Id="rId4" Type="http://schemas.openxmlformats.org/officeDocument/2006/relationships/hyperlink" Target="https://www.sec.gov/Archives/edgar/data/1653384/000119312525236260/rway-ex2_1.htm" TargetMode="External"/><Relationship Id="rId5" Type="http://schemas.openxmlformats.org/officeDocument/2006/relationships/hyperlink" Target="https://www.sec.gov/Archives/edgar/data/1653384/000119312525236260/rway-ex2_2.htm" TargetMode="External"/><Relationship Id="rId6" Type="http://schemas.openxmlformats.org/officeDocument/2006/relationships/hyperlink" Target="https://www.sec.gov/Archives/edgar/data/1653384/000119312525236260/rway-ex2_2.htm" TargetMode="External"/><Relationship Id="rId7" Type="http://schemas.openxmlformats.org/officeDocument/2006/relationships/hyperlink" Target="https://www.sec.gov/Archives/edgar/data/1653384/000114420416140270/v454968_ex3-1.htm" TargetMode="External"/><Relationship Id="rId8" Type="http://schemas.openxmlformats.org/officeDocument/2006/relationships/hyperlink" Target="https://www.sec.gov/Archives/edgar/data/1653384/000114420416140270/v454968_ex3-1.htm" TargetMode="External"/><Relationship Id="rId9" Type="http://schemas.openxmlformats.org/officeDocument/2006/relationships/hyperlink" Target="https://www.sec.gov/Archives/edgar/data/1653384/000114420416140270/v454968_ex3-1.htm" TargetMode="External"/><Relationship Id="rId10" Type="http://schemas.openxmlformats.org/officeDocument/2006/relationships/hyperlink" Target="https://www.sec.gov/Archives/edgar/data/1653384/000165338421000016/rgc-20210819ex31cb84ffa.htm" TargetMode="External"/><Relationship Id="rId11" Type="http://schemas.openxmlformats.org/officeDocument/2006/relationships/hyperlink" Target="https://www.sec.gov/Archives/edgar/data/1653384/000165338421000016/rgc-20210819ex31cb84ffa.htm" TargetMode="External"/><Relationship Id="rId12" Type="http://schemas.openxmlformats.org/officeDocument/2006/relationships/hyperlink" Target="https://www.sec.gov/Archives/edgar/data/1653384/000165338421000016/rgc-20210819ex31cb84ffa.htm" TargetMode="External"/><Relationship Id="rId13" Type="http://schemas.openxmlformats.org/officeDocument/2006/relationships/hyperlink" Target="https://www.sec.gov/Archives/edgar/data/1653384/000165338421000016/rgc-20210819ex32804659c.htm" TargetMode="External"/><Relationship Id="rId14" Type="http://schemas.openxmlformats.org/officeDocument/2006/relationships/hyperlink" Target="https://www.sec.gov/Archives/edgar/data/1653384/000165338421000016/rgc-20210819ex32804659c.htm" TargetMode="External"/><Relationship Id="rId15" Type="http://schemas.openxmlformats.org/officeDocument/2006/relationships/hyperlink" Target="https://www.sec.gov/Archives/edgar/data/1653384/000165338421000016/rgc-20210819ex32804659c.htm" TargetMode="External"/><Relationship Id="rId16" Type="http://schemas.openxmlformats.org/officeDocument/2006/relationships/hyperlink" Target="https://www.sec.gov/Archives/edgar/data/1653384/000110465920036153/tm2013025-2_ex4x2.htm" TargetMode="External"/><Relationship Id="rId17" Type="http://schemas.openxmlformats.org/officeDocument/2006/relationships/hyperlink" Target="https://www.sec.gov/Archives/edgar/data/1653384/000110465920036153/tm2013025-2_ex4x2.htm" TargetMode="External"/><Relationship Id="rId18" Type="http://schemas.openxmlformats.org/officeDocument/2006/relationships/hyperlink" Target="https://www.sec.gov/Archives/edgar/data/1653384/000110465922083650/tm2222036d1_ex4-1.htm" TargetMode="External"/><Relationship Id="rId19" Type="http://schemas.openxmlformats.org/officeDocument/2006/relationships/hyperlink" Target="https://www.sec.gov/Archives/edgar/data/1653384/000110465922083650/tm2222036d1_ex4-1.htm" TargetMode="External"/><Relationship Id="rId20" Type="http://schemas.openxmlformats.org/officeDocument/2006/relationships/hyperlink" Target="https://www.sec.gov/Archives/edgar/data/1653384/000110465922083650/tm2222036d1_ex4-2.htm" TargetMode="External"/><Relationship Id="rId21" Type="http://schemas.openxmlformats.org/officeDocument/2006/relationships/hyperlink" Target="https://www.sec.gov/Archives/edgar/data/1653384/000110465922083650/tm2222036d1_ex4-2.htm" TargetMode="External"/><Relationship Id="rId22" Type="http://schemas.openxmlformats.org/officeDocument/2006/relationships/hyperlink" Target="https://www.sec.gov/Archives/edgar/data/1653384/000110465922083650/tm2222036d1_ex4-2.htm" TargetMode="External"/><Relationship Id="rId23" Type="http://schemas.openxmlformats.org/officeDocument/2006/relationships/hyperlink" Target="https://www.sec.gov/Archives/edgar/data/1653384/000110465922083650/tm2222036d1_ex4-2.htm" TargetMode="External"/><Relationship Id="rId24" Type="http://schemas.openxmlformats.org/officeDocument/2006/relationships/hyperlink" Target="https://www.sec.gov/Archives/edgar/data/1653384/000110465926009736/tm264911d1_ex4-1.htm" TargetMode="External"/><Relationship Id="rId25" Type="http://schemas.openxmlformats.org/officeDocument/2006/relationships/hyperlink" Target="https://www.sec.gov/Archives/edgar/data/1653384/000110465926009736/tm264911d1_ex4-1.htm" TargetMode="External"/><Relationship Id="rId26" Type="http://schemas.openxmlformats.org/officeDocument/2006/relationships/hyperlink" Target="https://www.sec.gov/Archives/edgar/data/1653384/000110465926009736/tm264911d1_ex4-1.htm" TargetMode="External"/><Relationship Id="rId27" Type="http://schemas.openxmlformats.org/officeDocument/2006/relationships/hyperlink" Target="https://www.sec.gov/Archives/edgar/data/1653384/000110465926009736/tm264911d1_ex4-1.htm" TargetMode="External"/><Relationship Id="rId28" Type="http://schemas.openxmlformats.org/officeDocument/2006/relationships/hyperlink" Target="https://www.sec.gov/Archives/edgar/data/1653384/000114420417017282/v462699_ex9-1.htm" TargetMode="External"/><Relationship Id="rId29" Type="http://schemas.openxmlformats.org/officeDocument/2006/relationships/hyperlink" Target="https://www.sec.gov/Archives/edgar/data/1653384/000114420417017282/v462699_ex9-1.htm" TargetMode="External"/><Relationship Id="rId30" Type="http://schemas.openxmlformats.org/officeDocument/2006/relationships/hyperlink" Target="https://www.sec.gov/Archives/edgar/data/1653384/000114420417017282/v462699_ex9-1.htm" TargetMode="External"/><Relationship Id="rId31" Type="http://schemas.openxmlformats.org/officeDocument/2006/relationships/hyperlink" Target="https://www.sec.gov/Archives/edgar/data/1653384/000110465925007704/tm254887d1_ex10-1.htm" TargetMode="External"/><Relationship Id="rId32" Type="http://schemas.openxmlformats.org/officeDocument/2006/relationships/hyperlink" Target="https://www.sec.gov/Archives/edgar/data/1653384/000110465925007704/tm254887d1_ex10-1.htm" TargetMode="External"/><Relationship Id="rId33" Type="http://schemas.openxmlformats.org/officeDocument/2006/relationships/hyperlink" Target="https://www.sec.gov/Archives/edgar/data/1653384/000110465925007704/tm254887d1_ex10-1.htm" TargetMode="External"/><Relationship Id="rId34" Type="http://schemas.openxmlformats.org/officeDocument/2006/relationships/hyperlink" Target="https://www.sec.gov/Archives/edgar/data/1653384/000155837021010525/rgc-20210630ex1036bb6e0.htm" TargetMode="External"/><Relationship Id="rId35" Type="http://schemas.openxmlformats.org/officeDocument/2006/relationships/hyperlink" Target="https://www.sec.gov/Archives/edgar/data/1653384/000155837021010525/rgc-20210630ex1036bb6e0.htm" TargetMode="External"/><Relationship Id="rId36" Type="http://schemas.openxmlformats.org/officeDocument/2006/relationships/hyperlink" Target="https://www.sec.gov/Archives/edgar/data/1653384/000155837021010525/rgc-20210630ex1036bb6e0.htm" TargetMode="External"/><Relationship Id="rId37" Type="http://schemas.openxmlformats.org/officeDocument/2006/relationships/hyperlink" Target="https://www.sec.gov/Archives/edgar/data/1653384/000114420416140270/v454968_ex10-3.htm" TargetMode="External"/><Relationship Id="rId38" Type="http://schemas.openxmlformats.org/officeDocument/2006/relationships/hyperlink" Target="https://www.sec.gov/Archives/edgar/data/1653384/000114420416140270/v454968_ex10-3.htm" TargetMode="External"/><Relationship Id="rId39" Type="http://schemas.openxmlformats.org/officeDocument/2006/relationships/hyperlink" Target="https://www.sec.gov/Archives/edgar/data/1653384/000114420416140270/v454968_ex10-3.htm" TargetMode="External"/><Relationship Id="rId40" Type="http://schemas.openxmlformats.org/officeDocument/2006/relationships/hyperlink" Target="https://www.sec.gov/Archives/edgar/data/1653384/000114420416140270/v454968_ex10-4.htm" TargetMode="External"/><Relationship Id="rId41" Type="http://schemas.openxmlformats.org/officeDocument/2006/relationships/hyperlink" Target="https://www.sec.gov/Archives/edgar/data/1653384/000114420416140270/v454968_ex10-4.htm" TargetMode="External"/><Relationship Id="rId42" Type="http://schemas.openxmlformats.org/officeDocument/2006/relationships/hyperlink" Target="https://www.sec.gov/Archives/edgar/data/1653384/000095017023039764/rway-ex4_1.htm" TargetMode="External"/><Relationship Id="rId43" Type="http://schemas.openxmlformats.org/officeDocument/2006/relationships/hyperlink" Target="https://www.sec.gov/Archives/edgar/data/1653384/000114420416140270/v454968_ex10-4.htm" TargetMode="External"/><Relationship Id="rId44" Type="http://schemas.openxmlformats.org/officeDocument/2006/relationships/hyperlink" Target="https://www.sec.gov/Archives/edgar/data/1653384/000165338421000025/rgc-20211027xex10.htm" TargetMode="External"/><Relationship Id="rId45" Type="http://schemas.openxmlformats.org/officeDocument/2006/relationships/hyperlink" Target="https://www.sec.gov/Archives/edgar/data/1653384/000165338421000025/rgc-20211027xex10.htm" TargetMode="External"/><Relationship Id="rId46" Type="http://schemas.openxmlformats.org/officeDocument/2006/relationships/hyperlink" Target="https://www.sec.gov/Archives/edgar/data/1653384/000165338421000025/rgc-20211027xex10.htm" TargetMode="External"/><Relationship Id="rId47" Type="http://schemas.openxmlformats.org/officeDocument/2006/relationships/hyperlink" Target="https://www.sec.gov/Archives/edgar/data/1653384/000114420416081404/v428811_ex10-5.htm" TargetMode="External"/><Relationship Id="rId48" Type="http://schemas.openxmlformats.org/officeDocument/2006/relationships/hyperlink" Target="https://www.sec.gov/Archives/edgar/data/1653384/000114420416081404/v428811_ex10-5.htm" TargetMode="External"/><Relationship Id="rId49" Type="http://schemas.openxmlformats.org/officeDocument/2006/relationships/hyperlink" Target="https://www.sec.gov/Archives/edgar/data/1653384/000114420416081404/v428811_ex10-5.htm" TargetMode="External"/><Relationship Id="rId50" Type="http://schemas.openxmlformats.org/officeDocument/2006/relationships/hyperlink" Target="https://www.sec.gov/Archives/edgar/data/1653384/000165338421000019/rgc-20210923xex10.htm" TargetMode="External"/><Relationship Id="rId51" Type="http://schemas.openxmlformats.org/officeDocument/2006/relationships/hyperlink" Target="https://www.sec.gov/Archives/edgar/data/1653384/000165338421000019/rgc-20210923xex10.htm" TargetMode="External"/><Relationship Id="rId52" Type="http://schemas.openxmlformats.org/officeDocument/2006/relationships/hyperlink" Target="https://www.sec.gov/Archives/edgar/data/1653384/000165338421000019/rgc-20210923xex10.htm" TargetMode="External"/><Relationship Id="rId53" Type="http://schemas.openxmlformats.org/officeDocument/2006/relationships/hyperlink" Target="https://www.sec.gov/Archives/edgar/data/1653384/000114420418066500/tv509942_ex10-1.htm" TargetMode="External"/><Relationship Id="rId54" Type="http://schemas.openxmlformats.org/officeDocument/2006/relationships/hyperlink" Target="https://www.sec.gov/Archives/edgar/data/1653384/000114420418066500/tv509942_ex10-1.htm" TargetMode="External"/><Relationship Id="rId55" Type="http://schemas.openxmlformats.org/officeDocument/2006/relationships/hyperlink" Target="https://www.sec.gov/Archives/edgar/data/1653384/000114420418066500/tv509942_ex10-1.htm" TargetMode="External"/><Relationship Id="rId56" Type="http://schemas.openxmlformats.org/officeDocument/2006/relationships/hyperlink" Target="https://www.sec.gov/Archives/edgar/data/1653384/000114420419030106/tv523088_ex10-1.htm" TargetMode="External"/><Relationship Id="rId57" Type="http://schemas.openxmlformats.org/officeDocument/2006/relationships/hyperlink" Target="https://www.sec.gov/Archives/edgar/data/1653384/000114420419030106/tv523088_ex10-1.htm" TargetMode="External"/><Relationship Id="rId58" Type="http://schemas.openxmlformats.org/officeDocument/2006/relationships/hyperlink" Target="https://www.sec.gov/Archives/edgar/data/1653384/000114420419030106/tv523088_ex10-1.htm" TargetMode="External"/><Relationship Id="rId59" Type="http://schemas.openxmlformats.org/officeDocument/2006/relationships/hyperlink" Target="https://www.sec.gov/Archives/edgar/data/1653384/000155837020013679/rgc-20200930xex10d1.htm" TargetMode="External"/><Relationship Id="rId60" Type="http://schemas.openxmlformats.org/officeDocument/2006/relationships/hyperlink" Target="https://www.sec.gov/Archives/edgar/data/1653384/000155837020013679/rgc-20200930xex10d1.htm" TargetMode="External"/><Relationship Id="rId61" Type="http://schemas.openxmlformats.org/officeDocument/2006/relationships/hyperlink" Target="https://www.sec.gov/Archives/edgar/data/1653384/000165338420000004/rgc-20201202ex1019c880b.htm" TargetMode="External"/><Relationship Id="rId62" Type="http://schemas.openxmlformats.org/officeDocument/2006/relationships/hyperlink" Target="https://www.sec.gov/Archives/edgar/data/1653384/000165338420000004/rgc-20201202ex1019c880b.htm" TargetMode="External"/><Relationship Id="rId63" Type="http://schemas.openxmlformats.org/officeDocument/2006/relationships/hyperlink" Target="https://www.sec.gov/Archives/edgar/data/1653384/000110465921119827/tm2120547d5_ex99-k11.htm" TargetMode="External"/><Relationship Id="rId64" Type="http://schemas.openxmlformats.org/officeDocument/2006/relationships/hyperlink" Target="https://www.sec.gov/Archives/edgar/data/1653384/000110465921119827/tm2120547d5_ex99-k11.htm" TargetMode="External"/><Relationship Id="rId65" Type="http://schemas.openxmlformats.org/officeDocument/2006/relationships/hyperlink" Target="https://www.sec.gov/Archives/edgar/data/1653384/000155837021010525/rgc-20210630ex102799fdc.htm" TargetMode="External"/><Relationship Id="rId66" Type="http://schemas.openxmlformats.org/officeDocument/2006/relationships/hyperlink" Target="https://www.sec.gov/Archives/edgar/data/1653384/000155837021010525/rgc-20210630ex102799fdc.htm" TargetMode="External"/><Relationship Id="rId67" Type="http://schemas.openxmlformats.org/officeDocument/2006/relationships/hyperlink" Target="https://www.sec.gov/Archives/edgar/data/1653384/000155837022002804/rgc-20211231xex10d17.htm" TargetMode="External"/><Relationship Id="rId68" Type="http://schemas.openxmlformats.org/officeDocument/2006/relationships/hyperlink" Target="https://www.sec.gov/Archives/edgar/data/1653384/000155837022002804/rgc-20211231xex10d17.htm" TargetMode="External"/><Relationship Id="rId69" Type="http://schemas.openxmlformats.org/officeDocument/2006/relationships/hyperlink" Target="https://www.sec.gov/Archives/edgar/data/1653384/000110465922048941/tm2213243d1_ex10-1.htm" TargetMode="External"/><Relationship Id="rId70" Type="http://schemas.openxmlformats.org/officeDocument/2006/relationships/hyperlink" Target="https://www.sec.gov/Archives/edgar/data/1653384/000110465922048941/tm2213243d1_ex10-1.htm" TargetMode="External"/><Relationship Id="rId71" Type="http://schemas.openxmlformats.org/officeDocument/2006/relationships/hyperlink" Target="https://www.sec.gov/Archives/edgar/data/1653384/000110465922048941/tm2213243d1_ex10-1.htm" TargetMode="External"/><Relationship Id="rId72" Type="http://schemas.openxmlformats.org/officeDocument/2006/relationships/hyperlink" Target="https://www.sec.gov/Archives/edgar/data/1653384/000110465923002333/tm232751d1_ex10-1.htm" TargetMode="External"/><Relationship Id="rId73" Type="http://schemas.openxmlformats.org/officeDocument/2006/relationships/hyperlink" Target="https://www.sec.gov/Archives/edgar/data/1653384/000110465923002333/tm232751d1_ex10-1.htm" TargetMode="External"/><Relationship Id="rId74" Type="http://schemas.openxmlformats.org/officeDocument/2006/relationships/hyperlink" Target="https://www.sec.gov/Archives/edgar/data/1653384/000110465925025185/rway-20250318xex99dk17.htm" TargetMode="External"/><Relationship Id="rId75" Type="http://schemas.openxmlformats.org/officeDocument/2006/relationships/hyperlink" Target="https://www.sec.gov/Archives/edgar/data/1653384/000110465925025185/rway-20250318xex99dk17.htm" TargetMode="External"/><Relationship Id="rId76" Type="http://schemas.openxmlformats.org/officeDocument/2006/relationships/hyperlink" Target="https://www.sec.gov/Archives/edgar/data/1653384/000110465923124036/tm2332294d1_ex10-1.htm" TargetMode="External"/><Relationship Id="rId77" Type="http://schemas.openxmlformats.org/officeDocument/2006/relationships/hyperlink" Target="https://www.sec.gov/Archives/edgar/data/1653384/000110465923124036/tm2332294d1_ex10-1.htm" TargetMode="External"/><Relationship Id="rId78" Type="http://schemas.openxmlformats.org/officeDocument/2006/relationships/hyperlink" Target="https://www.sec.gov/Archives/edgar/data/1653384/000110465923124036/tm2332294d1_ex10-2.htm" TargetMode="External"/><Relationship Id="rId79" Type="http://schemas.openxmlformats.org/officeDocument/2006/relationships/hyperlink" Target="https://www.sec.gov/Archives/edgar/data/1653384/000110465923124036/tm2332294d1_ex10-2.htm" TargetMode="External"/><Relationship Id="rId80" Type="http://schemas.openxmlformats.org/officeDocument/2006/relationships/hyperlink" Target="https://www.sec.gov/Archives/edgar/data/1653384/000110465925025185/rway-20250318xex99dk18.htm" TargetMode="External"/><Relationship Id="rId81" Type="http://schemas.openxmlformats.org/officeDocument/2006/relationships/hyperlink" Target="https://www.sec.gov/Archives/edgar/data/1653384/000110465925025185/rway-20250318xex99dk18.htm" TargetMode="External"/><Relationship Id="rId82" Type="http://schemas.openxmlformats.org/officeDocument/2006/relationships/hyperlink" Target="https://www.sec.gov/Archives/edgar/data/1653384/000095017025042625/rway-ex10_25.htm" TargetMode="External"/><Relationship Id="rId83" Type="http://schemas.openxmlformats.org/officeDocument/2006/relationships/hyperlink" Target="https://www.sec.gov/Archives/edgar/data/1653384/000095017025042625/rway-ex10_25.htm" TargetMode="External"/><Relationship Id="rId84" Type="http://schemas.openxmlformats.org/officeDocument/2006/relationships/hyperlink" Target="https://www.sec.gov/Archives/edgar/data/1653384/000110465925033086/tm2511865d1_ex10-1.htm" TargetMode="External"/><Relationship Id="rId85" Type="http://schemas.openxmlformats.org/officeDocument/2006/relationships/hyperlink" Target="https://www.sec.gov/Archives/edgar/data/1653384/000110465925033086/tm2511865d1_ex10-1.htm" TargetMode="External"/><Relationship Id="rId86" Type="http://schemas.openxmlformats.org/officeDocument/2006/relationships/hyperlink" Target="https://www.sec.gov/Archives/edgar/data/1653384/000110465925007261/tm254820d1_ex14-1.htm" TargetMode="External"/><Relationship Id="rId87" Type="http://schemas.openxmlformats.org/officeDocument/2006/relationships/hyperlink" Target="https://www.sec.gov/Archives/edgar/data/1653384/000110465925007261/tm254820d1_ex14-1.htm" TargetMode="External"/><Relationship Id="rId88" Type="http://schemas.openxmlformats.org/officeDocument/2006/relationships/hyperlink" Target="https://www.sec.gov/Archives/edgar/data/1653384/000095017025042625/rway-ex19_1.htm" TargetMode="External"/><Relationship Id="rId89" Type="http://schemas.openxmlformats.org/officeDocument/2006/relationships/hyperlink" Target="https://www.sec.gov/Archives/edgar/data/1653384/000095017025042625/rway-ex19_1.htm" TargetMode="External"/><Relationship Id="rId90" Type="http://schemas.openxmlformats.org/officeDocument/2006/relationships/hyperlink" Target="https://www.sec.gov/Archives/edgar/data/1653384/000095017025042625/rway-ex97_1.htm" TargetMode="External"/><Relationship Id="rId91" Type="http://schemas.openxmlformats.org/officeDocument/2006/relationships/hyperlink" Target="https://www.sec.gov/Archives/edgar/data/1653384/000095017025042625/rway-ex97_1.htm" TargetMode="External"/><Relationship Id="rId92" Type="http://schemas.openxmlformats.org/officeDocument/2006/relationships/hyperlink" Target="https://www.sec.gov/Archives/edgar/data/1653384/000095017025042625/rway-ex97_1.htm" TargetMode="External"/><Relationship Id="rId93" Type="http://schemas.openxmlformats.org/officeDocument/2006/relationships/fontTable" Target="fontTable.xml"/><Relationship Id="rId9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99798</Words>
  <Characters>538637</Characters>
  <CharactersWithSpaces>650319</CharactersWithSpaces>
  <Paragraphs>29738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