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2280" w:right="220" w:hanging="1226"/>
        <w:spacing w:after="0" w:line="237" w:lineRule="auto"/>
        <w:tabs>
          <w:tab w:leader="none" w:pos="2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212" w:lineRule="exact"/>
        <w:rPr>
          <w:sz w:val="24"/>
          <w:szCs w:val="24"/>
          <w:color w:val="auto"/>
        </w:rPr>
      </w:pPr>
    </w:p>
    <w:p>
      <w:pPr>
        <w:ind w:left="2280" w:right="220" w:hanging="1226"/>
        <w:spacing w:after="0" w:line="255" w:lineRule="auto"/>
        <w:tabs>
          <w:tab w:leader="none" w:pos="22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814-01180</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Runway Growth Finance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88"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406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47-5049745</w:t>
            </w:r>
          </w:p>
        </w:tc>
      </w:tr>
      <w:tr>
        <w:trPr>
          <w:trHeight w:val="234"/>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(State of incorporation)</w:t>
            </w:r>
          </w:p>
        </w:tc>
        <w:tc>
          <w:tcPr>
            <w:tcW w:w="40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6"/>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9"/>
              </w:rPr>
              <w:t>205 N. Michigan Ave., Suite 4200</w:t>
            </w:r>
          </w:p>
        </w:tc>
        <w:tc>
          <w:tcPr>
            <w:tcW w:w="4060" w:type="dxa"/>
            <w:vAlign w:val="bottom"/>
          </w:tcPr>
          <w:p>
            <w:pPr>
              <w:spacing w:after="0"/>
              <w:rPr>
                <w:sz w:val="24"/>
                <w:szCs w:val="24"/>
                <w:color w:val="auto"/>
              </w:rPr>
            </w:pPr>
          </w:p>
        </w:tc>
      </w:tr>
      <w:tr>
        <w:trPr>
          <w:trHeight w:val="220"/>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w w:val="98"/>
              </w:rPr>
              <w:t>Chicago, IL</w:t>
            </w:r>
          </w:p>
        </w:tc>
        <w:tc>
          <w:tcPr>
            <w:tcW w:w="40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60601</w:t>
            </w:r>
          </w:p>
        </w:tc>
      </w:tr>
      <w:tr>
        <w:trPr>
          <w:trHeight w:val="234"/>
        </w:trPr>
        <w:tc>
          <w:tcPr>
            <w:tcW w:w="4300" w:type="dxa"/>
            <w:vAlign w:val="bottom"/>
          </w:tcPr>
          <w:p>
            <w:pPr>
              <w:jc w:val="center"/>
              <w:ind w:right="1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5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(312) 281</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6270</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8" w:lineRule="exact"/>
        <w:rPr>
          <w:sz w:val="24"/>
          <w:szCs w:val="24"/>
          <w:color w:val="auto"/>
        </w:rPr>
      </w:pPr>
    </w:p>
    <w:tbl>
      <w:tblPr>
        <w:tblLayout w:type="fixed"/>
        <w:tblInd w:w="20" w:type="dxa"/>
        <w:tblCellMar>
          <w:top w:w="0" w:type="dxa"/>
          <w:left w:w="0" w:type="dxa"/>
          <w:bottom w:w="0" w:type="dxa"/>
          <w:right w:w="0" w:type="dxa"/>
        </w:tblCellMar>
      </w:tblPr>
      <w:tr>
        <w:trPr>
          <w:trHeight w:val="220"/>
        </w:trPr>
        <w:tc>
          <w:tcPr>
            <w:tcW w:w="3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41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89"/>
        </w:trPr>
        <w:tc>
          <w:tcPr>
            <w:tcW w:w="34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Common Stock, par value $0.01 per share</w:t>
            </w:r>
          </w:p>
        </w:tc>
        <w:tc>
          <w:tcPr>
            <w:tcW w:w="2640" w:type="dxa"/>
            <w:vAlign w:val="bottom"/>
          </w:tcPr>
          <w:p>
            <w:pPr>
              <w:ind w:left="360"/>
              <w:spacing w:after="0" w:line="189" w:lineRule="exact"/>
              <w:rPr>
                <w:sz w:val="20"/>
                <w:szCs w:val="20"/>
                <w:color w:val="auto"/>
              </w:rPr>
            </w:pPr>
            <w:r>
              <w:rPr>
                <w:rFonts w:ascii="Times New Roman" w:cs="Times New Roman" w:eastAsia="Times New Roman" w:hAnsi="Times New Roman"/>
                <w:sz w:val="18"/>
                <w:szCs w:val="18"/>
                <w:color w:val="auto"/>
              </w:rPr>
              <w:t>RWAY</w:t>
            </w:r>
          </w:p>
        </w:tc>
        <w:tc>
          <w:tcPr>
            <w:tcW w:w="4180" w:type="dxa"/>
            <w:vAlign w:val="bottom"/>
          </w:tcPr>
          <w:p>
            <w:pPr>
              <w:ind w:left="840"/>
              <w:spacing w:after="0" w:line="189" w:lineRule="exact"/>
              <w:rPr>
                <w:sz w:val="20"/>
                <w:szCs w:val="20"/>
                <w:color w:val="auto"/>
              </w:rPr>
            </w:pPr>
            <w:r>
              <w:rPr>
                <w:rFonts w:ascii="Times New Roman" w:cs="Times New Roman" w:eastAsia="Times New Roman" w:hAnsi="Times New Roman"/>
                <w:sz w:val="18"/>
                <w:szCs w:val="18"/>
                <w:color w:val="auto"/>
              </w:rPr>
              <w:t>NASDAQ Global Select Market LLC</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7.50% Notes due 2027</w:t>
            </w:r>
          </w:p>
        </w:tc>
        <w:tc>
          <w:tcPr>
            <w:tcW w:w="2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RWAYL</w:t>
            </w:r>
          </w:p>
        </w:tc>
        <w:tc>
          <w:tcPr>
            <w:tcW w:w="41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NASDAQ Global Select Market LLC</w:t>
            </w:r>
          </w:p>
        </w:tc>
      </w:tr>
    </w:tbl>
    <w:p>
      <w:pPr>
        <w:spacing w:after="0" w:line="184"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jc w:val="both"/>
        <w:ind w:firstLine="374"/>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4" w:lineRule="exact"/>
        <w:rPr>
          <w:sz w:val="24"/>
          <w:szCs w:val="24"/>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of the Exchange Act.</w:t>
      </w:r>
    </w:p>
    <w:p>
      <w:pPr>
        <w:sectPr>
          <w:pgSz w:w="11900" w:h="16838" w:orient="portrait"/>
          <w:cols w:equalWidth="0" w:num="1">
            <w:col w:w="11240"/>
          </w:cols>
          <w:pgMar w:left="320" w:top="229" w:right="339" w:bottom="1440" w:gutter="0" w:footer="0" w:header="0"/>
        </w:sectPr>
      </w:pPr>
    </w:p>
    <w:p>
      <w:pPr>
        <w:spacing w:after="0" w:line="138"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4200"/>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88" w:lineRule="exact"/>
        <w:rPr>
          <w:sz w:val="24"/>
          <w:szCs w:val="24"/>
          <w:color w:val="auto"/>
        </w:rPr>
      </w:pPr>
    </w:p>
    <w:p>
      <w:pPr>
        <w:sectPr>
          <w:pgSz w:w="11900" w:h="16838" w:orient="portrait"/>
          <w:cols w:equalWidth="0" w:num="2">
            <w:col w:w="4920" w:space="720"/>
            <w:col w:w="5600"/>
          </w:cols>
          <w:pgMar w:left="320" w:top="229"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70" w:lineRule="exact"/>
        <w:rPr>
          <w:sz w:val="24"/>
          <w:szCs w:val="24"/>
          <w:color w:val="auto"/>
        </w:rPr>
      </w:pPr>
    </w:p>
    <w:p>
      <w:pPr>
        <w:sectPr>
          <w:pgSz w:w="11900" w:h="16838" w:orient="portrait"/>
          <w:cols w:equalWidth="0" w:num="2">
            <w:col w:w="4920" w:space="720"/>
            <w:col w:w="5600"/>
          </w:cols>
          <w:pgMar w:left="320" w:top="229"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229" w:right="339" w:bottom="1440" w:gutter="0" w:footer="0" w:header="0"/>
          <w:type w:val="continuous"/>
        </w:sectPr>
      </w:pPr>
    </w:p>
    <w:p>
      <w:pPr>
        <w:spacing w:after="0" w:line="252" w:lineRule="exact"/>
        <w:rPr>
          <w:sz w:val="24"/>
          <w:szCs w:val="24"/>
          <w:color w:val="auto"/>
        </w:rPr>
      </w:pPr>
    </w:p>
    <w:p>
      <w:pPr>
        <w:ind w:right="140" w:firstLine="37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380" w:right="1700"/>
        <w:spacing w:after="0" w:line="287"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issuer had 40,524,123 shares of common stock, $0.01 par value per share, outstanding as of November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647700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6"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FORM 10</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Q FOR THE QUARTER ENDED September 30, 2022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INDEX</w:t>
            </w:r>
          </w:p>
        </w:tc>
        <w:tc>
          <w:tcPr>
            <w:tcW w:w="120" w:type="dxa"/>
            <w:vAlign w:val="bottom"/>
          </w:tcPr>
          <w:p>
            <w:pPr>
              <w:spacing w:after="0"/>
              <w:rPr>
                <w:sz w:val="13"/>
                <w:szCs w:val="13"/>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7"/>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7"/>
              </w:rPr>
              <w:t>Item 1.</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Financial Statements</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Statements of Assets and Liabilities as of September 30, 2022 (unaudited) and December 31, 2021</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Statements of Operations for the three and nine months ended September 30, 2022 and 2021 (unaudited)</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Statements of Changes in Net Assets for the three and nine months ended September 30, 2022 and 2021 (unaudited)</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Statements of Cash Flows for the three and nine months ended September 30, 2022 and 2021 (unaudited)</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Schedule of Investments as of September 30, 2022 (unaudited)</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Schedule of Investments as of December 31, 2021</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Notes to Financial Statements (unaudited)</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7"/>
              </w:rPr>
              <w:t>Item 2.</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7"/>
              </w:rPr>
              <w:t>Item 3.</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7"/>
              </w:rPr>
              <w:t>Item 4.</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Controls and Procedures</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8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7"/>
              </w:rPr>
              <w:t>Item 1.</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Legal Proceedings</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160" w:type="dxa"/>
            <w:vAlign w:val="bottom"/>
            <w:gridSpan w:val="7"/>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Risk Factors</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7"/>
              </w:rPr>
              <w:t>Item 2.</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7"/>
              </w:rPr>
              <w:t>Item 3.</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7"/>
              </w:rPr>
              <w:t>Item 4.</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Mine Safety Disclosures</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7"/>
              </w:rPr>
              <w:t>Item 5.</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5"/>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w w:val="97"/>
              </w:rPr>
              <w:t>Item 6.</w:t>
            </w:r>
          </w:p>
        </w:tc>
        <w:tc>
          <w:tcPr>
            <w:tcW w:w="938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Exhibits</w:t>
            </w: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80" w:type="dxa"/>
            <w:vAlign w:val="bottom"/>
            <w:gridSpan w:val="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w w:val="97"/>
              </w:rPr>
              <w:t>SIGNATURES</w:t>
            </w: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952"/>
        </w:trPr>
        <w:tc>
          <w:tcPr>
            <w:tcW w:w="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7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94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10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Assets and Liabilities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199"/>
        </w:trPr>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1"/>
        </w:trPr>
        <w:tc>
          <w:tcPr>
            <w:tcW w:w="7560" w:type="dxa"/>
            <w:vAlign w:val="bottom"/>
            <w:shd w:val="clear" w:color="auto" w:fill="CFF0FC"/>
          </w:tcPr>
          <w:p>
            <w:pPr>
              <w:ind w:left="120"/>
              <w:spacing w:after="0" w:line="170" w:lineRule="exact"/>
              <w:rPr>
                <w:sz w:val="20"/>
                <w:szCs w:val="20"/>
                <w:color w:val="auto"/>
              </w:rPr>
            </w:pPr>
            <w:r>
              <w:rPr>
                <w:rFonts w:ascii="Times New Roman" w:cs="Times New Roman" w:eastAsia="Times New Roman" w:hAnsi="Times New Roman"/>
                <w:sz w:val="18"/>
                <w:szCs w:val="18"/>
                <w:color w:val="auto"/>
              </w:rPr>
              <w:t>Non-control/non-affiliate investments at fair value (cost of $910,870,337 and $647,448,895,</w:t>
            </w:r>
          </w:p>
        </w:tc>
        <w:tc>
          <w:tcPr>
            <w:tcW w:w="1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903,521,674</w:t>
            </w: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655,384,403</w:t>
            </w:r>
          </w:p>
        </w:tc>
        <w:tc>
          <w:tcPr>
            <w:tcW w:w="100" w:type="dxa"/>
            <w:vAlign w:val="bottom"/>
            <w:shd w:val="clear" w:color="auto" w:fill="CFF0FC"/>
          </w:tcPr>
          <w:p>
            <w:pPr>
              <w:spacing w:after="0"/>
              <w:rPr>
                <w:sz w:val="20"/>
                <w:szCs w:val="20"/>
                <w:color w:val="auto"/>
              </w:rPr>
            </w:pPr>
          </w:p>
        </w:tc>
      </w:tr>
      <w:tr>
        <w:trPr>
          <w:trHeight w:val="216"/>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Affiliate investments at fair value (cost of $4,551,235 and $0, respectively)</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2,180,230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Control investments at fair value (cost of $21,172,353 and $34,873,846, respectively)</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4,467,041</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29,130,371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 U.S. Treasury Bills at fair value (cost of $0 and $45,001,250, respectively)</w:t>
            </w:r>
          </w:p>
        </w:tc>
        <w:tc>
          <w:tcPr>
            <w:tcW w:w="12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45,001,500</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investments at fair value (cost of $936,593,925 and $727,323,991, respectively)</w:t>
            </w:r>
          </w:p>
        </w:tc>
        <w:tc>
          <w:tcPr>
            <w:tcW w:w="12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910,168,945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729,516,274</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5,774,074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4,696,693</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4,402,598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2,368,680</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1,823,611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816,065</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99,507</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949,768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922,268,735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738,347,480</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Credit facilities, net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170,009,357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59,864,489</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2026 Notes, net</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69,130,314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19,623,971</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2027 Notes, net</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97,405,095</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5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debt, less unamortized deferred debt costs</w:t>
            </w:r>
          </w:p>
        </w:tc>
        <w:tc>
          <w:tcPr>
            <w:tcW w:w="120" w:type="dxa"/>
            <w:vAlign w:val="bottom"/>
            <w:tcBorders>
              <w:top w:val="single" w:sz="8" w:color="CFF0FC"/>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336,544,766</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79,488,460</w:t>
            </w:r>
          </w:p>
        </w:tc>
        <w:tc>
          <w:tcPr>
            <w:tcW w:w="100" w:type="dxa"/>
            <w:vAlign w:val="bottom"/>
            <w:tcBorders>
              <w:top w:val="single" w:sz="8" w:color="CFF0FC"/>
            </w:tcBorders>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Reverse repurchase agreement</w:t>
            </w:r>
          </w:p>
        </w:tc>
        <w:tc>
          <w:tcPr>
            <w:tcW w:w="1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44,774,963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incentive fees</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7,188,966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6,010,250</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to affiliate</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261,180</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221,243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3,195,407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249,247</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1,418,045</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1,408,826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348,608,364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132,152,989</w:t>
            </w:r>
          </w:p>
        </w:tc>
        <w:tc>
          <w:tcPr>
            <w:tcW w:w="100" w:type="dxa"/>
            <w:vAlign w:val="bottom"/>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5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Commitments and contingencies (Note 3)</w:t>
            </w:r>
          </w:p>
        </w:tc>
        <w:tc>
          <w:tcPr>
            <w:tcW w:w="1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par value</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413,806</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413,806</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606,063,671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606,047,671</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Distributable (losses)</w:t>
            </w:r>
          </w:p>
        </w:tc>
        <w:tc>
          <w:tcPr>
            <w:tcW w:w="1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(23,515,173 )</w:t>
            </w:r>
          </w:p>
        </w:tc>
        <w:tc>
          <w:tcPr>
            <w:tcW w:w="1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(266,986 )</w:t>
            </w:r>
          </w:p>
        </w:tc>
      </w:tr>
      <w:tr>
        <w:trPr>
          <w:trHeight w:val="216"/>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stock</w:t>
            </w:r>
          </w:p>
        </w:tc>
        <w:tc>
          <w:tcPr>
            <w:tcW w:w="120" w:type="dxa"/>
            <w:vAlign w:val="bottom"/>
          </w:tcPr>
          <w:p>
            <w:pPr>
              <w:spacing w:after="0"/>
              <w:rPr>
                <w:sz w:val="18"/>
                <w:szCs w:val="18"/>
                <w:color w:val="auto"/>
              </w:rPr>
            </w:pPr>
          </w:p>
        </w:tc>
        <w:tc>
          <w:tcPr>
            <w:tcW w:w="1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(9,301,933 )</w:t>
            </w:r>
          </w:p>
        </w:tc>
        <w:tc>
          <w:tcPr>
            <w:tcW w:w="100" w:type="dxa"/>
            <w:vAlign w:val="bottom"/>
          </w:tcPr>
          <w:p>
            <w:pPr>
              <w:spacing w:after="0"/>
              <w:rPr>
                <w:sz w:val="18"/>
                <w:szCs w:val="18"/>
                <w:color w:val="auto"/>
              </w:rPr>
            </w:pP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573,660,371</w:t>
            </w:r>
          </w:p>
        </w:tc>
        <w:tc>
          <w:tcPr>
            <w:tcW w:w="2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606,194,491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of common stock outstanding ($0.01 par value, 100,000,000 shares authorized)</w:t>
            </w:r>
          </w:p>
        </w:tc>
        <w:tc>
          <w:tcPr>
            <w:tcW w:w="12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40,635,858</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41,380,614</w:t>
            </w:r>
          </w:p>
        </w:tc>
        <w:tc>
          <w:tcPr>
            <w:tcW w:w="100" w:type="dxa"/>
            <w:vAlign w:val="bottom"/>
            <w:shd w:val="clear" w:color="auto" w:fill="CFF0FC"/>
          </w:tcPr>
          <w:p>
            <w:pPr>
              <w:spacing w:after="0"/>
              <w:rPr>
                <w:sz w:val="18"/>
                <w:szCs w:val="18"/>
                <w:color w:val="auto"/>
              </w:rPr>
            </w:pP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 value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-3277235</wp:posOffset>
            </wp:positionV>
            <wp:extent cx="685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-3277235</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-2419985</wp:posOffset>
            </wp:positionV>
            <wp:extent cx="6858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-2419985</wp:posOffset>
            </wp:positionV>
            <wp:extent cx="6858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-1588135</wp:posOffset>
            </wp:positionV>
            <wp:extent cx="685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-1588135</wp:posOffset>
            </wp:positionV>
            <wp:extent cx="685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-448310</wp:posOffset>
            </wp:positionV>
            <wp:extent cx="126873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68730" cy="16256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11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2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5"/>
                <w:szCs w:val="15"/>
                <w:color w:val="auto"/>
              </w:rPr>
            </w:pPr>
          </w:p>
        </w:tc>
        <w:tc>
          <w:tcPr>
            <w:tcW w:w="3200" w:type="dxa"/>
            <w:vAlign w:val="bottom"/>
            <w:gridSpan w:val="5"/>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From non-control/non-affiliate investments:</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25,365,328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16,732,069</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61,749,677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47,542,136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in-kind interest income</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1,199,498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434,464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3,248,563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2,424,022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 income</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317,674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343,755</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1,020,766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1,031,265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Fee income</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445,399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982,190</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1,519,292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2,663,160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From affiliate investments:</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5"/>
                <w:szCs w:val="15"/>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 in-kind interest income</w:t>
            </w:r>
          </w:p>
        </w:tc>
        <w:tc>
          <w:tcPr>
            <w:tcW w:w="1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96,291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Fee income</w:t>
            </w:r>
          </w:p>
        </w:tc>
        <w:tc>
          <w:tcPr>
            <w:tcW w:w="120" w:type="dxa"/>
            <w:vAlign w:val="bottom"/>
          </w:tcPr>
          <w:p>
            <w:pPr>
              <w:spacing w:after="0"/>
              <w:rPr>
                <w:sz w:val="15"/>
                <w:szCs w:val="15"/>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From control investments:</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20" w:type="dxa"/>
            <w:vAlign w:val="bottom"/>
          </w:tcPr>
          <w:p>
            <w:pPr>
              <w:spacing w:after="0"/>
              <w:rPr>
                <w:sz w:val="15"/>
                <w:szCs w:val="15"/>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113,554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1,112,421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Payment in-kind interest income</w:t>
            </w:r>
          </w:p>
        </w:tc>
        <w:tc>
          <w:tcPr>
            <w:tcW w:w="12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2,984,450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12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4"/>
                <w:szCs w:val="14"/>
                <w:color w:val="auto"/>
              </w:rPr>
              <w:t>Total investment income</w:t>
            </w:r>
          </w:p>
        </w:tc>
        <w:tc>
          <w:tcPr>
            <w:tcW w:w="120" w:type="dxa"/>
            <w:vAlign w:val="bottom"/>
            <w:tcBorders>
              <w:bottom w:val="single" w:sz="8" w:color="CFF0FC"/>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27,328,704</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18,610,066</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71,745,693</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53,778,440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Management fees</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3,065,581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2,301,656</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8,487,820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6,647,207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Incentive fees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3,625,686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2,686,475</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8,590,821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6,498,482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3,588,289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812,852</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6,070,906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2,302,582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720,115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612,854</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1,968,036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1,433,360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Overhead allocation expense</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258,191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249,141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713,457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655,260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Insurance expense</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268,806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806,042</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Administration fee</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161,245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179,500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497,896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420,360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financing fees</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794,124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738,087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2,226,658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1,447,288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Directors' fees</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90,727</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67,750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261,727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201,750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120" w:type="dxa"/>
            <w:vAlign w:val="bottom"/>
          </w:tcPr>
          <w:p>
            <w:pPr>
              <w:spacing w:after="0"/>
              <w:rPr>
                <w:sz w:val="15"/>
                <w:szCs w:val="15"/>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expenses</w:t>
            </w:r>
          </w:p>
        </w:tc>
        <w:tc>
          <w:tcPr>
            <w:tcW w:w="120" w:type="dxa"/>
            <w:vAlign w:val="bottom"/>
            <w:tcBorders>
              <w:bottom w:val="single" w:sz="8" w:color="auto"/>
            </w:tcBorders>
            <w:shd w:val="clear" w:color="auto" w:fill="CFF0FC"/>
          </w:tcPr>
          <w:p>
            <w:pPr>
              <w:spacing w:after="0"/>
              <w:rPr>
                <w:sz w:val="15"/>
                <w:szCs w:val="15"/>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258,991</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197,540</w:t>
            </w:r>
          </w:p>
        </w:tc>
        <w:tc>
          <w:tcPr>
            <w:tcW w:w="2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685,841</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539,142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12,831,755</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7,868,942</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30,310,277</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20,215,110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20" w:type="dxa"/>
            <w:vAlign w:val="bottom"/>
            <w:shd w:val="clear" w:color="auto" w:fill="CFF0FC"/>
          </w:tcPr>
          <w:p>
            <w:pPr>
              <w:spacing w:after="0"/>
              <w:rPr>
                <w:sz w:val="14"/>
                <w:szCs w:val="14"/>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14,496,949</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10,741,124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41,435,416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33,563,330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and unrealized gain (loss) on investments</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40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Realized gain (loss) on non control/non-affiliate investments, including</w:t>
            </w:r>
          </w:p>
        </w:tc>
        <w:tc>
          <w:tcPr>
            <w:tcW w:w="120" w:type="dxa"/>
            <w:vAlign w:val="bottom"/>
            <w:shd w:val="clear" w:color="auto" w:fill="CFF0FC"/>
          </w:tcPr>
          <w:p>
            <w:pPr>
              <w:spacing w:after="0"/>
              <w:rPr>
                <w:sz w:val="12"/>
                <w:szCs w:val="12"/>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406,917</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718,310</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939,442</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5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(4,076,766 )</w:t>
            </w:r>
          </w:p>
        </w:tc>
        <w:tc>
          <w:tcPr>
            <w:tcW w:w="0" w:type="dxa"/>
            <w:vAlign w:val="bottom"/>
          </w:tcPr>
          <w:p>
            <w:pPr>
              <w:spacing w:after="0"/>
              <w:rPr>
                <w:sz w:val="1"/>
                <w:szCs w:val="1"/>
                <w:color w:val="auto"/>
              </w:rPr>
            </w:pPr>
          </w:p>
        </w:tc>
      </w:tr>
      <w:tr>
        <w:trPr>
          <w:trHeight w:val="185"/>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U.S. Treasury Bills</w:t>
            </w:r>
          </w:p>
        </w:tc>
        <w:tc>
          <w:tcPr>
            <w:tcW w:w="120" w:type="dxa"/>
            <w:vAlign w:val="bottom"/>
            <w:shd w:val="clear" w:color="auto" w:fill="CFF0FC"/>
          </w:tcPr>
          <w:p>
            <w:pPr>
              <w:spacing w:after="0"/>
              <w:rPr>
                <w:sz w:val="16"/>
                <w:szCs w:val="16"/>
                <w:color w:val="auto"/>
              </w:rPr>
            </w:pPr>
          </w:p>
        </w:tc>
        <w:tc>
          <w:tcPr>
            <w:tcW w:w="138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Realized gain (loss) on control investments</w:t>
            </w:r>
          </w:p>
        </w:tc>
        <w:tc>
          <w:tcPr>
            <w:tcW w:w="120" w:type="dxa"/>
            <w:vAlign w:val="bottom"/>
          </w:tcPr>
          <w:p>
            <w:pPr>
              <w:spacing w:after="0"/>
              <w:rPr>
                <w:sz w:val="15"/>
                <w:szCs w:val="15"/>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(65 )</w:t>
            </w:r>
          </w:p>
        </w:tc>
        <w:tc>
          <w:tcPr>
            <w:tcW w:w="100" w:type="dxa"/>
            <w:vAlign w:val="bottom"/>
          </w:tcPr>
          <w:p>
            <w:pPr>
              <w:spacing w:after="0"/>
              <w:rPr>
                <w:sz w:val="15"/>
                <w:szCs w:val="15"/>
                <w:color w:val="auto"/>
              </w:rPr>
            </w:pPr>
          </w:p>
        </w:tc>
        <w:tc>
          <w:tcPr>
            <w:tcW w:w="15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4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406,917</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718,310</w:t>
            </w: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939,377</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(4,076,766</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33"/>
        </w:trPr>
        <w:tc>
          <w:tcPr>
            <w:tcW w:w="4400" w:type="dxa"/>
            <w:vAlign w:val="bottom"/>
          </w:tcPr>
          <w:p>
            <w:pPr>
              <w:ind w:left="120"/>
              <w:spacing w:after="0" w:line="133" w:lineRule="exact"/>
              <w:rPr>
                <w:sz w:val="20"/>
                <w:szCs w:val="20"/>
                <w:color w:val="auto"/>
              </w:rPr>
            </w:pPr>
            <w:r>
              <w:rPr>
                <w:rFonts w:ascii="Times New Roman" w:cs="Times New Roman" w:eastAsia="Times New Roman" w:hAnsi="Times New Roman"/>
                <w:sz w:val="14"/>
                <w:szCs w:val="14"/>
                <w:color w:val="auto"/>
              </w:rPr>
              <w:t>Net change in unrealized appreciation (depreciation) on non</w:t>
            </w:r>
          </w:p>
        </w:tc>
        <w:tc>
          <w:tcPr>
            <w:tcW w:w="120" w:type="dxa"/>
            <w:vAlign w:val="bottom"/>
          </w:tcPr>
          <w:p>
            <w:pPr>
              <w:spacing w:after="0"/>
              <w:rPr>
                <w:sz w:val="11"/>
                <w:szCs w:val="11"/>
                <w:color w:val="auto"/>
              </w:rPr>
            </w:pPr>
          </w:p>
        </w:tc>
        <w:tc>
          <w:tcPr>
            <w:tcW w:w="1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(1,956,044 )</w:t>
            </w:r>
          </w:p>
        </w:tc>
        <w:tc>
          <w:tcPr>
            <w:tcW w:w="120" w:type="dxa"/>
            <w:vAlign w:val="bottom"/>
          </w:tcPr>
          <w:p>
            <w:pPr>
              <w:spacing w:after="0"/>
              <w:rPr>
                <w:sz w:val="11"/>
                <w:szCs w:val="11"/>
                <w:color w:val="auto"/>
              </w:rPr>
            </w:pPr>
          </w:p>
        </w:tc>
        <w:tc>
          <w:tcPr>
            <w:tcW w:w="16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(6,857,594 )</w:t>
            </w:r>
          </w:p>
        </w:tc>
        <w:tc>
          <w:tcPr>
            <w:tcW w:w="100" w:type="dxa"/>
            <w:vAlign w:val="bottom"/>
          </w:tcPr>
          <w:p>
            <w:pPr>
              <w:spacing w:after="0"/>
              <w:rPr>
                <w:sz w:val="11"/>
                <w:szCs w:val="11"/>
                <w:color w:val="auto"/>
              </w:rPr>
            </w:pPr>
          </w:p>
        </w:tc>
        <w:tc>
          <w:tcPr>
            <w:tcW w:w="1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(14,275,206 )</w:t>
            </w:r>
          </w:p>
        </w:tc>
        <w:tc>
          <w:tcPr>
            <w:tcW w:w="100" w:type="dxa"/>
            <w:vAlign w:val="bottom"/>
          </w:tcPr>
          <w:p>
            <w:pPr>
              <w:spacing w:after="0"/>
              <w:rPr>
                <w:sz w:val="11"/>
                <w:szCs w:val="11"/>
                <w:color w:val="auto"/>
              </w:rPr>
            </w:pP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(10,979,143 )</w:t>
            </w:r>
          </w:p>
        </w:tc>
        <w:tc>
          <w:tcPr>
            <w:tcW w:w="0" w:type="dxa"/>
            <w:vAlign w:val="bottom"/>
          </w:tcPr>
          <w:p>
            <w:pPr>
              <w:spacing w:after="0"/>
              <w:rPr>
                <w:sz w:val="1"/>
                <w:szCs w:val="1"/>
                <w:color w:val="auto"/>
              </w:rPr>
            </w:pPr>
          </w:p>
        </w:tc>
      </w:tr>
      <w:tr>
        <w:trPr>
          <w:trHeight w:val="185"/>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control/non-affiliate investments, including U.S. Treasury Bills</w:t>
            </w:r>
          </w:p>
        </w:tc>
        <w:tc>
          <w:tcPr>
            <w:tcW w:w="1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0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change in unrealized appreciation (depreciation) on affiliate</w:t>
            </w:r>
          </w:p>
        </w:tc>
        <w:tc>
          <w:tcPr>
            <w:tcW w:w="120" w:type="dxa"/>
            <w:vAlign w:val="bottom"/>
            <w:shd w:val="clear" w:color="auto" w:fill="CFF0FC"/>
          </w:tcPr>
          <w:p>
            <w:pPr>
              <w:spacing w:after="0"/>
              <w:rPr>
                <w:sz w:val="12"/>
                <w:szCs w:val="12"/>
                <w:color w:val="auto"/>
              </w:rPr>
            </w:pPr>
          </w:p>
        </w:tc>
        <w:tc>
          <w:tcPr>
            <w:tcW w:w="16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(171,789 )</w:t>
            </w:r>
          </w:p>
        </w:tc>
        <w:tc>
          <w:tcPr>
            <w:tcW w:w="120" w:type="dxa"/>
            <w:vAlign w:val="bottom"/>
            <w:shd w:val="clear" w:color="auto" w:fill="CFF0FC"/>
          </w:tcPr>
          <w:p>
            <w:pPr>
              <w:spacing w:after="0"/>
              <w:rPr>
                <w:sz w:val="12"/>
                <w:szCs w:val="12"/>
                <w:color w:val="auto"/>
              </w:rPr>
            </w:pPr>
          </w:p>
        </w:tc>
        <w:tc>
          <w:tcPr>
            <w:tcW w:w="16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(3,380,221 )</w:t>
            </w:r>
          </w:p>
        </w:tc>
        <w:tc>
          <w:tcPr>
            <w:tcW w:w="100" w:type="dxa"/>
            <w:vAlign w:val="bottom"/>
            <w:shd w:val="clear" w:color="auto" w:fill="CFF0FC"/>
          </w:tcPr>
          <w:p>
            <w:pPr>
              <w:spacing w:after="0"/>
              <w:rPr>
                <w:sz w:val="12"/>
                <w:szCs w:val="12"/>
                <w:color w:val="auto"/>
              </w:rPr>
            </w:pPr>
          </w:p>
        </w:tc>
        <w:tc>
          <w:tcPr>
            <w:tcW w:w="150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4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shd w:val="clear" w:color="auto" w:fill="CFF0FC"/>
          </w:tcPr>
          <w:p>
            <w:pPr>
              <w:spacing w:after="0"/>
              <w:rPr>
                <w:sz w:val="16"/>
                <w:szCs w:val="16"/>
                <w:color w:val="auto"/>
              </w:rPr>
            </w:pPr>
          </w:p>
        </w:tc>
        <w:tc>
          <w:tcPr>
            <w:tcW w:w="16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40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change in unrealized appreciation (depreciation) on control</w:t>
            </w:r>
          </w:p>
        </w:tc>
        <w:tc>
          <w:tcPr>
            <w:tcW w:w="120" w:type="dxa"/>
            <w:vAlign w:val="bottom"/>
          </w:tcPr>
          <w:p>
            <w:pPr>
              <w:spacing w:after="0"/>
              <w:rPr>
                <w:sz w:val="12"/>
                <w:szCs w:val="12"/>
                <w:color w:val="auto"/>
              </w:rPr>
            </w:pPr>
          </w:p>
        </w:tc>
        <w:tc>
          <w:tcPr>
            <w:tcW w:w="16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(1,054,260 )</w:t>
            </w:r>
          </w:p>
        </w:tc>
        <w:tc>
          <w:tcPr>
            <w:tcW w:w="12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5,629,212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(10,961,836 )</w:t>
            </w:r>
          </w:p>
        </w:tc>
        <w:tc>
          <w:tcPr>
            <w:tcW w:w="100" w:type="dxa"/>
            <w:vAlign w:val="bottom"/>
          </w:tcPr>
          <w:p>
            <w:pPr>
              <w:spacing w:after="0"/>
              <w:rPr>
                <w:sz w:val="12"/>
                <w:szCs w:val="1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7,806,302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1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40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Net change in unrealized appreciation (depreciation) on investments and</w:t>
            </w:r>
          </w:p>
        </w:tc>
        <w:tc>
          <w:tcPr>
            <w:tcW w:w="120" w:type="dxa"/>
            <w:vAlign w:val="bottom"/>
            <w:shd w:val="clear" w:color="auto" w:fill="CFF0FC"/>
          </w:tcPr>
          <w:p>
            <w:pPr>
              <w:spacing w:after="0"/>
              <w:rPr>
                <w:sz w:val="11"/>
                <w:szCs w:val="11"/>
                <w:color w:val="auto"/>
              </w:rPr>
            </w:pPr>
          </w:p>
        </w:tc>
        <w:tc>
          <w:tcPr>
            <w:tcW w:w="16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(3,182,093 )</w:t>
            </w:r>
          </w:p>
        </w:tc>
        <w:tc>
          <w:tcPr>
            <w:tcW w:w="120" w:type="dxa"/>
            <w:vAlign w:val="bottom"/>
            <w:shd w:val="clear" w:color="auto" w:fill="CFF0FC"/>
          </w:tcPr>
          <w:p>
            <w:pPr>
              <w:spacing w:after="0"/>
              <w:rPr>
                <w:sz w:val="11"/>
                <w:szCs w:val="11"/>
                <w:color w:val="auto"/>
              </w:rPr>
            </w:pPr>
          </w:p>
        </w:tc>
        <w:tc>
          <w:tcPr>
            <w:tcW w:w="16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(1,228,382 )</w:t>
            </w:r>
          </w:p>
        </w:tc>
        <w:tc>
          <w:tcPr>
            <w:tcW w:w="100" w:type="dxa"/>
            <w:vAlign w:val="bottom"/>
            <w:shd w:val="clear" w:color="auto" w:fill="CFF0FC"/>
          </w:tcPr>
          <w:p>
            <w:pPr>
              <w:spacing w:after="0"/>
              <w:rPr>
                <w:sz w:val="11"/>
                <w:szCs w:val="11"/>
                <w:color w:val="auto"/>
              </w:rPr>
            </w:pPr>
          </w:p>
        </w:tc>
        <w:tc>
          <w:tcPr>
            <w:tcW w:w="16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(28,617,263 )</w:t>
            </w:r>
          </w:p>
        </w:tc>
        <w:tc>
          <w:tcPr>
            <w:tcW w:w="100" w:type="dxa"/>
            <w:vAlign w:val="bottom"/>
            <w:shd w:val="clear" w:color="auto" w:fill="CFF0FC"/>
          </w:tcPr>
          <w:p>
            <w:pPr>
              <w:spacing w:after="0"/>
              <w:rPr>
                <w:sz w:val="11"/>
                <w:szCs w:val="11"/>
                <w:color w:val="auto"/>
              </w:rPr>
            </w:pPr>
          </w:p>
        </w:tc>
        <w:tc>
          <w:tcPr>
            <w:tcW w:w="15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(3,172,841 )</w:t>
            </w:r>
          </w:p>
        </w:tc>
        <w:tc>
          <w:tcPr>
            <w:tcW w:w="0" w:type="dxa"/>
            <w:vAlign w:val="bottom"/>
          </w:tcPr>
          <w:p>
            <w:pPr>
              <w:spacing w:after="0"/>
              <w:rPr>
                <w:sz w:val="1"/>
                <w:szCs w:val="1"/>
                <w:color w:val="auto"/>
              </w:rPr>
            </w:pPr>
          </w:p>
        </w:tc>
      </w:tr>
      <w:tr>
        <w:trPr>
          <w:trHeight w:val="191"/>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Bills</w:t>
            </w:r>
          </w:p>
        </w:tc>
        <w:tc>
          <w:tcPr>
            <w:tcW w:w="120" w:type="dxa"/>
            <w:vAlign w:val="bottom"/>
            <w:shd w:val="clear" w:color="auto" w:fill="CFF0FC"/>
          </w:tcPr>
          <w:p>
            <w:pPr>
              <w:spacing w:after="0"/>
              <w:rPr>
                <w:sz w:val="16"/>
                <w:szCs w:val="16"/>
                <w:color w:val="auto"/>
              </w:rPr>
            </w:pPr>
          </w:p>
        </w:tc>
        <w:tc>
          <w:tcPr>
            <w:tcW w:w="16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0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40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11,721,773</w:t>
            </w:r>
          </w:p>
        </w:tc>
        <w:tc>
          <w:tcPr>
            <w:tcW w:w="26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10,231,052</w:t>
            </w:r>
          </w:p>
        </w:tc>
        <w:tc>
          <w:tcPr>
            <w:tcW w:w="26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13,757,530</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26,313,723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0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increase in net assets resulting from operations per common share</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0.29</w:t>
            </w: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0.31</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0.33</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0.81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income per common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w:t>
            </w: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40,774,154</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33,160,481</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41,119,467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32,360,107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-3445510</wp:posOffset>
            </wp:positionV>
            <wp:extent cx="7747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-3445510</wp:posOffset>
            </wp:positionV>
            <wp:extent cx="6858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-3445510</wp:posOffset>
            </wp:positionV>
            <wp:extent cx="6858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-2099945</wp:posOffset>
            </wp:positionV>
            <wp:extent cx="77470"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-2099945</wp:posOffset>
            </wp:positionV>
            <wp:extent cx="6858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-2099945</wp:posOffset>
            </wp:positionV>
            <wp:extent cx="6858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-2099945</wp:posOffset>
            </wp:positionV>
            <wp:extent cx="6858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-1310640</wp:posOffset>
            </wp:positionV>
            <wp:extent cx="7747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21463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-1310640</wp:posOffset>
            </wp:positionV>
            <wp:extent cx="68580" cy="2146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-1310640</wp:posOffset>
            </wp:positionV>
            <wp:extent cx="68580" cy="2146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-487680</wp:posOffset>
            </wp:positionV>
            <wp:extent cx="7747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-487680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-487680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20" w:type="dxa"/>
            <w:vAlign w:val="bottom"/>
            <w:gridSpan w:val="5"/>
          </w:tcPr>
          <w:p>
            <w:pPr>
              <w:jc w:val="right"/>
              <w:ind w:right="78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5"/>
                <w:szCs w:val="15"/>
                <w:color w:val="auto"/>
              </w:rPr>
            </w:pPr>
          </w:p>
        </w:tc>
        <w:tc>
          <w:tcPr>
            <w:tcW w:w="3000" w:type="dxa"/>
            <w:vAlign w:val="bottom"/>
            <w:gridSpan w:val="5"/>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Increase (decrease) in net assets from operations:</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investment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14,496,949</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10,741,124</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41,435,416</w:t>
            </w:r>
          </w:p>
        </w:tc>
        <w:tc>
          <w:tcPr>
            <w:tcW w:w="260" w:type="dxa"/>
            <w:vAlign w:val="bottom"/>
          </w:tcPr>
          <w:p>
            <w:pPr>
              <w:spacing w:after="0"/>
              <w:rPr>
                <w:sz w:val="18"/>
                <w:szCs w:val="18"/>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33,563,330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2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Realized gain (loss) on non control/non-affiliate</w:t>
            </w:r>
          </w:p>
        </w:tc>
        <w:tc>
          <w:tcPr>
            <w:tcW w:w="3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including U.S. Treasury Bills</w:t>
            </w:r>
          </w:p>
        </w:tc>
        <w:tc>
          <w:tcPr>
            <w:tcW w:w="3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406,917</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718,310</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939,442</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(4,076,766 )</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gain (loss) on control investments</w:t>
            </w:r>
          </w:p>
        </w:tc>
        <w:tc>
          <w:tcPr>
            <w:tcW w:w="340" w:type="dxa"/>
            <w:vAlign w:val="bottom"/>
          </w:tcPr>
          <w:p>
            <w:pPr>
              <w:spacing w:after="0"/>
              <w:rPr>
                <w:sz w:val="18"/>
                <w:szCs w:val="18"/>
                <w:color w:val="auto"/>
              </w:rPr>
            </w:pP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(65 )</w:t>
            </w:r>
          </w:p>
        </w:tc>
        <w:tc>
          <w:tcPr>
            <w:tcW w:w="36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2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Net change in unrealized appreciation (depreciation) on</w:t>
            </w:r>
          </w:p>
        </w:tc>
        <w:tc>
          <w:tcPr>
            <w:tcW w:w="3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80" w:type="dxa"/>
            <w:vAlign w:val="bottom"/>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non control/non-affiliate investments, including U.S.</w:t>
            </w:r>
          </w:p>
        </w:tc>
        <w:tc>
          <w:tcPr>
            <w:tcW w:w="34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Bills</w:t>
            </w:r>
          </w:p>
        </w:tc>
        <w:tc>
          <w:tcPr>
            <w:tcW w:w="3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(1,956,044 )</w:t>
            </w:r>
          </w:p>
        </w:tc>
        <w:tc>
          <w:tcPr>
            <w:tcW w:w="3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1"/>
              <w:spacing w:after="0"/>
              <w:rPr>
                <w:sz w:val="20"/>
                <w:szCs w:val="20"/>
                <w:color w:val="auto"/>
              </w:rPr>
            </w:pPr>
            <w:r>
              <w:rPr>
                <w:rFonts w:ascii="Times New Roman" w:cs="Times New Roman" w:eastAsia="Times New Roman" w:hAnsi="Times New Roman"/>
                <w:sz w:val="18"/>
                <w:szCs w:val="18"/>
                <w:color w:val="auto"/>
              </w:rPr>
              <w:t>(6,857,594 )</w:t>
            </w:r>
          </w:p>
        </w:tc>
        <w:tc>
          <w:tcPr>
            <w:tcW w:w="30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(14,275,206 )</w:t>
            </w:r>
          </w:p>
        </w:tc>
        <w:tc>
          <w:tcPr>
            <w:tcW w:w="36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(10,979,143 )</w:t>
            </w:r>
          </w:p>
        </w:tc>
        <w:tc>
          <w:tcPr>
            <w:tcW w:w="0" w:type="dxa"/>
            <w:vAlign w:val="bottom"/>
          </w:tcPr>
          <w:p>
            <w:pPr>
              <w:spacing w:after="0"/>
              <w:rPr>
                <w:sz w:val="1"/>
                <w:szCs w:val="1"/>
                <w:color w:val="auto"/>
              </w:rPr>
            </w:pPr>
          </w:p>
        </w:tc>
      </w:tr>
      <w:tr>
        <w:trPr>
          <w:trHeight w:val="171"/>
        </w:trPr>
        <w:tc>
          <w:tcPr>
            <w:tcW w:w="42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Net change in unrealized appreciation (depreciation) on</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 investments</w:t>
            </w:r>
          </w:p>
        </w:tc>
        <w:tc>
          <w:tcPr>
            <w:tcW w:w="340" w:type="dxa"/>
            <w:vAlign w:val="bottom"/>
          </w:tcPr>
          <w:p>
            <w:pPr>
              <w:spacing w:after="0"/>
              <w:rPr>
                <w:sz w:val="20"/>
                <w:szCs w:val="20"/>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(171,789 )</w:t>
            </w:r>
          </w:p>
        </w:tc>
        <w:tc>
          <w:tcPr>
            <w:tcW w:w="360" w:type="dxa"/>
            <w:vAlign w:val="bottom"/>
          </w:tcPr>
          <w:p>
            <w:pPr>
              <w:spacing w:after="0"/>
              <w:rPr>
                <w:sz w:val="20"/>
                <w:szCs w:val="20"/>
                <w:color w:val="auto"/>
              </w:rPr>
            </w:pP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(3,380,221 )</w:t>
            </w:r>
          </w:p>
        </w:tc>
        <w:tc>
          <w:tcPr>
            <w:tcW w:w="360" w:type="dxa"/>
            <w:vAlign w:val="bottom"/>
          </w:tcPr>
          <w:p>
            <w:pPr>
              <w:spacing w:after="0"/>
              <w:rPr>
                <w:sz w:val="20"/>
                <w:szCs w:val="20"/>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1"/>
        </w:trPr>
        <w:tc>
          <w:tcPr>
            <w:tcW w:w="4280" w:type="dxa"/>
            <w:vAlign w:val="bottom"/>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Net change in unrealized appreciation (depreciation) on</w:t>
            </w:r>
          </w:p>
        </w:tc>
        <w:tc>
          <w:tcPr>
            <w:tcW w:w="340" w:type="dxa"/>
            <w:vAlign w:val="bottom"/>
            <w:shd w:val="clear" w:color="auto" w:fill="CFF0FC"/>
          </w:tcPr>
          <w:p>
            <w:pPr>
              <w:spacing w:after="0"/>
              <w:rPr>
                <w:sz w:val="14"/>
                <w:szCs w:val="14"/>
                <w:color w:val="auto"/>
              </w:rPr>
            </w:pPr>
          </w:p>
        </w:tc>
        <w:tc>
          <w:tcPr>
            <w:tcW w:w="1520" w:type="dxa"/>
            <w:vAlign w:val="bottom"/>
            <w:gridSpan w:val="2"/>
            <w:vMerge w:val="restart"/>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(1,054,260 )</w:t>
            </w:r>
          </w:p>
        </w:tc>
        <w:tc>
          <w:tcPr>
            <w:tcW w:w="360" w:type="dxa"/>
            <w:vAlign w:val="bottom"/>
            <w:shd w:val="clear" w:color="auto" w:fill="CFF0FC"/>
          </w:tcPr>
          <w:p>
            <w:pPr>
              <w:spacing w:after="0"/>
              <w:rPr>
                <w:sz w:val="14"/>
                <w:szCs w:val="14"/>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5,629,212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380" w:type="dxa"/>
            <w:vAlign w:val="bottom"/>
            <w:gridSpan w:val="2"/>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(10,961,836 )</w:t>
            </w:r>
          </w:p>
        </w:tc>
        <w:tc>
          <w:tcPr>
            <w:tcW w:w="36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7,806,302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control investments</w:t>
            </w:r>
          </w:p>
        </w:tc>
        <w:tc>
          <w:tcPr>
            <w:tcW w:w="340" w:type="dxa"/>
            <w:vAlign w:val="bottom"/>
            <w:shd w:val="clear" w:color="auto" w:fill="CFF0FC"/>
          </w:tcPr>
          <w:p>
            <w:pPr>
              <w:spacing w:after="0"/>
              <w:rPr>
                <w:sz w:val="19"/>
                <w:szCs w:val="19"/>
                <w:color w:val="auto"/>
              </w:rPr>
            </w:pPr>
          </w:p>
        </w:tc>
        <w:tc>
          <w:tcPr>
            <w:tcW w:w="1520" w:type="dxa"/>
            <w:vAlign w:val="bottom"/>
            <w:gridSpan w:val="2"/>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11,721,773</w:t>
            </w:r>
          </w:p>
        </w:tc>
        <w:tc>
          <w:tcPr>
            <w:tcW w:w="28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10,231,052</w:t>
            </w: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13,757,530</w:t>
            </w: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26,313,723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Distributions to stockholders from:</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4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(13,450,710 )</w:t>
            </w:r>
          </w:p>
        </w:tc>
        <w:tc>
          <w:tcPr>
            <w:tcW w:w="36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(11,114,754 )</w:t>
            </w:r>
          </w:p>
        </w:tc>
        <w:tc>
          <w:tcPr>
            <w:tcW w:w="30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(37,005,717 )</w:t>
            </w: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(34,597,684 )</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distributions to stockholders</w:t>
            </w: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(13,450,710</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(11,114,754</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(37,005,717</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(34,597,684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shares of common stock</w:t>
            </w: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18,976,917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19,283,828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4280" w:type="dxa"/>
            <w:vAlign w:val="bottom"/>
          </w:tcPr>
          <w:p>
            <w:pPr>
              <w:ind w:left="20"/>
              <w:spacing w:after="0" w:line="170" w:lineRule="exact"/>
              <w:rPr>
                <w:sz w:val="20"/>
                <w:szCs w:val="20"/>
                <w:color w:val="auto"/>
              </w:rPr>
            </w:pPr>
            <w:r>
              <w:rPr>
                <w:rFonts w:ascii="Times New Roman" w:cs="Times New Roman" w:eastAsia="Times New Roman" w:hAnsi="Times New Roman"/>
                <w:sz w:val="18"/>
                <w:szCs w:val="18"/>
                <w:color w:val="auto"/>
              </w:rPr>
              <w:t>Issuance of common stock under dividend reinvestment</w:t>
            </w: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w:t>
            </w:r>
          </w:p>
        </w:tc>
        <w:tc>
          <w:tcPr>
            <w:tcW w:w="340" w:type="dxa"/>
            <w:vAlign w:val="bottom"/>
          </w:tcPr>
          <w:p>
            <w:pPr>
              <w:spacing w:after="0"/>
              <w:rPr>
                <w:sz w:val="20"/>
                <w:szCs w:val="20"/>
                <w:color w:val="auto"/>
              </w:rPr>
            </w:pPr>
          </w:p>
        </w:tc>
        <w:tc>
          <w:tcPr>
            <w:tcW w:w="15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8,401,215</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26,994,806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(4,022,696 )</w:t>
            </w:r>
          </w:p>
        </w:tc>
        <w:tc>
          <w:tcPr>
            <w:tcW w:w="3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(9,301,933 )</w:t>
            </w: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 costs</w:t>
            </w: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(32,542 )</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(37,373 )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80" w:type="dxa"/>
            <w:vAlign w:val="bottom"/>
            <w:shd w:val="clear" w:color="auto" w:fill="CFF0FC"/>
          </w:tcPr>
          <w:p>
            <w:pPr>
              <w:ind w:left="20"/>
              <w:spacing w:after="0" w:line="160" w:lineRule="exact"/>
              <w:rPr>
                <w:sz w:val="20"/>
                <w:szCs w:val="20"/>
                <w:color w:val="auto"/>
              </w:rPr>
            </w:pPr>
            <w:r>
              <w:rPr>
                <w:rFonts w:ascii="Times New Roman" w:cs="Times New Roman" w:eastAsia="Times New Roman" w:hAnsi="Times New Roman"/>
                <w:sz w:val="18"/>
                <w:szCs w:val="18"/>
                <w:b w:val="1"/>
                <w:bCs w:val="1"/>
                <w:color w:val="auto"/>
              </w:rPr>
              <w:t>Net increase (decrease) in net assets resulting from</w:t>
            </w:r>
          </w:p>
        </w:tc>
        <w:tc>
          <w:tcPr>
            <w:tcW w:w="340" w:type="dxa"/>
            <w:vAlign w:val="bottom"/>
            <w:shd w:val="clear" w:color="auto" w:fill="CFF0FC"/>
          </w:tcPr>
          <w:p>
            <w:pPr>
              <w:spacing w:after="0"/>
              <w:rPr>
                <w:sz w:val="13"/>
                <w:szCs w:val="13"/>
                <w:color w:val="auto"/>
              </w:rPr>
            </w:pPr>
          </w:p>
        </w:tc>
        <w:tc>
          <w:tcPr>
            <w:tcW w:w="1520" w:type="dxa"/>
            <w:vAlign w:val="bottom"/>
            <w:gridSpan w:val="2"/>
            <w:vMerge w:val="restart"/>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(4,022,696 )</w:t>
            </w:r>
          </w:p>
        </w:tc>
        <w:tc>
          <w:tcPr>
            <w:tcW w:w="360" w:type="dxa"/>
            <w:vAlign w:val="bottom"/>
            <w:shd w:val="clear" w:color="auto" w:fill="CFF0FC"/>
          </w:tcPr>
          <w:p>
            <w:pPr>
              <w:spacing w:after="0"/>
              <w:rPr>
                <w:sz w:val="13"/>
                <w:szCs w:val="13"/>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27,345,590</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80" w:type="dxa"/>
            <w:vAlign w:val="bottom"/>
            <w:gridSpan w:val="2"/>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(9,285,933 )</w:t>
            </w:r>
          </w:p>
        </w:tc>
        <w:tc>
          <w:tcPr>
            <w:tcW w:w="360" w:type="dxa"/>
            <w:vAlign w:val="bottom"/>
            <w:shd w:val="clear" w:color="auto" w:fill="CFF0FC"/>
          </w:tcPr>
          <w:p>
            <w:pPr>
              <w:spacing w:after="0"/>
              <w:rPr>
                <w:sz w:val="13"/>
                <w:szCs w:val="13"/>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46,241,261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share transactions</w:t>
            </w:r>
          </w:p>
        </w:tc>
        <w:tc>
          <w:tcPr>
            <w:tcW w:w="340" w:type="dxa"/>
            <w:vAlign w:val="bottom"/>
            <w:shd w:val="clear" w:color="auto" w:fill="CFF0FC"/>
          </w:tcPr>
          <w:p>
            <w:pPr>
              <w:spacing w:after="0"/>
              <w:rPr>
                <w:sz w:val="19"/>
                <w:szCs w:val="19"/>
                <w:color w:val="auto"/>
              </w:rPr>
            </w:pPr>
          </w:p>
        </w:tc>
        <w:tc>
          <w:tcPr>
            <w:tcW w:w="1520" w:type="dxa"/>
            <w:vAlign w:val="bottom"/>
            <w:gridSpan w:val="2"/>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increase (decrease) in net assets</w:t>
            </w:r>
          </w:p>
        </w:tc>
        <w:tc>
          <w:tcPr>
            <w:tcW w:w="34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(5,751,633 )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26,461,888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(32,534,120 )</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37,957,300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at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579,412,004</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477,739,097</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606,194,491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466,243,685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at end of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573,660,371</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504,200,985</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573,660,371</w:t>
            </w:r>
          </w:p>
        </w:tc>
        <w:tc>
          <w:tcPr>
            <w:tcW w:w="260" w:type="dxa"/>
            <w:vAlign w:val="bottom"/>
          </w:tcPr>
          <w:p>
            <w:pPr>
              <w:spacing w:after="0"/>
              <w:rPr>
                <w:sz w:val="18"/>
                <w:szCs w:val="18"/>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504,200,985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 share activity</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issued</w:t>
            </w: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1,840,160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3,116,563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shares acquired</w:t>
            </w:r>
          </w:p>
        </w:tc>
        <w:tc>
          <w:tcPr>
            <w:tcW w:w="34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(331,264 )</w:t>
            </w:r>
          </w:p>
        </w:tc>
        <w:tc>
          <w:tcPr>
            <w:tcW w:w="360" w:type="dxa"/>
            <w:vAlign w:val="bottom"/>
          </w:tcPr>
          <w:p>
            <w:pPr>
              <w:spacing w:after="0"/>
              <w:rPr>
                <w:sz w:val="18"/>
                <w:szCs w:val="18"/>
                <w:color w:val="auto"/>
              </w:rPr>
            </w:pPr>
          </w:p>
        </w:tc>
        <w:tc>
          <w:tcPr>
            <w:tcW w:w="14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(744,756 )</w:t>
            </w:r>
          </w:p>
        </w:tc>
        <w:tc>
          <w:tcPr>
            <w:tcW w:w="36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outstanding at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40,967,122</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32,690,454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41,380,614</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31,414,051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Shares outstanding at end of period</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40,635,858</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34,530,614</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40,635,858</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34,530,614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-2956560</wp:posOffset>
            </wp:positionV>
            <wp:extent cx="7747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-2956560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-2956560</wp:posOffset>
            </wp:positionV>
            <wp:extent cx="6858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-2956560</wp:posOffset>
            </wp:positionV>
            <wp:extent cx="6858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-2382520</wp:posOffset>
            </wp:positionV>
            <wp:extent cx="7747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-2382520</wp:posOffset>
            </wp:positionV>
            <wp:extent cx="6858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-2382520</wp:posOffset>
            </wp:positionV>
            <wp:extent cx="6858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-2382520</wp:posOffset>
            </wp:positionV>
            <wp:extent cx="6858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-1310640</wp:posOffset>
            </wp:positionV>
            <wp:extent cx="7747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-1310640</wp:posOffset>
            </wp:positionV>
            <wp:extent cx="6858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-1310640</wp:posOffset>
            </wp:positionV>
            <wp:extent cx="6858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-1028065</wp:posOffset>
            </wp:positionV>
            <wp:extent cx="7747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-1028065</wp:posOffset>
            </wp:positionV>
            <wp:extent cx="685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-1028065</wp:posOffset>
            </wp:positionV>
            <wp:extent cx="6858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-170815</wp:posOffset>
            </wp:positionV>
            <wp:extent cx="7747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-170815</wp:posOffset>
            </wp:positionV>
            <wp:extent cx="6858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60" w:type="dxa"/>
            <w:vAlign w:val="bottom"/>
            <w:gridSpan w:val="5"/>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9"/>
        </w:trPr>
        <w:tc>
          <w:tcPr>
            <w:tcW w:w="75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r>
      <w:tr>
        <w:trPr>
          <w:trHeight w:val="209"/>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13,757,530</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26,313,723</w:t>
            </w:r>
          </w:p>
        </w:tc>
        <w:tc>
          <w:tcPr>
            <w:tcW w:w="100" w:type="dxa"/>
            <w:vAlign w:val="bottom"/>
          </w:tcPr>
          <w:p>
            <w:pPr>
              <w:spacing w:after="0"/>
              <w:rPr>
                <w:sz w:val="18"/>
                <w:szCs w:val="18"/>
                <w:color w:val="auto"/>
              </w:rPr>
            </w:pPr>
          </w:p>
        </w:tc>
      </w:tr>
      <w:tr>
        <w:trPr>
          <w:trHeight w:val="171"/>
        </w:trPr>
        <w:tc>
          <w:tcPr>
            <w:tcW w:w="758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Adjustments to reconcile net increase in net assets resulting from operations to net cash provided by</w:t>
            </w:r>
          </w:p>
        </w:tc>
        <w:tc>
          <w:tcPr>
            <w:tcW w:w="4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34"/>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4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investments</w:t>
            </w:r>
          </w:p>
        </w:tc>
        <w:tc>
          <w:tcPr>
            <w:tcW w:w="40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(392,835,343 )</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(237,031,073 )</w:t>
            </w: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Purchases of U.S. Treasury Bills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(115,000,509 )</w:t>
            </w: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 in-kind interest</w:t>
            </w:r>
          </w:p>
        </w:tc>
        <w:tc>
          <w:tcPr>
            <w:tcW w:w="40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(6,329,304 )</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(2,427,808 )</w:t>
            </w: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 or repayments of investments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150,410,327</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203,205,733</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or maturities of U.S. Treasury Bills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44,999,747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124,999,118</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Realized (gain) loss on investments, including U.S. Treasury Bills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(939,377 )</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4,076,766</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change in unrealized appreciation (depreciation) on investments, including U.S. Treasury Bills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28,617,263</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3,172,841</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fixed income premiums or accretion of discounts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(4,575,984 )</w:t>
            </w: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(5,539,659 )</w:t>
            </w: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deferred debt costs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798,764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349,378</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40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(2,033,918 )</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650,685</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(1,007,546 )</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197,082</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850,261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(53,246 )</w:t>
            </w: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incentive fees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1,178,716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964,069</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Due to affiliate</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39,937</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83,523</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payable</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2,946,160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343,843</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651,336</w:t>
            </w:r>
          </w:p>
        </w:tc>
        <w:tc>
          <w:tcPr>
            <w:tcW w:w="100" w:type="dxa"/>
            <w:vAlign w:val="bottom"/>
          </w:tcPr>
          <w:p>
            <w:pPr>
              <w:spacing w:after="0"/>
              <w:rPr>
                <w:sz w:val="18"/>
                <w:szCs w:val="18"/>
                <w:color w:val="auto"/>
              </w:rPr>
            </w:pPr>
          </w:p>
        </w:tc>
      </w:tr>
      <w:tr>
        <w:trPr>
          <w:trHeight w:val="210"/>
        </w:trPr>
        <w:tc>
          <w:tcPr>
            <w:tcW w:w="7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(164,113,548</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4,955,802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(8,242,458 )</w:t>
            </w: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(19,126 )</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400" w:type="dxa"/>
            <w:vAlign w:val="bottom"/>
          </w:tcPr>
          <w:p>
            <w:pPr>
              <w:spacing w:after="0"/>
              <w:rPr>
                <w:sz w:val="18"/>
                <w:szCs w:val="18"/>
                <w:color w:val="auto"/>
              </w:rPr>
            </w:pPr>
          </w:p>
        </w:tc>
        <w:tc>
          <w:tcPr>
            <w:tcW w:w="1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(439,929 )</w:t>
            </w:r>
          </w:p>
        </w:tc>
      </w:tr>
      <w:tr>
        <w:trPr>
          <w:trHeight w:val="216"/>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Borrowings under credit facilities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282,000,000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100,000,000</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Repayments under credit facilities</w:t>
            </w:r>
          </w:p>
        </w:tc>
        <w:tc>
          <w:tcPr>
            <w:tcW w:w="40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(168,000,000 )</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(119,000,000 )</w:t>
            </w:r>
          </w:p>
        </w:tc>
      </w:tr>
      <w:tr>
        <w:trPr>
          <w:trHeight w:val="216"/>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2026 Notes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2027 Notes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100,500,000</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reverse repurchase agreements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104,474,375</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Repayments of reverse repurchase agreements</w:t>
            </w:r>
          </w:p>
        </w:tc>
        <w:tc>
          <w:tcPr>
            <w:tcW w:w="40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(44,774,963 )</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(114,424,914 )</w:t>
            </w:r>
          </w:p>
        </w:tc>
      </w:tr>
      <w:tr>
        <w:trPr>
          <w:trHeight w:val="216"/>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 of treasury shares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(9,301,933 )</w:t>
            </w: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400" w:type="dxa"/>
            <w:vAlign w:val="bottom"/>
          </w:tcPr>
          <w:p>
            <w:pPr>
              <w:spacing w:after="0"/>
              <w:rPr>
                <w:sz w:val="18"/>
                <w:szCs w:val="18"/>
                <w:color w:val="auto"/>
              </w:rPr>
            </w:pPr>
          </w:p>
        </w:tc>
        <w:tc>
          <w:tcPr>
            <w:tcW w:w="15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(37,005,717 )</w:t>
            </w: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(7,602,878 )</w:t>
            </w:r>
          </w:p>
        </w:tc>
      </w:tr>
      <w:tr>
        <w:trPr>
          <w:trHeight w:val="216"/>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Offering costs</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(37,373 )</w:t>
            </w: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received from common stock issued</w:t>
            </w:r>
          </w:p>
        </w:tc>
        <w:tc>
          <w:tcPr>
            <w:tcW w:w="400" w:type="dxa"/>
            <w:vAlign w:val="bottom"/>
          </w:tcPr>
          <w:p>
            <w:pPr>
              <w:spacing w:after="0"/>
              <w:rPr>
                <w:sz w:val="18"/>
                <w:szCs w:val="18"/>
                <w:color w:val="auto"/>
              </w:rPr>
            </w:pPr>
          </w:p>
        </w:tc>
        <w:tc>
          <w:tcPr>
            <w:tcW w:w="1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18,144,300</w:t>
            </w:r>
          </w:p>
        </w:tc>
        <w:tc>
          <w:tcPr>
            <w:tcW w:w="100" w:type="dxa"/>
            <w:vAlign w:val="bottom"/>
          </w:tcPr>
          <w:p>
            <w:pPr>
              <w:spacing w:after="0"/>
              <w:rPr>
                <w:sz w:val="18"/>
                <w:szCs w:val="18"/>
                <w:color w:val="auto"/>
              </w:rPr>
            </w:pPr>
          </w:p>
        </w:tc>
      </w:tr>
      <w:tr>
        <w:trPr>
          <w:trHeight w:val="210"/>
        </w:trPr>
        <w:tc>
          <w:tcPr>
            <w:tcW w:w="7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165,190,929</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(18,905,545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1,077,381</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(13,949,743 )</w:t>
            </w:r>
          </w:p>
        </w:tc>
      </w:tr>
      <w:tr>
        <w:trPr>
          <w:trHeight w:val="216"/>
        </w:trPr>
        <w:tc>
          <w:tcPr>
            <w:tcW w:w="75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4,696,693</w:t>
            </w:r>
          </w:p>
        </w:tc>
        <w:tc>
          <w:tcPr>
            <w:tcW w:w="2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14,886,246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5,774,074</w:t>
            </w:r>
          </w:p>
        </w:tc>
        <w:tc>
          <w:tcPr>
            <w:tcW w:w="26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936,503</w:t>
            </w:r>
          </w:p>
        </w:tc>
        <w:tc>
          <w:tcPr>
            <w:tcW w:w="100" w:type="dxa"/>
            <w:vAlign w:val="bottom"/>
          </w:tcPr>
          <w:p>
            <w:pPr>
              <w:spacing w:after="0"/>
              <w:rPr>
                <w:sz w:val="18"/>
                <w:szCs w:val="18"/>
                <w:color w:val="auto"/>
              </w:rPr>
            </w:pPr>
          </w:p>
        </w:tc>
      </w:tr>
      <w:tr>
        <w:trPr>
          <w:trHeight w:val="20"/>
        </w:trPr>
        <w:tc>
          <w:tcPr>
            <w:tcW w:w="7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and non-cash financing cash flow information:</w:t>
            </w:r>
          </w:p>
        </w:tc>
        <w:tc>
          <w:tcPr>
            <w:tcW w:w="4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paid</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paid</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3,124,746</w:t>
            </w: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1,958,739</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portfolio purchases</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3,380,604</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2,562,120</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Non-cash dividend reinvestments</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26,994,806</w:t>
            </w:r>
          </w:p>
        </w:tc>
        <w:tc>
          <w:tcPr>
            <w:tcW w:w="100" w:type="dxa"/>
            <w:vAlign w:val="bottom"/>
            <w:shd w:val="clear" w:color="auto" w:fill="CFF0FC"/>
          </w:tcPr>
          <w:p>
            <w:pPr>
              <w:spacing w:after="0"/>
              <w:rPr>
                <w:sz w:val="18"/>
                <w:szCs w:val="18"/>
                <w:color w:val="auto"/>
              </w:rPr>
            </w:pPr>
          </w:p>
        </w:tc>
      </w:tr>
      <w:tr>
        <w:trPr>
          <w:trHeight w:val="234"/>
        </w:trPr>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Subscriptions receivable</w:t>
            </w:r>
          </w:p>
        </w:tc>
        <w:tc>
          <w:tcPr>
            <w:tcW w:w="400" w:type="dxa"/>
            <w:vAlign w:val="bottom"/>
          </w:tcPr>
          <w:p>
            <w:pPr>
              <w:spacing w:after="0"/>
              <w:rPr>
                <w:sz w:val="20"/>
                <w:szCs w:val="20"/>
                <w:color w:val="auto"/>
              </w:rPr>
            </w:pPr>
          </w:p>
        </w:tc>
        <w:tc>
          <w:tcPr>
            <w:tcW w:w="15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1,139,528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-3225800</wp:posOffset>
            </wp:positionV>
            <wp:extent cx="6858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-3225800</wp:posOffset>
            </wp:positionV>
            <wp:extent cx="6858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-1288415</wp:posOffset>
            </wp:positionV>
            <wp:extent cx="6858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-1005205</wp:posOffset>
            </wp:positionV>
            <wp:extent cx="685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1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Schedule of Investments (Unaudited)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20" w:type="dxa"/>
            <w:vAlign w:val="bottom"/>
          </w:tcPr>
          <w:p>
            <w:pPr>
              <w:spacing w:after="0"/>
              <w:rPr>
                <w:sz w:val="13"/>
                <w:szCs w:val="13"/>
                <w:color w:val="auto"/>
              </w:rPr>
            </w:pPr>
          </w:p>
        </w:tc>
        <w:tc>
          <w:tcPr>
            <w:tcW w:w="22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0"/>
              </w:rPr>
              <w:t>Fair Value</w:t>
            </w:r>
            <w:r>
              <w:rPr>
                <w:rFonts w:ascii="Times New Roman" w:cs="Times New Roman" w:eastAsia="Times New Roman" w:hAnsi="Times New Roman"/>
                <w:sz w:val="19"/>
                <w:szCs w:val="19"/>
                <w:b w:val="1"/>
                <w:bCs w:val="1"/>
                <w:color w:val="auto"/>
                <w:w w:val="90"/>
                <w:vertAlign w:val="superscript"/>
              </w:rPr>
              <w:t>(2),(6)</w:t>
            </w:r>
          </w:p>
        </w:tc>
        <w:tc>
          <w:tcPr>
            <w:tcW w:w="220" w:type="dxa"/>
            <w:vAlign w:val="bottom"/>
          </w:tcPr>
          <w:p>
            <w:pPr>
              <w:spacing w:after="0"/>
              <w:rPr>
                <w:sz w:val="13"/>
                <w:szCs w:val="13"/>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06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60" w:type="dxa"/>
            <w:vAlign w:val="bottom"/>
            <w:tcBorders>
              <w:left w:val="single" w:sz="8" w:color="CFF0FC"/>
            </w:tcBorders>
            <w:gridSpan w:val="3"/>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Borders>
              <w:top w:val="single" w:sz="8" w:color="auto"/>
              <w:left w:val="single" w:sz="8" w:color="CFF0FC"/>
            </w:tcBorders>
            <w:gridSpan w:val="2"/>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3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60" w:type="dxa"/>
            <w:vAlign w:val="bottom"/>
            <w:tcBorders>
              <w:left w:val="single" w:sz="8" w:color="CFF0FC"/>
            </w:tcBorders>
            <w:shd w:val="clear" w:color="auto" w:fill="000000"/>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Senior Secured Term Loans</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Circadence Corporation</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LIBOR+9.50% PIK, 12.00% floor,</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12/20/2018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12/15/2022</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19,256,951</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20,484,765</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16,700,353</w:t>
            </w:r>
          </w:p>
        </w:tc>
        <w:tc>
          <w:tcPr>
            <w:tcW w:w="10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7.50% ETP</w:t>
            </w:r>
          </w:p>
        </w:tc>
        <w:tc>
          <w:tcPr>
            <w:tcW w:w="10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6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Dtex Systems, Inc.</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LIBOR+9.50%, 10.00% floor, 1.75%</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6/1/2021</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6/1/2025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10,012,213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10,012,213</w:t>
            </w:r>
          </w:p>
        </w:tc>
        <w:tc>
          <w:tcPr>
            <w:tcW w:w="10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FiscalNote, Inc.</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PRIME+5.00%, 9.00% floor, 1.00%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10/19/2020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7/15/2027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39,052,016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38,428,011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38,428,011</w:t>
            </w:r>
          </w:p>
        </w:tc>
        <w:tc>
          <w:tcPr>
            <w:tcW w:w="10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PIK, 4.25% ETP</w:t>
            </w:r>
          </w:p>
        </w:tc>
        <w:tc>
          <w:tcPr>
            <w:tcW w:w="10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PRIME+5.00%, 9.00% floor, 1.00%</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9/30/2021</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7/15/2027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8,678,226</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8,616,156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8,616,156</w:t>
            </w:r>
          </w:p>
        </w:tc>
        <w:tc>
          <w:tcPr>
            <w:tcW w:w="10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PIK, 4.25% ETP</w:t>
            </w:r>
          </w:p>
        </w:tc>
        <w:tc>
          <w:tcPr>
            <w:tcW w:w="1040" w:type="dxa"/>
            <w:vAlign w:val="bottom"/>
            <w:gridSpan w:val="2"/>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PRIME+5.00%, 9.00% floor, 1.00%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3/28/2022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7/15/2027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17,356,451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17,045,884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17,045,884</w:t>
            </w:r>
          </w:p>
        </w:tc>
        <w:tc>
          <w:tcPr>
            <w:tcW w:w="10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PIK, 4.25% ETP</w:t>
            </w:r>
          </w:p>
        </w:tc>
        <w:tc>
          <w:tcPr>
            <w:tcW w:w="10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6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VTX Intermediate Holdings, Inc.</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LIBOR+9.00%, 9.50% floor, 4.50%</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12/28/2021</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12/28/2026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74,835,248</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74,835,248</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(dba VertexOne)</w:t>
            </w: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LIBOR+9.00%, 9.50% floor, 4.50%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5/31/2022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12/28/2026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9,938,946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9,938,946</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60" w:type="dxa"/>
            <w:vAlign w:val="bottom"/>
            <w:tcBorders>
              <w:left w:val="single" w:sz="8" w:color="CFF0FC"/>
            </w:tcBorders>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Application Software -</w:t>
            </w: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179,361,223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175,576,811</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Borders>
              <w:left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30.61%*</w:t>
            </w:r>
          </w:p>
        </w:tc>
        <w:tc>
          <w:tcPr>
            <w:tcW w:w="9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Biotechnology</w:t>
            </w: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Mustang Bio, Inc.</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LIBOR+8.75%, 9.25% floor, 3.50%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3/4/2022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4/15/2027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29,611,337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29,611,337</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6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TRACON Pharmaceuticals, Inc.</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PRIME+5.00%, 8.50% floor, 4.25%</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9/2/2022</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9/1/2026</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9,741,900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9,741,900</w:t>
            </w:r>
          </w:p>
        </w:tc>
        <w:tc>
          <w:tcPr>
            <w:tcW w:w="10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760" w:type="dxa"/>
            <w:vAlign w:val="bottom"/>
            <w:tcBorders>
              <w:left w:val="single" w:sz="8" w:color="CFF0FC"/>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tcBorders>
              <w:bottom w:val="single" w:sz="8" w:color="CFF0FC"/>
            </w:tcBorders>
            <w:gridSpan w:val="2"/>
            <w:vMerge w:val="continue"/>
            <w:shd w:val="clear" w:color="auto" w:fill="CFF0FC"/>
          </w:tcPr>
          <w:p>
            <w:pPr>
              <w:spacing w:after="0"/>
              <w:rPr>
                <w:sz w:val="14"/>
                <w:szCs w:val="14"/>
                <w:color w:val="auto"/>
              </w:rPr>
            </w:pPr>
          </w:p>
        </w:tc>
        <w:tc>
          <w:tcPr>
            <w:tcW w:w="104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Biotechnology - 6.86%*</w:t>
            </w: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39,353,237</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39,353,237</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6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Data Processing &amp; Outsourced</w:t>
            </w: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6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Interactions Corporation</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SOFR+9.26%, 9.76% floor, 3.4375%</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6/24/2022</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6/15/2027</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39,394,754</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39,394,754</w:t>
            </w:r>
          </w:p>
        </w:tc>
        <w:tc>
          <w:tcPr>
            <w:tcW w:w="10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ShareThis, Inc.</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LIBOR+9.25%, 11.60% floor, 3.00%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12/3/2018</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7/15/2023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19,250,000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19,647,865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19,647,865</w:t>
            </w:r>
          </w:p>
        </w:tc>
        <w:tc>
          <w:tcPr>
            <w:tcW w:w="10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LIBOR+9.25%, 11.60% floor, 3.00%</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1/7/2019</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7/15/2023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764,840</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764,840</w:t>
            </w:r>
          </w:p>
        </w:tc>
        <w:tc>
          <w:tcPr>
            <w:tcW w:w="10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LIBOR+9.25%, 11.60% floor, 3.00%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7/24/2019</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7/15/2023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1,018,316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1,018,316</w:t>
            </w:r>
          </w:p>
        </w:tc>
        <w:tc>
          <w:tcPr>
            <w:tcW w:w="10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LIBOR+8.25%, 10.60% floor, 3.00%</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8/18/2020</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7/15/2023</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1,023,896</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1,023,896</w:t>
            </w:r>
          </w:p>
        </w:tc>
        <w:tc>
          <w:tcPr>
            <w:tcW w:w="10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760" w:type="dxa"/>
            <w:vAlign w:val="bottom"/>
            <w:tcBorders>
              <w:left w:val="single" w:sz="8" w:color="CFF0FC"/>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tcBorders>
              <w:bottom w:val="single" w:sz="8" w:color="CFF0FC"/>
            </w:tcBorders>
            <w:gridSpan w:val="2"/>
            <w:vMerge w:val="continue"/>
            <w:shd w:val="clear" w:color="auto" w:fill="CFF0FC"/>
          </w:tcPr>
          <w:p>
            <w:pPr>
              <w:spacing w:after="0"/>
              <w:rPr>
                <w:sz w:val="14"/>
                <w:szCs w:val="14"/>
                <w:color w:val="auto"/>
              </w:rPr>
            </w:pPr>
          </w:p>
        </w:tc>
        <w:tc>
          <w:tcPr>
            <w:tcW w:w="104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Data Processing &amp;</w:t>
            </w: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61,849,671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61,849,671</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Outsourced Services - 10.78%*</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Education Services</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6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Turning Tech Intermediate, Inc.</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LIBOR+8.50%, 9.00% floor, 3.00%</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6/22/2021</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12/14/2025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20,223,593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20,223,593</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(dba Echo 360, Inc.)</w:t>
            </w: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LIBOR+8.50%, 9.00% floor, 3.00%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3/28/2022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12/14/2025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5,026,299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5,026,299</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60" w:type="dxa"/>
            <w:vAlign w:val="bottom"/>
            <w:tcBorders>
              <w:left w:val="single" w:sz="8" w:color="CFF0FC"/>
            </w:tcBorders>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Education Services -</w:t>
            </w: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25,249,892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25,249,892</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Borders>
              <w:left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4.40%*</w:t>
            </w:r>
          </w:p>
        </w:tc>
        <w:tc>
          <w:tcPr>
            <w:tcW w:w="9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60" w:type="dxa"/>
            <w:vAlign w:val="bottom"/>
            <w:tcBorders>
              <w:left w:val="single" w:sz="8" w:color="CFF0FC"/>
            </w:tcBorders>
            <w:gridSpan w:val="3"/>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Electronic Equipment &amp;</w:t>
            </w: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6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6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Intellisite Holdings, Inc. (dba Epic</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LIBOR+9.75%, 10.25% floor, 2.00%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12/17/2021</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12/17/2025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18,719,472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18,719,472</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IO Technologies, Inc.)</w:t>
            </w: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LIBOR+9.75%, 10.25% floor, 2.00%</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2/28/2022</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12/17/2025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2,981,209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2,981,209</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LIBOR+9.75%, 10.25% floor, 2.00%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3/29/2022</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12/17/2025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4,955,097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4,955,097</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LIBOR+9.75%, 10.25% floor, 2.00%</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7/19/2022</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12/17/2025</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2,966,733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2,966,733</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CFF0FC"/>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tcBorders>
              <w:bottom w:val="single" w:sz="8" w:color="CFF0FC"/>
            </w:tcBorders>
            <w:gridSpan w:val="2"/>
            <w:vMerge w:val="continue"/>
            <w:shd w:val="clear" w:color="auto" w:fill="CFF0FC"/>
          </w:tcPr>
          <w:p>
            <w:pPr>
              <w:spacing w:after="0"/>
              <w:rPr>
                <w:sz w:val="14"/>
                <w:szCs w:val="14"/>
                <w:color w:val="auto"/>
              </w:rPr>
            </w:pPr>
          </w:p>
        </w:tc>
        <w:tc>
          <w:tcPr>
            <w:tcW w:w="104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6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Electronic Equipment &amp;</w:t>
            </w: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29,622,511</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29,622,511</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 - 5.16%*</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-4500880</wp:posOffset>
            </wp:positionV>
            <wp:extent cx="68580"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-4500880</wp:posOffset>
            </wp:positionV>
            <wp:extent cx="68580"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-3866515</wp:posOffset>
            </wp:positionV>
            <wp:extent cx="6858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-3866515</wp:posOffset>
            </wp:positionV>
            <wp:extent cx="6858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-2400935</wp:posOffset>
            </wp:positionV>
            <wp:extent cx="68580" cy="2146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-2400935</wp:posOffset>
            </wp:positionV>
            <wp:extent cx="68580"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-1355090</wp:posOffset>
            </wp:positionV>
            <wp:extent cx="6858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-1355090</wp:posOffset>
            </wp:positionV>
            <wp:extent cx="6858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-214630</wp:posOffset>
            </wp:positionV>
            <wp:extent cx="1560195" cy="2146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60195" cy="2146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20" w:type="dxa"/>
            <w:vAlign w:val="bottom"/>
          </w:tcPr>
          <w:p>
            <w:pPr>
              <w:spacing w:after="0"/>
              <w:rPr>
                <w:sz w:val="13"/>
                <w:szCs w:val="13"/>
                <w:color w:val="auto"/>
              </w:rPr>
            </w:pPr>
          </w:p>
        </w:tc>
        <w:tc>
          <w:tcPr>
            <w:tcW w:w="22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9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0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3"/>
                <w:szCs w:val="13"/>
                <w:color w:val="auto"/>
              </w:rPr>
            </w:pPr>
          </w:p>
        </w:tc>
        <w:tc>
          <w:tcPr>
            <w:tcW w:w="10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Fair Value</w:t>
            </w:r>
            <w:r>
              <w:rPr>
                <w:rFonts w:ascii="Times New Roman" w:cs="Times New Roman" w:eastAsia="Times New Roman" w:hAnsi="Times New Roman"/>
                <w:sz w:val="19"/>
                <w:szCs w:val="19"/>
                <w:b w:val="1"/>
                <w:bCs w:val="1"/>
                <w:color w:val="auto"/>
                <w:w w:val="99"/>
                <w:vertAlign w:val="superscript"/>
              </w:rPr>
              <w:t>(2),(6)</w:t>
            </w:r>
          </w:p>
        </w:tc>
        <w:tc>
          <w:tcPr>
            <w:tcW w:w="200" w:type="dxa"/>
            <w:vAlign w:val="bottom"/>
          </w:tcPr>
          <w:p>
            <w:pPr>
              <w:spacing w:after="0"/>
              <w:rPr>
                <w:sz w:val="13"/>
                <w:szCs w:val="13"/>
                <w:color w:val="auto"/>
              </w:rPr>
            </w:pPr>
          </w:p>
        </w:tc>
        <w:tc>
          <w:tcPr>
            <w:tcW w:w="86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04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40" w:type="dxa"/>
            <w:vAlign w:val="bottom"/>
            <w:tcBorders>
              <w:left w:val="single" w:sz="8" w:color="CFF0FC"/>
            </w:tcBorders>
            <w:gridSpan w:val="3"/>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Borders>
              <w:top w:val="single" w:sz="8" w:color="auto"/>
              <w:left w:val="single" w:sz="8" w:color="CFF0FC"/>
            </w:tcBorders>
            <w:gridSpan w:val="2"/>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3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60" w:type="dxa"/>
            <w:vAlign w:val="bottom"/>
            <w:tcBorders>
              <w:left w:val="single" w:sz="8" w:color="CFF0FC"/>
            </w:tcBorders>
            <w:shd w:val="clear" w:color="auto" w:fill="000000"/>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Senior Secured Term Loans</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4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Health Care Equipment</w:t>
            </w: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Moximed, Inc.</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PRIME+5.25%, 8.75% floor, 3.50%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6/24/2022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7/1/2027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14,718,356</w:t>
            </w:r>
          </w:p>
        </w:tc>
        <w:tc>
          <w:tcPr>
            <w:tcW w:w="4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14,718,356</w:t>
            </w:r>
          </w:p>
        </w:tc>
        <w:tc>
          <w:tcPr>
            <w:tcW w:w="106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Revelle Aesthetics, Inc.</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PRIME+5.50%, 8.75% floor, 4.00%</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3/30/2022</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4/1/2027</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12,321,562</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12,321,562</w:t>
            </w:r>
          </w:p>
        </w:tc>
        <w:tc>
          <w:tcPr>
            <w:tcW w:w="106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760" w:type="dxa"/>
            <w:vAlign w:val="bottom"/>
            <w:tcBorders>
              <w:left w:val="single" w:sz="8" w:color="CFF0FC"/>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tcBorders>
              <w:bottom w:val="single" w:sz="8" w:color="CFF0FC"/>
            </w:tcBorders>
            <w:gridSpan w:val="2"/>
            <w:vMerge w:val="continue"/>
            <w:shd w:val="clear" w:color="auto" w:fill="CFF0FC"/>
          </w:tcPr>
          <w:p>
            <w:pPr>
              <w:spacing w:after="0"/>
              <w:rPr>
                <w:sz w:val="14"/>
                <w:szCs w:val="14"/>
                <w:color w:val="auto"/>
              </w:rPr>
            </w:pPr>
          </w:p>
        </w:tc>
        <w:tc>
          <w:tcPr>
            <w:tcW w:w="1020" w:type="dxa"/>
            <w:vAlign w:val="bottom"/>
            <w:tcBorders>
              <w:bottom w:val="single" w:sz="8" w:color="CFF0FC"/>
            </w:tcBorders>
            <w:gridSpan w:val="2"/>
            <w:vMerge w:val="continue"/>
            <w:shd w:val="clear" w:color="auto" w:fill="CFF0FC"/>
          </w:tcPr>
          <w:p>
            <w:pPr>
              <w:spacing w:after="0"/>
              <w:rPr>
                <w:sz w:val="14"/>
                <w:szCs w:val="14"/>
                <w:color w:val="auto"/>
              </w:rPr>
            </w:pPr>
          </w:p>
        </w:tc>
        <w:tc>
          <w:tcPr>
            <w:tcW w:w="1160" w:type="dxa"/>
            <w:vAlign w:val="bottom"/>
            <w:tcBorders>
              <w:bottom w:val="single" w:sz="8" w:color="CFF0FC"/>
            </w:tcBorders>
            <w:gridSpan w:val="2"/>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Health Care Equipment -</w:t>
            </w: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27,039,918</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27,039,918</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4.71%*</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Allurion Technologies, Inc.</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PRIME+6.44%, 9.50% floor, 3.00%</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12/30/2021</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12/30/2026</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4,901,805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4,901,805</w:t>
            </w:r>
          </w:p>
        </w:tc>
        <w:tc>
          <w:tcPr>
            <w:tcW w:w="106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PRIME+6.44%, 9.50% floor, 3.00%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12/30/2021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12/30/2026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20,114,747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20,114,747</w:t>
            </w:r>
          </w:p>
        </w:tc>
        <w:tc>
          <w:tcPr>
            <w:tcW w:w="106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PRIME+6.44%, 9.50% floor, 3.00%</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6/14/2022</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12/30/2026</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14,807,607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14,807,607</w:t>
            </w:r>
          </w:p>
        </w:tc>
        <w:tc>
          <w:tcPr>
            <w:tcW w:w="106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EBR Systems, Inc.</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PRIME+4.90%, 8.90% floor, 4.50%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6/30/2022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6/15/2027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19,569,632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19,569,632</w:t>
            </w:r>
          </w:p>
        </w:tc>
        <w:tc>
          <w:tcPr>
            <w:tcW w:w="106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LIBOR+8.75%, 9.25% floor, 3.50%</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12/1/2020</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12/1/2025</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30,049,362</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30,049,362</w:t>
            </w:r>
          </w:p>
        </w:tc>
        <w:tc>
          <w:tcPr>
            <w:tcW w:w="106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LIBOR+8.75%, 9.25% floor, 3.50%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8/30/2022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12/1/2025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19,813,991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19,813,991</w:t>
            </w:r>
          </w:p>
        </w:tc>
        <w:tc>
          <w:tcPr>
            <w:tcW w:w="106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Mingle Healthcare Solutions, Inc.</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LIBOR+9.50%, 11.75% floor, .25%</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8/15/2018</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10/15/2022</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3,966,022</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4,562,385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4,392,284</w:t>
            </w:r>
          </w:p>
        </w:tc>
        <w:tc>
          <w:tcPr>
            <w:tcW w:w="106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PIK, 10.00% ETP</w:t>
            </w:r>
          </w:p>
        </w:tc>
        <w:tc>
          <w:tcPr>
            <w:tcW w:w="102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Route 92 Medical, Inc.</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LIBOR+8.48%, 8.98% floor, 3.95%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8/17/2021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7/1/2026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13,000,000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12,800,379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12,800,379</w:t>
            </w:r>
          </w:p>
        </w:tc>
        <w:tc>
          <w:tcPr>
            <w:tcW w:w="106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SetPoint Medical Corporation</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LIBOR+8.75%, 9.25% floor, 4.00%</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6/29/2021</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12/1/2025</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10,049,049</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10,049,049</w:t>
            </w:r>
          </w:p>
        </w:tc>
        <w:tc>
          <w:tcPr>
            <w:tcW w:w="106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VERO Biotech LLC</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LIBOR+9.05%, 9.55% floor, 3.00%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12/29/2020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12/1/2024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25,011,885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25,011,885</w:t>
            </w:r>
          </w:p>
        </w:tc>
        <w:tc>
          <w:tcPr>
            <w:tcW w:w="106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LIBOR+9.05%, 9.55% floor, 3.00%</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3/30/2021</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12/1/2024</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15,134,535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15,134,535</w:t>
            </w:r>
          </w:p>
        </w:tc>
        <w:tc>
          <w:tcPr>
            <w:tcW w:w="106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760" w:type="dxa"/>
            <w:vAlign w:val="bottom"/>
            <w:tcBorders>
              <w:left w:val="single" w:sz="8" w:color="CFF0FC"/>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tcBorders>
              <w:bottom w:val="single" w:sz="8" w:color="CFF0FC"/>
            </w:tcBorders>
            <w:gridSpan w:val="2"/>
            <w:vMerge w:val="continue"/>
            <w:shd w:val="clear" w:color="auto" w:fill="CFF0FC"/>
          </w:tcPr>
          <w:p>
            <w:pPr>
              <w:spacing w:after="0"/>
              <w:rPr>
                <w:sz w:val="14"/>
                <w:szCs w:val="14"/>
                <w:color w:val="auto"/>
              </w:rPr>
            </w:pPr>
          </w:p>
        </w:tc>
        <w:tc>
          <w:tcPr>
            <w:tcW w:w="1020" w:type="dxa"/>
            <w:vAlign w:val="bottom"/>
            <w:tcBorders>
              <w:bottom w:val="single" w:sz="8" w:color="CFF0FC"/>
            </w:tcBorders>
            <w:gridSpan w:val="2"/>
            <w:vMerge w:val="continue"/>
            <w:shd w:val="clear" w:color="auto" w:fill="CFF0FC"/>
          </w:tcPr>
          <w:p>
            <w:pPr>
              <w:spacing w:after="0"/>
              <w:rPr>
                <w:sz w:val="14"/>
                <w:szCs w:val="14"/>
                <w:color w:val="auto"/>
              </w:rPr>
            </w:pPr>
          </w:p>
        </w:tc>
        <w:tc>
          <w:tcPr>
            <w:tcW w:w="1160" w:type="dxa"/>
            <w:vAlign w:val="bottom"/>
            <w:tcBorders>
              <w:bottom w:val="single" w:sz="8" w:color="CFF0FC"/>
            </w:tcBorders>
            <w:gridSpan w:val="2"/>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Health Care Technology -</w:t>
            </w: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176,815,377</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176,645,276</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30.79%*</w:t>
            </w:r>
          </w:p>
        </w:tc>
        <w:tc>
          <w:tcPr>
            <w:tcW w:w="9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Human Resource &amp;</w:t>
            </w: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Employment Services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CloudPay, Inc.</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PRIME+6.25%, 10.25% floor, 2.00%</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9/26/2022</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8/17/2027</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59,595,001</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59,595,001</w:t>
            </w:r>
          </w:p>
        </w:tc>
        <w:tc>
          <w:tcPr>
            <w:tcW w:w="106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(3)(8)(12)</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Snagajob.com, Inc.</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LIBOR+8.50%, 9.00% floor, 2.75%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9/29/2021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9/1/2025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37,315,385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37,174,678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36,656,835</w:t>
            </w:r>
          </w:p>
        </w:tc>
        <w:tc>
          <w:tcPr>
            <w:tcW w:w="106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40" w:type="dxa"/>
            <w:vAlign w:val="bottom"/>
            <w:tcBorders>
              <w:left w:val="single" w:sz="8" w:color="CFF0FC"/>
            </w:tcBorders>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Human Resource &amp;</w:t>
            </w: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96,769,679</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96,251,836</w:t>
            </w: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Employment Services - 16.78%*</w:t>
            </w:r>
          </w:p>
        </w:tc>
        <w:tc>
          <w:tcPr>
            <w:tcW w:w="12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4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Internet Retail</w:t>
            </w: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Marley Spoon AG</w:t>
            </w: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LIBOR+8.50%, 1.25% PIK, 9.00%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6/30/2021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6/15/2025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26,695,503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26,441,594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26,458,111</w:t>
            </w:r>
          </w:p>
        </w:tc>
        <w:tc>
          <w:tcPr>
            <w:tcW w:w="106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(3)(4)(8)(11)</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floor</w:t>
            </w:r>
          </w:p>
        </w:tc>
        <w:tc>
          <w:tcPr>
            <w:tcW w:w="102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LIBOR+8.50%, 1.25% PIK, 9.00%</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12/29/2021</w:t>
            </w: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6/15/2025</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8,173,418</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8,122,307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8,122,307</w:t>
            </w:r>
          </w:p>
        </w:tc>
        <w:tc>
          <w:tcPr>
            <w:tcW w:w="1060" w:type="dxa"/>
            <w:vAlign w:val="bottom"/>
            <w:gridSpan w:val="2"/>
            <w:shd w:val="clear" w:color="auto" w:fill="CFF0FC"/>
          </w:tcPr>
          <w:p>
            <w:pPr>
              <w:ind w:left="220"/>
              <w:spacing w:after="0" w:line="139" w:lineRule="exact"/>
              <w:rPr>
                <w:sz w:val="20"/>
                <w:szCs w:val="20"/>
                <w:color w:val="auto"/>
              </w:rPr>
            </w:pPr>
            <w:r>
              <w:rPr>
                <w:rFonts w:ascii="Times New Roman" w:cs="Times New Roman" w:eastAsia="Times New Roman" w:hAnsi="Times New Roman"/>
                <w:sz w:val="14"/>
                <w:szCs w:val="14"/>
                <w:color w:val="auto"/>
              </w:rPr>
              <w:t>(3)(4)(8)(11)</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floor</w:t>
            </w:r>
          </w:p>
        </w:tc>
        <w:tc>
          <w:tcPr>
            <w:tcW w:w="102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LIBOR+8.50%, 1.25% PIK, 9.00%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6/14/2022</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6/15/2025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11,737,822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11,737,822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11,737,822</w:t>
            </w:r>
          </w:p>
        </w:tc>
        <w:tc>
          <w:tcPr>
            <w:tcW w:w="1060" w:type="dxa"/>
            <w:vAlign w:val="bottom"/>
            <w:gridSpan w:val="2"/>
          </w:tcPr>
          <w:p>
            <w:pPr>
              <w:ind w:left="220"/>
              <w:spacing w:after="0" w:line="139" w:lineRule="exact"/>
              <w:rPr>
                <w:sz w:val="20"/>
                <w:szCs w:val="20"/>
                <w:color w:val="auto"/>
              </w:rPr>
            </w:pPr>
            <w:r>
              <w:rPr>
                <w:rFonts w:ascii="Times New Roman" w:cs="Times New Roman" w:eastAsia="Times New Roman" w:hAnsi="Times New Roman"/>
                <w:sz w:val="14"/>
                <w:szCs w:val="14"/>
                <w:color w:val="auto"/>
              </w:rPr>
              <w:t>(3)(4)(8)(11)</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floor</w:t>
            </w:r>
          </w:p>
        </w:tc>
        <w:tc>
          <w:tcPr>
            <w:tcW w:w="10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Internet Retail - 8.07%*</w:t>
            </w:r>
          </w:p>
        </w:tc>
        <w:tc>
          <w:tcPr>
            <w:tcW w:w="12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46,301,723</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46,318,240</w:t>
            </w:r>
          </w:p>
        </w:tc>
        <w:tc>
          <w:tcPr>
            <w:tcW w:w="2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-4799965</wp:posOffset>
            </wp:positionV>
            <wp:extent cx="68580"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-4799965</wp:posOffset>
            </wp:positionV>
            <wp:extent cx="68580"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-2108200</wp:posOffset>
            </wp:positionV>
            <wp:extent cx="68580"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-2108200</wp:posOffset>
            </wp:positionV>
            <wp:extent cx="68580"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-967740</wp:posOffset>
            </wp:positionV>
            <wp:extent cx="6858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-967740</wp:posOffset>
            </wp:positionV>
            <wp:extent cx="68580" cy="1200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20" w:type="dxa"/>
            <w:vAlign w:val="bottom"/>
          </w:tcPr>
          <w:p>
            <w:pPr>
              <w:spacing w:after="0"/>
              <w:rPr>
                <w:sz w:val="13"/>
                <w:szCs w:val="13"/>
                <w:color w:val="auto"/>
              </w:rPr>
            </w:pPr>
          </w:p>
        </w:tc>
        <w:tc>
          <w:tcPr>
            <w:tcW w:w="2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20" w:type="dxa"/>
            <w:vAlign w:val="bottom"/>
          </w:tcPr>
          <w:p>
            <w:pPr>
              <w:spacing w:after="0"/>
              <w:rPr>
                <w:sz w:val="13"/>
                <w:szCs w:val="13"/>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Fair Value</w:t>
            </w:r>
            <w:r>
              <w:rPr>
                <w:rFonts w:ascii="Times New Roman" w:cs="Times New Roman" w:eastAsia="Times New Roman" w:hAnsi="Times New Roman"/>
                <w:sz w:val="19"/>
                <w:szCs w:val="19"/>
                <w:b w:val="1"/>
                <w:bCs w:val="1"/>
                <w:color w:val="auto"/>
                <w:w w:val="99"/>
                <w:vertAlign w:val="superscript"/>
              </w:rPr>
              <w:t>(2),(6)</w:t>
            </w:r>
          </w:p>
        </w:tc>
        <w:tc>
          <w:tcPr>
            <w:tcW w:w="220" w:type="dxa"/>
            <w:vAlign w:val="bottom"/>
          </w:tcPr>
          <w:p>
            <w:pPr>
              <w:spacing w:after="0"/>
              <w:rPr>
                <w:sz w:val="13"/>
                <w:szCs w:val="13"/>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194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940" w:type="dxa"/>
            <w:vAlign w:val="bottom"/>
            <w:tcBorders>
              <w:left w:val="single" w:sz="8" w:color="CFF0FC"/>
            </w:tcBorders>
            <w:gridSpan w:val="3"/>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w:t>
            </w:r>
          </w:p>
        </w:tc>
        <w:tc>
          <w:tcPr>
            <w:tcW w:w="12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Borders>
              <w:top w:val="single" w:sz="8" w:color="auto"/>
              <w:left w:val="single" w:sz="8" w:color="CFF0FC"/>
            </w:tcBorders>
            <w:gridSpan w:val="2"/>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2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60" w:type="dxa"/>
            <w:vAlign w:val="bottom"/>
            <w:tcBorders>
              <w:left w:val="single" w:sz="8" w:color="CFF0FC"/>
            </w:tcBorders>
            <w:shd w:val="clear" w:color="auto" w:fill="000000"/>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Senior Secured Term Loans</w:t>
            </w: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Internet Software and Services</w:t>
            </w:r>
          </w:p>
        </w:tc>
        <w:tc>
          <w:tcPr>
            <w:tcW w:w="1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9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Bombora, Inc.</w:t>
            </w:r>
          </w:p>
        </w:tc>
        <w:tc>
          <w:tcPr>
            <w:tcW w:w="120" w:type="dxa"/>
            <w:vAlign w:val="bottom"/>
          </w:tcPr>
          <w:p>
            <w:pPr>
              <w:spacing w:after="0"/>
              <w:rPr>
                <w:sz w:val="12"/>
                <w:szCs w:val="12"/>
                <w:color w:val="auto"/>
              </w:rPr>
            </w:pPr>
          </w:p>
        </w:tc>
        <w:tc>
          <w:tcPr>
            <w:tcW w:w="22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LIBOR+5.00%, 5.50% floor, 3.75%</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3/31/2021</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3/31/2025</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21,139,987</w:t>
            </w:r>
          </w:p>
        </w:tc>
        <w:tc>
          <w:tcPr>
            <w:tcW w:w="4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21,080,143</w:t>
            </w:r>
          </w:p>
        </w:tc>
        <w:tc>
          <w:tcPr>
            <w:tcW w:w="42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21,080,143</w:t>
            </w:r>
          </w:p>
        </w:tc>
        <w:tc>
          <w:tcPr>
            <w:tcW w:w="10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PIK, 2.00% ETP</w:t>
            </w:r>
          </w:p>
        </w:tc>
        <w:tc>
          <w:tcPr>
            <w:tcW w:w="10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Fidelis Cybersecurity, Inc.</w:t>
            </w:r>
          </w:p>
        </w:tc>
        <w:tc>
          <w:tcPr>
            <w:tcW w:w="12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LIBOR+11.00%, 12.0% floor, 2.39%</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5/13/2021</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5/13/2024</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13,641,254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13,739,507</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13,656,077</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LIBOR+11.00%, 12.0% floor, 2.00%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3/25/2022</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5/13/2024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9,983,715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9,923,092</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760" w:type="dxa"/>
            <w:vAlign w:val="bottom"/>
            <w:tcBorders>
              <w:left w:val="single" w:sz="8" w:color="CFF0FC"/>
            </w:tcBorders>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10.00% ETP</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8/16/2022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10/14/2022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6,461,893</w:t>
            </w: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6,461,893</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9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INRIX, Inc.</w:t>
            </w:r>
          </w:p>
        </w:tc>
        <w:tc>
          <w:tcPr>
            <w:tcW w:w="120" w:type="dxa"/>
            <w:vAlign w:val="bottom"/>
          </w:tcPr>
          <w:p>
            <w:pPr>
              <w:spacing w:after="0"/>
              <w:rPr>
                <w:sz w:val="12"/>
                <w:szCs w:val="12"/>
                <w:color w:val="auto"/>
              </w:rPr>
            </w:pPr>
          </w:p>
        </w:tc>
        <w:tc>
          <w:tcPr>
            <w:tcW w:w="22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LIBOR+9.00%, 9.50% floor, 2.50%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11/15/2021</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11/15/2025</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40,000,000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40,201,015</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40,201,015</w:t>
            </w:r>
          </w:p>
        </w:tc>
        <w:tc>
          <w:tcPr>
            <w:tcW w:w="10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LIBOR+9.00%, 9.50% floor, 2.50%</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5/3/2022</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11/15/2025</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5,021,001</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5,021,001</w:t>
            </w:r>
          </w:p>
        </w:tc>
        <w:tc>
          <w:tcPr>
            <w:tcW w:w="10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85"/>
        </w:trPr>
        <w:tc>
          <w:tcPr>
            <w:tcW w:w="760" w:type="dxa"/>
            <w:vAlign w:val="bottom"/>
            <w:tcBorders>
              <w:left w:val="single" w:sz="8" w:color="CFF0FC"/>
            </w:tcBorders>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Synack, Inc.</w:t>
            </w:r>
          </w:p>
        </w:tc>
        <w:tc>
          <w:tcPr>
            <w:tcW w:w="12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PRIME+4.25%, 8.25% floor</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6/30/2022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6/30/2027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35,000,000</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34,853,233</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34,853,233</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31"/>
        </w:trPr>
        <w:tc>
          <w:tcPr>
            <w:tcW w:w="1940" w:type="dxa"/>
            <w:vAlign w:val="bottom"/>
            <w:tcBorders>
              <w:left w:val="single" w:sz="8" w:color="CFF0FC"/>
            </w:tcBorders>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Internet Software and</w:t>
            </w: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131,340,507</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131,196,454</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Services - 22.87%*</w:t>
            </w:r>
          </w:p>
        </w:tc>
        <w:tc>
          <w:tcPr>
            <w:tcW w:w="12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940" w:type="dxa"/>
            <w:vAlign w:val="bottom"/>
            <w:tcBorders>
              <w:left w:val="single" w:sz="8" w:color="CFF0FC"/>
            </w:tcBorders>
            <w:gridSpan w:val="3"/>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Property &amp; Casualty</w:t>
            </w: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94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shd w:val="clear" w:color="auto" w:fill="CFF0FC"/>
          </w:tcPr>
          <w:p>
            <w:pPr>
              <w:spacing w:after="0"/>
              <w:rPr>
                <w:sz w:val="16"/>
                <w:szCs w:val="16"/>
                <w:color w:val="auto"/>
              </w:rPr>
            </w:pPr>
          </w:p>
        </w:tc>
        <w:tc>
          <w:tcPr>
            <w:tcW w:w="2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9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Kin Insurance, Inc.</w:t>
            </w:r>
          </w:p>
        </w:tc>
        <w:tc>
          <w:tcPr>
            <w:tcW w:w="120" w:type="dxa"/>
            <w:vAlign w:val="bottom"/>
          </w:tcPr>
          <w:p>
            <w:pPr>
              <w:spacing w:after="0"/>
              <w:rPr>
                <w:sz w:val="12"/>
                <w:szCs w:val="12"/>
                <w:color w:val="auto"/>
              </w:rPr>
            </w:pPr>
          </w:p>
        </w:tc>
        <w:tc>
          <w:tcPr>
            <w:tcW w:w="22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PRIME+6.25%, 12.50% floor, 3.00%</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9/26/2022</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9/15/2026</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48,957,102</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48,957,102</w:t>
            </w:r>
          </w:p>
        </w:tc>
        <w:tc>
          <w:tcPr>
            <w:tcW w:w="10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ETP</w:t>
            </w:r>
          </w:p>
        </w:tc>
        <w:tc>
          <w:tcPr>
            <w:tcW w:w="10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40" w:type="dxa"/>
            <w:vAlign w:val="bottom"/>
            <w:tcBorders>
              <w:left w:val="single" w:sz="8" w:color="CFF0FC"/>
            </w:tcBorders>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Property &amp; Casualty</w:t>
            </w: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48,957,102</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48,957,102</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Insurance - 8.53%*</w:t>
            </w:r>
          </w:p>
        </w:tc>
        <w:tc>
          <w:tcPr>
            <w:tcW w:w="12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940" w:type="dxa"/>
            <w:vAlign w:val="bottom"/>
            <w:tcBorders>
              <w:left w:val="single" w:sz="8" w:color="CFF0FC"/>
            </w:tcBorders>
            <w:gridSpan w:val="3"/>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Total Senior Secured Term</w:t>
            </w: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862,660,840</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858,060,948</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9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Loans - 149.58%*</w:t>
            </w:r>
          </w:p>
        </w:tc>
        <w:tc>
          <w:tcPr>
            <w:tcW w:w="12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4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Second Lien Term Loans</w:t>
            </w:r>
          </w:p>
        </w:tc>
        <w:tc>
          <w:tcPr>
            <w:tcW w:w="1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9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Dejero Labs Inc.</w:t>
            </w:r>
          </w:p>
        </w:tc>
        <w:tc>
          <w:tcPr>
            <w:tcW w:w="12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LIBOR+5.00%, 5.50% floor, 5.00%</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12/22/2021</w:t>
            </w: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12/22/2025</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13,490,100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13,450,968</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13,403,245</w:t>
            </w:r>
          </w:p>
        </w:tc>
        <w:tc>
          <w:tcPr>
            <w:tcW w:w="10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(3)(4)(10)</w:t>
            </w:r>
          </w:p>
        </w:tc>
        <w:tc>
          <w:tcPr>
            <w:tcW w:w="0" w:type="dxa"/>
            <w:vAlign w:val="bottom"/>
          </w:tcPr>
          <w:p>
            <w:pPr>
              <w:spacing w:after="0"/>
              <w:rPr>
                <w:sz w:val="1"/>
                <w:szCs w:val="1"/>
                <w:color w:val="auto"/>
              </w:rPr>
            </w:pPr>
          </w:p>
        </w:tc>
      </w:tr>
      <w:tr>
        <w:trPr>
          <w:trHeight w:val="171"/>
        </w:trPr>
        <w:tc>
          <w:tcPr>
            <w:tcW w:w="760" w:type="dxa"/>
            <w:vAlign w:val="bottom"/>
            <w:tcBorders>
              <w:left w:val="single" w:sz="8" w:color="CFF0FC"/>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PIK, 3.00% ETP</w:t>
            </w:r>
          </w:p>
        </w:tc>
        <w:tc>
          <w:tcPr>
            <w:tcW w:w="1040" w:type="dxa"/>
            <w:vAlign w:val="bottom"/>
            <w:tcBorders>
              <w:bottom w:val="single" w:sz="8" w:color="CFF0FC"/>
            </w:tcBorders>
            <w:gridSpan w:val="2"/>
            <w:vMerge w:val="continue"/>
            <w:shd w:val="clear" w:color="auto" w:fill="CFF0FC"/>
          </w:tcPr>
          <w:p>
            <w:pPr>
              <w:spacing w:after="0"/>
              <w:rPr>
                <w:sz w:val="14"/>
                <w:szCs w:val="14"/>
                <w:color w:val="auto"/>
              </w:rPr>
            </w:pPr>
          </w:p>
        </w:tc>
        <w:tc>
          <w:tcPr>
            <w:tcW w:w="1120" w:type="dxa"/>
            <w:vAlign w:val="bottom"/>
            <w:tcBorders>
              <w:bottom w:val="single" w:sz="8" w:color="CFF0FC"/>
            </w:tcBorders>
            <w:gridSpan w:val="2"/>
            <w:vMerge w:val="continue"/>
            <w:shd w:val="clear" w:color="auto" w:fill="CFF0FC"/>
          </w:tcPr>
          <w:p>
            <w:pPr>
              <w:spacing w:after="0"/>
              <w:rPr>
                <w:sz w:val="14"/>
                <w:szCs w:val="14"/>
                <w:color w:val="auto"/>
              </w:rPr>
            </w:pPr>
          </w:p>
        </w:tc>
        <w:tc>
          <w:tcPr>
            <w:tcW w:w="1220" w:type="dxa"/>
            <w:vAlign w:val="bottom"/>
            <w:tcBorders>
              <w:bottom w:val="single" w:sz="8" w:color="CFF0FC"/>
            </w:tcBorders>
            <w:gridSpan w:val="2"/>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System Software -</w:t>
            </w:r>
          </w:p>
        </w:tc>
        <w:tc>
          <w:tcPr>
            <w:tcW w:w="1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13,450,968</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13,403,245</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2.34%*</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940" w:type="dxa"/>
            <w:vAlign w:val="bottom"/>
            <w:gridSpan w:val="3"/>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Total Second Lien Term Loans</w:t>
            </w:r>
          </w:p>
        </w:tc>
        <w:tc>
          <w:tcPr>
            <w:tcW w:w="1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13,450,968</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13,403,245</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- 2.34%*</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 Stocks</w:t>
            </w:r>
          </w:p>
        </w:tc>
        <w:tc>
          <w:tcPr>
            <w:tcW w:w="1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9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Aria Systems, Inc.</w:t>
            </w:r>
          </w:p>
        </w:tc>
        <w:tc>
          <w:tcPr>
            <w:tcW w:w="12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G</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7/10/2018</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289,419</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384,685</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1940" w:type="dxa"/>
            <w:vAlign w:val="bottom"/>
            <w:tcBorders>
              <w:left w:val="single" w:sz="8" w:color="CFF0FC"/>
            </w:tcBorders>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Application Software -</w:t>
            </w: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384,685</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Borders>
              <w:left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0.07%*</w:t>
            </w:r>
          </w:p>
        </w:tc>
        <w:tc>
          <w:tcPr>
            <w:tcW w:w="9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94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1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9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4"/>
                <w:szCs w:val="14"/>
                <w:color w:val="auto"/>
              </w:rPr>
              <w:t>CareCloud, Inc.</w:t>
            </w:r>
          </w:p>
        </w:tc>
        <w:tc>
          <w:tcPr>
            <w:tcW w:w="120" w:type="dxa"/>
            <w:vAlign w:val="bottom"/>
          </w:tcPr>
          <w:p>
            <w:pPr>
              <w:spacing w:after="0"/>
              <w:rPr>
                <w:sz w:val="12"/>
                <w:szCs w:val="12"/>
                <w:color w:val="auto"/>
              </w:rPr>
            </w:pPr>
          </w:p>
        </w:tc>
        <w:tc>
          <w:tcPr>
            <w:tcW w:w="22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11% Series A Cumulative Redeemable</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1/8/2020</w:t>
            </w:r>
          </w:p>
        </w:tc>
        <w:tc>
          <w:tcPr>
            <w:tcW w:w="12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462,064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12,131,866</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12,327,868</w:t>
            </w:r>
          </w:p>
        </w:tc>
        <w:tc>
          <w:tcPr>
            <w:tcW w:w="1000" w:type="dxa"/>
            <w:vAlign w:val="bottom"/>
            <w:gridSpan w:val="2"/>
          </w:tcPr>
          <w:p>
            <w:pPr>
              <w:ind w:left="240"/>
              <w:spacing w:after="0" w:line="139" w:lineRule="exact"/>
              <w:rPr>
                <w:sz w:val="20"/>
                <w:szCs w:val="20"/>
                <w:color w:val="auto"/>
              </w:rPr>
            </w:pPr>
            <w:r>
              <w:rPr>
                <w:rFonts w:ascii="Times New Roman" w:cs="Times New Roman" w:eastAsia="Times New Roman" w:hAnsi="Times New Roman"/>
                <w:sz w:val="14"/>
                <w:szCs w:val="14"/>
                <w:color w:val="auto"/>
              </w:rPr>
              <w:t>(15)(17)</w:t>
            </w:r>
          </w:p>
        </w:tc>
        <w:tc>
          <w:tcPr>
            <w:tcW w:w="0" w:type="dxa"/>
            <w:vAlign w:val="bottom"/>
          </w:tcPr>
          <w:p>
            <w:pPr>
              <w:spacing w:after="0"/>
              <w:rPr>
                <w:sz w:val="1"/>
                <w:szCs w:val="1"/>
                <w:color w:val="auto"/>
              </w:rPr>
            </w:pPr>
          </w:p>
        </w:tc>
      </w:tr>
      <w:tr>
        <w:trPr>
          <w:trHeight w:val="171"/>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Perpetual</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940" w:type="dxa"/>
            <w:vAlign w:val="bottom"/>
            <w:tcBorders>
              <w:left w:val="single" w:sz="8" w:color="CFF0FC"/>
            </w:tcBorders>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Health Care Technology</w:t>
            </w: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12,131,866</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12,327,868</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Borders>
              <w:left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- 2.15%*</w:t>
            </w:r>
          </w:p>
        </w:tc>
        <w:tc>
          <w:tcPr>
            <w:tcW w:w="9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940" w:type="dxa"/>
            <w:vAlign w:val="bottom"/>
            <w:tcBorders>
              <w:left w:val="single" w:sz="8" w:color="CFF0FC"/>
            </w:tcBorders>
            <w:gridSpan w:val="3"/>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Total Preferred Stocks -</w:t>
            </w: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12,381,866</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12,712,553</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Borders>
              <w:left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2.22%*</w:t>
            </w:r>
          </w:p>
        </w:tc>
        <w:tc>
          <w:tcPr>
            <w:tcW w:w="9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-3728085</wp:posOffset>
            </wp:positionV>
            <wp:extent cx="68580" cy="1200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-3728085</wp:posOffset>
            </wp:positionV>
            <wp:extent cx="68580" cy="1200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-2999740</wp:posOffset>
            </wp:positionV>
            <wp:extent cx="6858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-2999740</wp:posOffset>
            </wp:positionV>
            <wp:extent cx="68580" cy="1200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-2682240</wp:posOffset>
            </wp:positionV>
            <wp:extent cx="68580" cy="1200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-2682240</wp:posOffset>
            </wp:positionV>
            <wp:extent cx="6858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-2142490</wp:posOffset>
            </wp:positionV>
            <wp:extent cx="68580"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-2142490</wp:posOffset>
            </wp:positionV>
            <wp:extent cx="68580" cy="214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-959485</wp:posOffset>
            </wp:positionV>
            <wp:extent cx="68580" cy="1200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-959485</wp:posOffset>
            </wp:positionV>
            <wp:extent cx="6858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-325120</wp:posOffset>
            </wp:positionV>
            <wp:extent cx="6858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-325120</wp:posOffset>
            </wp:positionV>
            <wp:extent cx="6858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39"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20" w:type="dxa"/>
            <w:vAlign w:val="bottom"/>
          </w:tcPr>
          <w:p>
            <w:pPr>
              <w:spacing w:after="0"/>
              <w:rPr>
                <w:sz w:val="13"/>
                <w:szCs w:val="13"/>
                <w:color w:val="auto"/>
              </w:rPr>
            </w:pPr>
          </w:p>
        </w:tc>
        <w:tc>
          <w:tcPr>
            <w:tcW w:w="22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40" w:type="dxa"/>
            <w:vAlign w:val="bottom"/>
          </w:tcPr>
          <w:p>
            <w:pPr>
              <w:spacing w:after="0"/>
              <w:rPr>
                <w:sz w:val="13"/>
                <w:szCs w:val="13"/>
                <w:color w:val="auto"/>
              </w:rPr>
            </w:pP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3"/>
                <w:szCs w:val="13"/>
                <w:color w:val="auto"/>
              </w:rPr>
            </w:pPr>
          </w:p>
        </w:tc>
        <w:tc>
          <w:tcPr>
            <w:tcW w:w="104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6"/>
              </w:rPr>
              <w:t>Fair Value</w:t>
            </w:r>
            <w:r>
              <w:rPr>
                <w:rFonts w:ascii="Times New Roman" w:cs="Times New Roman" w:eastAsia="Times New Roman" w:hAnsi="Times New Roman"/>
                <w:sz w:val="19"/>
                <w:szCs w:val="19"/>
                <w:b w:val="1"/>
                <w:bCs w:val="1"/>
                <w:color w:val="auto"/>
                <w:w w:val="96"/>
                <w:vertAlign w:val="superscript"/>
              </w:rPr>
              <w:t>(2),(6)</w:t>
            </w:r>
          </w:p>
        </w:tc>
        <w:tc>
          <w:tcPr>
            <w:tcW w:w="200" w:type="dxa"/>
            <w:vAlign w:val="bottom"/>
          </w:tcPr>
          <w:p>
            <w:pPr>
              <w:spacing w:after="0"/>
              <w:rPr>
                <w:sz w:val="13"/>
                <w:szCs w:val="13"/>
                <w:color w:val="auto"/>
              </w:rPr>
            </w:pP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02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20" w:type="dxa"/>
            <w:vAlign w:val="bottom"/>
            <w:tcBorders>
              <w:left w:val="single" w:sz="8" w:color="CFF0FC"/>
            </w:tcBorders>
            <w:gridSpan w:val="3"/>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w:t>
            </w:r>
          </w:p>
        </w:tc>
        <w:tc>
          <w:tcPr>
            <w:tcW w:w="120" w:type="dxa"/>
            <w:vAlign w:val="bottom"/>
            <w:shd w:val="clear" w:color="auto" w:fill="CFF0FC"/>
          </w:tcPr>
          <w:p>
            <w:pPr>
              <w:spacing w:after="0"/>
              <w:rPr>
                <w:sz w:val="12"/>
                <w:szCs w:val="12"/>
                <w:color w:val="auto"/>
              </w:rPr>
            </w:pPr>
          </w:p>
        </w:tc>
        <w:tc>
          <w:tcPr>
            <w:tcW w:w="2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Borders>
              <w:top w:val="single" w:sz="8" w:color="auto"/>
              <w:left w:val="single" w:sz="8" w:color="CFF0FC"/>
            </w:tcBorders>
            <w:gridSpan w:val="2"/>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3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2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60" w:type="dxa"/>
            <w:vAlign w:val="bottom"/>
            <w:tcBorders>
              <w:left w:val="single" w:sz="8" w:color="CFF0FC"/>
            </w:tcBorders>
            <w:shd w:val="clear" w:color="auto" w:fill="000000"/>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Common Stocks</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FiscalNote, Inc.</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10/19/2020</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230,881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438,014</w:t>
            </w:r>
          </w:p>
        </w:tc>
        <w:tc>
          <w:tcPr>
            <w:tcW w:w="4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1,413,356</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(7)(19)</w:t>
            </w:r>
          </w:p>
        </w:tc>
        <w:tc>
          <w:tcPr>
            <w:tcW w:w="0" w:type="dxa"/>
            <w:vAlign w:val="bottom"/>
          </w:tcPr>
          <w:p>
            <w:pPr>
              <w:spacing w:after="0"/>
              <w:rPr>
                <w:sz w:val="1"/>
                <w:szCs w:val="1"/>
                <w:color w:val="auto"/>
              </w:rPr>
            </w:pPr>
          </w:p>
        </w:tc>
      </w:tr>
      <w:tr>
        <w:trPr>
          <w:trHeight w:val="131"/>
        </w:trPr>
        <w:tc>
          <w:tcPr>
            <w:tcW w:w="2020" w:type="dxa"/>
            <w:vAlign w:val="bottom"/>
            <w:tcBorders>
              <w:left w:val="single" w:sz="8" w:color="CFF0FC"/>
            </w:tcBorders>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Application Software -</w:t>
            </w:r>
          </w:p>
        </w:tc>
        <w:tc>
          <w:tcPr>
            <w:tcW w:w="120" w:type="dxa"/>
            <w:vAlign w:val="bottom"/>
            <w:shd w:val="clear" w:color="auto" w:fill="CFF0FC"/>
          </w:tcPr>
          <w:p>
            <w:pPr>
              <w:spacing w:after="0"/>
              <w:rPr>
                <w:sz w:val="11"/>
                <w:szCs w:val="11"/>
                <w:color w:val="auto"/>
              </w:rPr>
            </w:pPr>
          </w:p>
        </w:tc>
        <w:tc>
          <w:tcPr>
            <w:tcW w:w="2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438,014</w:t>
            </w:r>
          </w:p>
        </w:tc>
        <w:tc>
          <w:tcPr>
            <w:tcW w:w="220" w:type="dxa"/>
            <w:vAlign w:val="bottom"/>
            <w:shd w:val="clear" w:color="auto" w:fill="CFF0FC"/>
          </w:tcPr>
          <w:p>
            <w:pPr>
              <w:spacing w:after="0"/>
              <w:rPr>
                <w:sz w:val="11"/>
                <w:szCs w:val="11"/>
                <w:color w:val="auto"/>
              </w:rPr>
            </w:pPr>
          </w:p>
        </w:tc>
        <w:tc>
          <w:tcPr>
            <w:tcW w:w="260" w:type="dxa"/>
            <w:vAlign w:val="bottom"/>
            <w:tcBorders>
              <w:top w:val="single" w:sz="8" w:color="auto"/>
            </w:tcBorders>
            <w:shd w:val="clear" w:color="auto" w:fill="CFF0FC"/>
          </w:tcPr>
          <w:p>
            <w:pPr>
              <w:spacing w:after="0"/>
              <w:rPr>
                <w:sz w:val="11"/>
                <w:szCs w:val="11"/>
                <w:color w:val="auto"/>
              </w:rPr>
            </w:pPr>
          </w:p>
        </w:tc>
        <w:tc>
          <w:tcPr>
            <w:tcW w:w="7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1,413,356</w:t>
            </w: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Borders>
              <w:left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0.24%*</w:t>
            </w:r>
          </w:p>
        </w:tc>
        <w:tc>
          <w:tcPr>
            <w:tcW w:w="9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20" w:type="dxa"/>
            <w:vAlign w:val="bottom"/>
            <w:tcBorders>
              <w:left w:val="single" w:sz="8" w:color="CFF0FC"/>
            </w:tcBorders>
            <w:gridSpan w:val="3"/>
            <w:shd w:val="clear" w:color="auto" w:fill="CFF0FC"/>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Technology Hardware, Storage</w:t>
            </w:r>
          </w:p>
        </w:tc>
        <w:tc>
          <w:tcPr>
            <w:tcW w:w="120" w:type="dxa"/>
            <w:vAlign w:val="bottom"/>
            <w:shd w:val="clear" w:color="auto" w:fill="CFF0FC"/>
          </w:tcPr>
          <w:p>
            <w:pPr>
              <w:spacing w:after="0"/>
              <w:rPr>
                <w:sz w:val="11"/>
                <w:szCs w:val="11"/>
                <w:color w:val="auto"/>
              </w:rPr>
            </w:pPr>
          </w:p>
        </w:tc>
        <w:tc>
          <w:tcPr>
            <w:tcW w:w="2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&amp; Peripherals</w:t>
            </w:r>
          </w:p>
        </w:tc>
        <w:tc>
          <w:tcPr>
            <w:tcW w:w="12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Quantum Corporation</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8/13/2021</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459,720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2,606,612</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496,498</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(3)(7)(15)(17)</w:t>
            </w:r>
          </w:p>
        </w:tc>
        <w:tc>
          <w:tcPr>
            <w:tcW w:w="0" w:type="dxa"/>
            <w:vAlign w:val="bottom"/>
          </w:tcPr>
          <w:p>
            <w:pPr>
              <w:spacing w:after="0"/>
              <w:rPr>
                <w:sz w:val="1"/>
                <w:szCs w:val="1"/>
                <w:color w:val="auto"/>
              </w:rPr>
            </w:pPr>
          </w:p>
        </w:tc>
      </w:tr>
      <w:tr>
        <w:trPr>
          <w:trHeight w:val="176"/>
        </w:trPr>
        <w:tc>
          <w:tcPr>
            <w:tcW w:w="202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zSpace, Inc.</w:t>
            </w:r>
          </w:p>
        </w:tc>
        <w:tc>
          <w:tcPr>
            <w:tcW w:w="120" w:type="dxa"/>
            <w:vAlign w:val="bottom"/>
            <w:tcBorders>
              <w:bottom w:val="single" w:sz="8" w:color="CFF0FC"/>
            </w:tcBorders>
            <w:shd w:val="clear" w:color="auto" w:fill="CFF0FC"/>
          </w:tcPr>
          <w:p>
            <w:pPr>
              <w:spacing w:after="0"/>
              <w:rPr>
                <w:sz w:val="15"/>
                <w:szCs w:val="15"/>
                <w:color w:val="auto"/>
              </w:rPr>
            </w:pPr>
          </w:p>
        </w:tc>
        <w:tc>
          <w:tcPr>
            <w:tcW w:w="2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12/31/2020</w:t>
            </w: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6,078,499</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1,119,096</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20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Technology Hardware,</w:t>
            </w:r>
          </w:p>
        </w:tc>
        <w:tc>
          <w:tcPr>
            <w:tcW w:w="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3,725,708</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496,498</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Storage &amp; Peripherals - 0.09%*</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Common Stocks - 0.33%*</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4,163,722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1,909,854</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Advertising</w:t>
            </w:r>
          </w:p>
        </w:tc>
        <w:tc>
          <w:tcPr>
            <w:tcW w:w="12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STN Video Inc.</w:t>
            </w:r>
          </w:p>
        </w:tc>
        <w:tc>
          <w:tcPr>
            <w:tcW w:w="12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Class B Non-Voting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6/30/2017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6/30/2027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191,500</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246,461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69"/>
        </w:trPr>
        <w:tc>
          <w:tcPr>
            <w:tcW w:w="202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Advertising - 0.00%*</w:t>
            </w:r>
          </w:p>
        </w:tc>
        <w:tc>
          <w:tcPr>
            <w:tcW w:w="120" w:type="dxa"/>
            <w:vAlign w:val="bottom"/>
            <w:tcBorders>
              <w:bottom w:val="single" w:sz="8" w:color="CFF0FC"/>
            </w:tcBorders>
            <w:shd w:val="clear" w:color="auto" w:fill="CFF0FC"/>
          </w:tcPr>
          <w:p>
            <w:pPr>
              <w:spacing w:after="0"/>
              <w:rPr>
                <w:sz w:val="14"/>
                <w:szCs w:val="14"/>
                <w:color w:val="auto"/>
              </w:rPr>
            </w:pPr>
          </w:p>
        </w:tc>
        <w:tc>
          <w:tcPr>
            <w:tcW w:w="2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246,461</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3DNA Corp. (dba NationBuilder)</w:t>
            </w:r>
          </w:p>
        </w:tc>
        <w:tc>
          <w:tcPr>
            <w:tcW w:w="12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C-1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12/28/2018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12/28/2028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273,164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104,138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Aria Systems, Inc.</w:t>
            </w:r>
          </w:p>
        </w:tc>
        <w:tc>
          <w:tcPr>
            <w:tcW w:w="120" w:type="dxa"/>
            <w:vAlign w:val="bottom"/>
            <w:shd w:val="clear" w:color="auto" w:fill="CFF0FC"/>
          </w:tcPr>
          <w:p>
            <w:pPr>
              <w:spacing w:after="0"/>
              <w:rPr>
                <w:sz w:val="15"/>
                <w:szCs w:val="15"/>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G Preferred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6/29/2018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6/29/2028</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2,387,705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1,047,581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3,173,647</w:t>
            </w:r>
          </w:p>
        </w:tc>
        <w:tc>
          <w:tcPr>
            <w:tcW w:w="11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Circadence Corporation</w:t>
            </w:r>
          </w:p>
        </w:tc>
        <w:tc>
          <w:tcPr>
            <w:tcW w:w="12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A-6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12/20/2018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12/20/2028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1,538,462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3,630,000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499,430</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760" w:type="dxa"/>
            <w:vAlign w:val="bottom"/>
            <w:tcBorders>
              <w:left w:val="single" w:sz="8" w:color="CFF0FC"/>
            </w:tcBorders>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A-6 Preferred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10/31/2019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10/31/2029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384,615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845,540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124,857</w:t>
            </w:r>
          </w:p>
        </w:tc>
        <w:tc>
          <w:tcPr>
            <w:tcW w:w="11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Dtex Systems, Inc.</w:t>
            </w:r>
          </w:p>
        </w:tc>
        <w:tc>
          <w:tcPr>
            <w:tcW w:w="12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C-Prime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6/1/2018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6/1/2025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59,000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238,650</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760" w:type="dxa"/>
            <w:vAlign w:val="bottom"/>
            <w:tcBorders>
              <w:left w:val="single" w:sz="8" w:color="CFF0FC"/>
            </w:tcBorders>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C-Prime Preferred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7/11/2019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7/11/2026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833,333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114,719</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397,749</w:t>
            </w:r>
          </w:p>
        </w:tc>
        <w:tc>
          <w:tcPr>
            <w:tcW w:w="11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FiscalNote, Inc.</w:t>
            </w:r>
          </w:p>
        </w:tc>
        <w:tc>
          <w:tcPr>
            <w:tcW w:w="12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Earnout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7/29/2022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7/29/2027</w:t>
            </w:r>
          </w:p>
        </w:tc>
        <w:tc>
          <w:tcPr>
            <w:tcW w:w="2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127,319</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66,950</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75"/>
        </w:trPr>
        <w:tc>
          <w:tcPr>
            <w:tcW w:w="202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Porch Group, Inc.</w:t>
            </w:r>
          </w:p>
        </w:tc>
        <w:tc>
          <w:tcPr>
            <w:tcW w:w="120" w:type="dxa"/>
            <w:vAlign w:val="bottom"/>
            <w:tcBorders>
              <w:bottom w:val="single" w:sz="8" w:color="CFF0FC"/>
            </w:tcBorders>
            <w:shd w:val="clear" w:color="auto" w:fill="CFF0FC"/>
          </w:tcPr>
          <w:p>
            <w:pPr>
              <w:spacing w:after="0"/>
              <w:rPr>
                <w:sz w:val="15"/>
                <w:szCs w:val="15"/>
                <w:color w:val="auto"/>
              </w:rPr>
            </w:pPr>
          </w:p>
        </w:tc>
        <w:tc>
          <w:tcPr>
            <w:tcW w:w="22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Earnout</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12/23/2020</w:t>
            </w:r>
          </w:p>
        </w:tc>
        <w:tc>
          <w:tcPr>
            <w:tcW w:w="1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12/23/2023</w:t>
            </w: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FF0FC"/>
            </w:tcBorders>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(7)(13)(15)</w:t>
            </w:r>
          </w:p>
        </w:tc>
        <w:tc>
          <w:tcPr>
            <w:tcW w:w="0" w:type="dxa"/>
            <w:vAlign w:val="bottom"/>
          </w:tcPr>
          <w:p>
            <w:pPr>
              <w:spacing w:after="0"/>
              <w:rPr>
                <w:sz w:val="1"/>
                <w:szCs w:val="1"/>
                <w:color w:val="auto"/>
              </w:rPr>
            </w:pPr>
          </w:p>
        </w:tc>
      </w:tr>
      <w:tr>
        <w:trPr>
          <w:trHeight w:val="131"/>
        </w:trPr>
        <w:tc>
          <w:tcPr>
            <w:tcW w:w="202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Application Software -</w:t>
            </w:r>
          </w:p>
        </w:tc>
        <w:tc>
          <w:tcPr>
            <w:tcW w:w="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5,928,297</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4,501,283</w:t>
            </w: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0.78%*</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Biotechnology</w:t>
            </w:r>
          </w:p>
        </w:tc>
        <w:tc>
          <w:tcPr>
            <w:tcW w:w="1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Mustang Bio, Inc.</w:t>
            </w:r>
          </w:p>
        </w:tc>
        <w:tc>
          <w:tcPr>
            <w:tcW w:w="120" w:type="dxa"/>
            <w:vAlign w:val="bottom"/>
            <w:shd w:val="clear" w:color="auto" w:fill="CFF0FC"/>
          </w:tcPr>
          <w:p>
            <w:pPr>
              <w:spacing w:after="0"/>
              <w:rPr>
                <w:sz w:val="15"/>
                <w:szCs w:val="15"/>
                <w:color w:val="auto"/>
              </w:rPr>
            </w:pPr>
          </w:p>
        </w:tc>
        <w:tc>
          <w:tcPr>
            <w:tcW w:w="2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3/4/2022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3/4/2032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748,036</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315,000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106,258</w:t>
            </w:r>
          </w:p>
        </w:tc>
        <w:tc>
          <w:tcPr>
            <w:tcW w:w="11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TRACON Pharmaceuticals, Inc.</w:t>
            </w:r>
          </w:p>
        </w:tc>
        <w:tc>
          <w:tcPr>
            <w:tcW w:w="12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9/2/2032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150,753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225,911</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183,715</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9"/>
        </w:trPr>
        <w:tc>
          <w:tcPr>
            <w:tcW w:w="202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Biotechnology - 0.05%*</w:t>
            </w:r>
          </w:p>
        </w:tc>
        <w:tc>
          <w:tcPr>
            <w:tcW w:w="120" w:type="dxa"/>
            <w:vAlign w:val="bottom"/>
            <w:tcBorders>
              <w:bottom w:val="single" w:sz="8" w:color="CFF0FC"/>
            </w:tcBorders>
            <w:shd w:val="clear" w:color="auto" w:fill="CFF0FC"/>
          </w:tcPr>
          <w:p>
            <w:pPr>
              <w:spacing w:after="0"/>
              <w:rPr>
                <w:sz w:val="14"/>
                <w:szCs w:val="14"/>
                <w:color w:val="auto"/>
              </w:rPr>
            </w:pPr>
          </w:p>
        </w:tc>
        <w:tc>
          <w:tcPr>
            <w:tcW w:w="2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540,911</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289,973</w:t>
            </w:r>
          </w:p>
        </w:tc>
        <w:tc>
          <w:tcPr>
            <w:tcW w:w="20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20" w:type="dxa"/>
            <w:vAlign w:val="bottom"/>
            <w:tcBorders>
              <w:lef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Computer &amp; Electronics Retail</w:t>
            </w:r>
          </w:p>
        </w:tc>
        <w:tc>
          <w:tcPr>
            <w:tcW w:w="12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Massdrop, Inc.</w:t>
            </w:r>
          </w:p>
        </w:tc>
        <w:tc>
          <w:tcPr>
            <w:tcW w:w="12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7/22/2019</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7/22/2029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848,093</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183,188</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147,087</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2020" w:type="dxa"/>
            <w:vAlign w:val="bottom"/>
            <w:tcBorders>
              <w:left w:val="single" w:sz="8" w:color="CFF0FC"/>
            </w:tcBorders>
            <w:gridSpan w:val="3"/>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Total Computer &amp; Electronics</w:t>
            </w:r>
          </w:p>
        </w:tc>
        <w:tc>
          <w:tcPr>
            <w:tcW w:w="120" w:type="dxa"/>
            <w:vAlign w:val="bottom"/>
            <w:shd w:val="clear" w:color="auto" w:fill="CFF0FC"/>
          </w:tcPr>
          <w:p>
            <w:pPr>
              <w:spacing w:after="0"/>
              <w:rPr>
                <w:sz w:val="11"/>
                <w:szCs w:val="11"/>
                <w:color w:val="auto"/>
              </w:rPr>
            </w:pPr>
          </w:p>
        </w:tc>
        <w:tc>
          <w:tcPr>
            <w:tcW w:w="2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183,188</w:t>
            </w:r>
          </w:p>
        </w:tc>
        <w:tc>
          <w:tcPr>
            <w:tcW w:w="2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147,087</w:t>
            </w:r>
          </w:p>
        </w:tc>
        <w:tc>
          <w:tcPr>
            <w:tcW w:w="2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2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Retail - 0.03%*</w:t>
            </w:r>
          </w:p>
        </w:tc>
        <w:tc>
          <w:tcPr>
            <w:tcW w:w="120" w:type="dxa"/>
            <w:vAlign w:val="bottom"/>
            <w:tcBorders>
              <w:bottom w:val="single" w:sz="8" w:color="CFF0FC"/>
            </w:tcBorders>
            <w:shd w:val="clear" w:color="auto" w:fill="CFF0FC"/>
          </w:tcPr>
          <w:p>
            <w:pPr>
              <w:spacing w:after="0"/>
              <w:rPr>
                <w:sz w:val="15"/>
                <w:szCs w:val="15"/>
                <w:color w:val="auto"/>
              </w:rPr>
            </w:pPr>
          </w:p>
        </w:tc>
        <w:tc>
          <w:tcPr>
            <w:tcW w:w="2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-4028440</wp:posOffset>
            </wp:positionV>
            <wp:extent cx="6858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-4028440</wp:posOffset>
            </wp:positionV>
            <wp:extent cx="6858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-3479800</wp:posOffset>
            </wp:positionV>
            <wp:extent cx="68580" cy="2146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-3479800</wp:posOffset>
            </wp:positionV>
            <wp:extent cx="68580" cy="2146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-3154045</wp:posOffset>
            </wp:positionV>
            <wp:extent cx="6858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-3154045</wp:posOffset>
            </wp:positionV>
            <wp:extent cx="68580" cy="1289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-2459355</wp:posOffset>
            </wp:positionV>
            <wp:extent cx="6858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-2459355</wp:posOffset>
            </wp:positionV>
            <wp:extent cx="6858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-1336675</wp:posOffset>
            </wp:positionV>
            <wp:extent cx="68580" cy="2146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-1336675</wp:posOffset>
            </wp:positionV>
            <wp:extent cx="68580" cy="2146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-556895</wp:posOffset>
            </wp:positionV>
            <wp:extent cx="6858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-556895</wp:posOffset>
            </wp:positionV>
            <wp:extent cx="6858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9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20" w:type="dxa"/>
            <w:vAlign w:val="bottom"/>
          </w:tcPr>
          <w:p>
            <w:pPr>
              <w:spacing w:after="0"/>
              <w:rPr>
                <w:sz w:val="13"/>
                <w:szCs w:val="13"/>
                <w:color w:val="auto"/>
              </w:rPr>
            </w:pPr>
          </w:p>
        </w:tc>
        <w:tc>
          <w:tcPr>
            <w:tcW w:w="22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0" w:type="dxa"/>
            <w:vAlign w:val="bottom"/>
          </w:tcPr>
          <w:p>
            <w:pPr>
              <w:spacing w:after="0"/>
              <w:rPr>
                <w:sz w:val="13"/>
                <w:szCs w:val="13"/>
                <w:color w:val="auto"/>
              </w:rPr>
            </w:pPr>
          </w:p>
        </w:tc>
        <w:tc>
          <w:tcPr>
            <w:tcW w:w="10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0"/>
              </w:rPr>
              <w:t>Fair Value</w:t>
            </w:r>
            <w:r>
              <w:rPr>
                <w:rFonts w:ascii="Times New Roman" w:cs="Times New Roman" w:eastAsia="Times New Roman" w:hAnsi="Times New Roman"/>
                <w:sz w:val="19"/>
                <w:szCs w:val="19"/>
                <w:b w:val="1"/>
                <w:bCs w:val="1"/>
                <w:color w:val="auto"/>
                <w:w w:val="90"/>
                <w:vertAlign w:val="superscript"/>
              </w:rPr>
              <w:t>(2),(6)</w:t>
            </w:r>
          </w:p>
        </w:tc>
        <w:tc>
          <w:tcPr>
            <w:tcW w:w="220" w:type="dxa"/>
            <w:vAlign w:val="bottom"/>
          </w:tcPr>
          <w:p>
            <w:pPr>
              <w:spacing w:after="0"/>
              <w:rPr>
                <w:sz w:val="13"/>
                <w:szCs w:val="13"/>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04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w:t>
            </w:r>
          </w:p>
        </w:tc>
        <w:tc>
          <w:tcPr>
            <w:tcW w:w="12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FF0FC"/>
            </w:tcBorders>
            <w:shd w:val="clear" w:color="auto" w:fill="CFF0FC"/>
          </w:tcPr>
          <w:p>
            <w:pPr>
              <w:spacing w:after="0"/>
              <w:rPr>
                <w:sz w:val="11"/>
                <w:szCs w:val="11"/>
                <w:color w:val="auto"/>
              </w:rPr>
            </w:pPr>
          </w:p>
        </w:tc>
        <w:tc>
          <w:tcPr>
            <w:tcW w:w="1660" w:type="dxa"/>
            <w:vAlign w:val="bottom"/>
            <w:tcBorders>
              <w:top w:val="single" w:sz="8" w:color="auto"/>
            </w:tcBorders>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3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00" w:type="dxa"/>
            <w:vAlign w:val="bottom"/>
            <w:tcBorders>
              <w:top w:val="single" w:sz="8" w:color="CFF0FC"/>
            </w:tcBorders>
            <w:gridSpan w:val="2"/>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98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FF0FC"/>
          </w:tcPr>
          <w:p>
            <w:pPr>
              <w:spacing w:after="0"/>
              <w:rPr>
                <w:sz w:val="11"/>
                <w:szCs w:val="11"/>
                <w:color w:val="auto"/>
              </w:rPr>
            </w:pPr>
          </w:p>
        </w:tc>
        <w:tc>
          <w:tcPr>
            <w:tcW w:w="2040" w:type="dxa"/>
            <w:vAlign w:val="bottom"/>
            <w:gridSpan w:val="3"/>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Data Processing &amp; Outsourced</w:t>
            </w: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FF0FC"/>
          </w:tcPr>
          <w:p>
            <w:pPr>
              <w:spacing w:after="0"/>
              <w:rPr>
                <w:sz w:val="16"/>
                <w:szCs w:val="16"/>
                <w:color w:val="auto"/>
              </w:rPr>
            </w:pPr>
          </w:p>
        </w:tc>
        <w:tc>
          <w:tcPr>
            <w:tcW w:w="2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Interactions Corporation</w:t>
            </w:r>
          </w:p>
        </w:tc>
        <w:tc>
          <w:tcPr>
            <w:tcW w:w="12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6/24/2022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6/24/2032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189,408</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227,756</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ShareThis, Inc.</w:t>
            </w:r>
          </w:p>
        </w:tc>
        <w:tc>
          <w:tcPr>
            <w:tcW w:w="12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12/3/2018</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12/3/2028</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647,615</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2,162,000</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2,333,333</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Data Processing &amp;</w:t>
            </w: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2,380,773</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2,561,089</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Outsourced Services - 0.45%*</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040" w:type="dxa"/>
            <w:vAlign w:val="bottom"/>
            <w:gridSpan w:val="3"/>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Electronic Equipment &amp;</w:t>
            </w: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Epic IO Technologies, Inc.</w:t>
            </w:r>
          </w:p>
        </w:tc>
        <w:tc>
          <w:tcPr>
            <w:tcW w:w="12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12/17/2021</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12/17/2024</w:t>
            </w:r>
          </w:p>
        </w:tc>
        <w:tc>
          <w:tcPr>
            <w:tcW w:w="1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380,449</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391,794</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3"/>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Electronic Equipment &amp;</w:t>
            </w:r>
          </w:p>
        </w:tc>
        <w:tc>
          <w:tcPr>
            <w:tcW w:w="1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380,449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391,794</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Instruments - 0.07%*</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Health Care Equipment</w:t>
            </w:r>
          </w:p>
        </w:tc>
        <w:tc>
          <w:tcPr>
            <w:tcW w:w="1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Moximed, Inc.</w:t>
            </w: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C Preferred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6/24/2022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6/24/2032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214,285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175,233</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113,853</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Revelle Aesthetics, Inc.</w:t>
            </w:r>
          </w:p>
        </w:tc>
        <w:tc>
          <w:tcPr>
            <w:tcW w:w="12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A-2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3/30/2022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3/30/3032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115,591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126,314</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108,874</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20" w:type="dxa"/>
            <w:vAlign w:val="bottom"/>
            <w:shd w:val="clear" w:color="auto" w:fill="CFF0FC"/>
          </w:tcPr>
          <w:p>
            <w:pPr>
              <w:spacing w:after="0"/>
              <w:rPr>
                <w:sz w:val="11"/>
                <w:szCs w:val="11"/>
                <w:color w:val="auto"/>
              </w:rPr>
            </w:pPr>
          </w:p>
        </w:tc>
        <w:tc>
          <w:tcPr>
            <w:tcW w:w="204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Health Care Equipment -</w:t>
            </w: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301,547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222,727</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0.04%*</w:t>
            </w:r>
          </w:p>
        </w:tc>
        <w:tc>
          <w:tcPr>
            <w:tcW w:w="9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Health Care Technology</w:t>
            </w: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Allurion Technologies, Inc.</w:t>
            </w:r>
          </w:p>
        </w:tc>
        <w:tc>
          <w:tcPr>
            <w:tcW w:w="12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C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3/30/2021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3/30/2031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132,979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282,462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690,497</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D-1 Preferred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6/14/2022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3/30/2031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44,220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140,821</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151,241</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CareCloud, Inc.</w:t>
            </w:r>
          </w:p>
        </w:tc>
        <w:tc>
          <w:tcPr>
            <w:tcW w:w="12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1/8/2020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1/8/2023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837,000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EBR Systems, Inc.</w:t>
            </w: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6/30/2032</w:t>
            </w: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292,297</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305,928</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Gynesonics, Inc.</w:t>
            </w:r>
          </w:p>
        </w:tc>
        <w:tc>
          <w:tcPr>
            <w:tcW w:w="12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G Convertible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11/19/2021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11/19/2031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27,978,115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340,524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530,955</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Mingle Healthcare Solutions, Inc.</w:t>
            </w: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AA Preferred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8/15/2018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8/15/2028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1,625,000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492,375</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Route 92 Medical, Inc.</w:t>
            </w:r>
          </w:p>
        </w:tc>
        <w:tc>
          <w:tcPr>
            <w:tcW w:w="12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8/17/2021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8/17/2031</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248,118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292,685</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SetPoint Medical Corporation</w:t>
            </w: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6/29/2021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6/29/2031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14,060</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VERO Biotech LLC</w:t>
            </w:r>
          </w:p>
        </w:tc>
        <w:tc>
          <w:tcPr>
            <w:tcW w:w="12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Success fee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12/29/2020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12/29/2025</w:t>
            </w:r>
          </w:p>
        </w:tc>
        <w:tc>
          <w:tcPr>
            <w:tcW w:w="1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376,500</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385,942</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(7)(13)</w:t>
            </w:r>
          </w:p>
        </w:tc>
        <w:tc>
          <w:tcPr>
            <w:tcW w:w="0" w:type="dxa"/>
            <w:vAlign w:val="bottom"/>
          </w:tcPr>
          <w:p>
            <w:pPr>
              <w:spacing w:after="0"/>
              <w:rPr>
                <w:sz w:val="1"/>
                <w:szCs w:val="1"/>
                <w:color w:val="auto"/>
              </w:rPr>
            </w:pPr>
          </w:p>
        </w:tc>
      </w:tr>
      <w:tr>
        <w:trPr>
          <w:trHeight w:val="131"/>
        </w:trPr>
        <w:tc>
          <w:tcPr>
            <w:tcW w:w="20" w:type="dxa"/>
            <w:vAlign w:val="bottom"/>
            <w:shd w:val="clear" w:color="auto" w:fill="CFF0FC"/>
          </w:tcPr>
          <w:p>
            <w:pPr>
              <w:spacing w:after="0"/>
              <w:rPr>
                <w:sz w:val="11"/>
                <w:szCs w:val="11"/>
                <w:color w:val="auto"/>
              </w:rPr>
            </w:pPr>
          </w:p>
        </w:tc>
        <w:tc>
          <w:tcPr>
            <w:tcW w:w="204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Health Care Technology -</w:t>
            </w: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3,024,157</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2,362,248</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0.41%*</w:t>
            </w:r>
          </w:p>
        </w:tc>
        <w:tc>
          <w:tcPr>
            <w:tcW w:w="9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shd w:val="clear" w:color="auto" w:fill="CFF0FC"/>
          </w:tcPr>
          <w:p>
            <w:pPr>
              <w:spacing w:after="0"/>
              <w:rPr>
                <w:sz w:val="11"/>
                <w:szCs w:val="11"/>
                <w:color w:val="auto"/>
              </w:rPr>
            </w:pPr>
          </w:p>
        </w:tc>
        <w:tc>
          <w:tcPr>
            <w:tcW w:w="2040" w:type="dxa"/>
            <w:vAlign w:val="bottom"/>
            <w:gridSpan w:val="3"/>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Human Resource &amp;</w:t>
            </w: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FF0FC"/>
          </w:tcPr>
          <w:p>
            <w:pPr>
              <w:spacing w:after="0"/>
              <w:rPr>
                <w:sz w:val="16"/>
                <w:szCs w:val="16"/>
                <w:color w:val="auto"/>
              </w:rPr>
            </w:pPr>
          </w:p>
        </w:tc>
        <w:tc>
          <w:tcPr>
            <w:tcW w:w="20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Employment Services</w:t>
            </w:r>
          </w:p>
        </w:tc>
        <w:tc>
          <w:tcPr>
            <w:tcW w:w="120" w:type="dxa"/>
            <w:vAlign w:val="bottom"/>
            <w:shd w:val="clear" w:color="auto" w:fill="CFF0FC"/>
          </w:tcPr>
          <w:p>
            <w:pPr>
              <w:spacing w:after="0"/>
              <w:rPr>
                <w:sz w:val="16"/>
                <w:szCs w:val="16"/>
                <w:color w:val="auto"/>
              </w:rPr>
            </w:pPr>
          </w:p>
        </w:tc>
        <w:tc>
          <w:tcPr>
            <w:tcW w:w="2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CloudPay, Inc.</w:t>
            </w:r>
          </w:p>
        </w:tc>
        <w:tc>
          <w:tcPr>
            <w:tcW w:w="12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6/30/2020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6/30/2030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217,500</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937,002</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(3)(7)(12)</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D Preferred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8/17/2021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8/17/2031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6,129</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160,394</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252,060</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(3)(7)(12)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Snagajob.com, Inc.</w:t>
            </w:r>
          </w:p>
        </w:tc>
        <w:tc>
          <w:tcPr>
            <w:tcW w:w="12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B-1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9/29/2021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9/29/2031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763,269</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342,716</w:t>
            </w:r>
          </w:p>
        </w:tc>
        <w:tc>
          <w:tcPr>
            <w:tcW w:w="2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273,454</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20" w:type="dxa"/>
            <w:vAlign w:val="bottom"/>
            <w:shd w:val="clear" w:color="auto" w:fill="CFF0FC"/>
          </w:tcPr>
          <w:p>
            <w:pPr>
              <w:spacing w:after="0"/>
              <w:rPr>
                <w:sz w:val="11"/>
                <w:szCs w:val="11"/>
                <w:color w:val="auto"/>
              </w:rPr>
            </w:pPr>
          </w:p>
        </w:tc>
        <w:tc>
          <w:tcPr>
            <w:tcW w:w="2040" w:type="dxa"/>
            <w:vAlign w:val="bottom"/>
            <w:gridSpan w:val="3"/>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Human Resource &amp;</w:t>
            </w:r>
          </w:p>
        </w:tc>
        <w:tc>
          <w:tcPr>
            <w:tcW w:w="12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720,610</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1,462,516</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Employment Services - 0.25%*</w:t>
            </w:r>
          </w:p>
        </w:tc>
        <w:tc>
          <w:tcPr>
            <w:tcW w:w="12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-3822700</wp:posOffset>
            </wp:positionV>
            <wp:extent cx="68580" cy="2146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-3822700</wp:posOffset>
            </wp:positionV>
            <wp:extent cx="68580" cy="21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-3179445</wp:posOffset>
            </wp:positionV>
            <wp:extent cx="68580" cy="2146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-3179445</wp:posOffset>
            </wp:positionV>
            <wp:extent cx="68580" cy="2146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-2313940</wp:posOffset>
            </wp:positionV>
            <wp:extent cx="68580" cy="1200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-2313940</wp:posOffset>
            </wp:positionV>
            <wp:extent cx="68580" cy="1200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-873760</wp:posOffset>
            </wp:positionV>
            <wp:extent cx="68580" cy="1200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-873760</wp:posOffset>
            </wp:positionV>
            <wp:extent cx="68580" cy="120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00" w:type="dxa"/>
            <w:vAlign w:val="bottom"/>
          </w:tcPr>
          <w:p>
            <w:pPr>
              <w:spacing w:after="0"/>
              <w:rPr>
                <w:sz w:val="13"/>
                <w:szCs w:val="13"/>
                <w:color w:val="auto"/>
              </w:rPr>
            </w:pPr>
          </w:p>
        </w:tc>
        <w:tc>
          <w:tcPr>
            <w:tcW w:w="228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tcPr>
          <w:p>
            <w:pPr>
              <w:spacing w:after="0"/>
              <w:rPr>
                <w:sz w:val="13"/>
                <w:szCs w:val="13"/>
                <w:color w:val="auto"/>
              </w:rPr>
            </w:pPr>
          </w:p>
        </w:tc>
        <w:tc>
          <w:tcPr>
            <w:tcW w:w="10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0"/>
              </w:rPr>
              <w:t>Fair Value</w:t>
            </w:r>
            <w:r>
              <w:rPr>
                <w:rFonts w:ascii="Times New Roman" w:cs="Times New Roman" w:eastAsia="Times New Roman" w:hAnsi="Times New Roman"/>
                <w:sz w:val="19"/>
                <w:szCs w:val="19"/>
                <w:b w:val="1"/>
                <w:bCs w:val="1"/>
                <w:color w:val="auto"/>
                <w:w w:val="90"/>
                <w:vertAlign w:val="superscript"/>
              </w:rPr>
              <w:t>(2),(6)</w:t>
            </w:r>
          </w:p>
        </w:tc>
        <w:tc>
          <w:tcPr>
            <w:tcW w:w="220" w:type="dxa"/>
            <w:vAlign w:val="bottom"/>
          </w:tcPr>
          <w:p>
            <w:pPr>
              <w:spacing w:after="0"/>
              <w:rPr>
                <w:sz w:val="13"/>
                <w:szCs w:val="13"/>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vMerge w:val="continue"/>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040" w:type="dxa"/>
            <w:vAlign w:val="bottom"/>
            <w:gridSpan w:val="5"/>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Non-Control/Non-Affiliate</w:t>
            </w: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Borders>
              <w:top w:val="single" w:sz="8" w:color="CFF0FC"/>
            </w:tcBorders>
            <w:shd w:val="clear" w:color="auto" w:fill="CFF0FC"/>
          </w:tcPr>
          <w:p>
            <w:pPr>
              <w:spacing w:after="0"/>
              <w:rPr>
                <w:sz w:val="11"/>
                <w:szCs w:val="11"/>
                <w:color w:val="auto"/>
              </w:rPr>
            </w:pPr>
          </w:p>
        </w:tc>
        <w:tc>
          <w:tcPr>
            <w:tcW w:w="1660" w:type="dxa"/>
            <w:vAlign w:val="bottom"/>
            <w:tcBorders>
              <w:top w:val="single" w:sz="8" w:color="auto"/>
            </w:tcBorders>
            <w:gridSpan w:val="3"/>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Investments</w:t>
            </w:r>
          </w:p>
        </w:tc>
        <w:tc>
          <w:tcPr>
            <w:tcW w:w="3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22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300" w:type="dxa"/>
            <w:vAlign w:val="bottom"/>
            <w:tcBorders>
              <w:top w:val="single" w:sz="8" w:color="CFF0FC"/>
            </w:tcBorders>
            <w:gridSpan w:val="4"/>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2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Internet Software and Services</w:t>
            </w: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Bombora, Inc.</w:t>
            </w:r>
          </w:p>
        </w:tc>
        <w:tc>
          <w:tcPr>
            <w:tcW w:w="10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3/31/2021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3/31/2031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121,581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174,500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257,088</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4"/>
                <w:szCs w:val="14"/>
                <w:color w:val="auto"/>
              </w:rPr>
              <w:t>Fidelis Cybersecurity, Inc.</w:t>
            </w: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3/25/2022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3/25/2032</w:t>
            </w: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79,464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85,568</w:t>
            </w:r>
          </w:p>
        </w:tc>
        <w:tc>
          <w:tcPr>
            <w:tcW w:w="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INRIX, Inc.</w:t>
            </w:r>
          </w:p>
        </w:tc>
        <w:tc>
          <w:tcPr>
            <w:tcW w:w="10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7/26/2019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7/26/2029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150,804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522,083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2,435,755</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040" w:type="dxa"/>
            <w:vAlign w:val="bottom"/>
            <w:gridSpan w:val="5"/>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Longtail Ad Solutions, Inc. (dba</w:t>
            </w:r>
          </w:p>
        </w:tc>
        <w:tc>
          <w:tcPr>
            <w:tcW w:w="100" w:type="dxa"/>
            <w:vAlign w:val="bottom"/>
            <w:shd w:val="clear" w:color="auto" w:fill="CFF0FC"/>
          </w:tcPr>
          <w:p>
            <w:pPr>
              <w:spacing w:after="0"/>
              <w:rPr>
                <w:sz w:val="12"/>
                <w:szCs w:val="12"/>
                <w:color w:val="auto"/>
              </w:rPr>
            </w:pPr>
          </w:p>
        </w:tc>
        <w:tc>
          <w:tcPr>
            <w:tcW w:w="22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12/12/2019</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12/12/2029</w:t>
            </w:r>
          </w:p>
        </w:tc>
        <w:tc>
          <w:tcPr>
            <w:tcW w:w="11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387,596</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46,552</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328,682</w:t>
            </w:r>
          </w:p>
        </w:tc>
        <w:tc>
          <w:tcPr>
            <w:tcW w:w="96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0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4"/>
                <w:szCs w:val="14"/>
                <w:color w:val="auto"/>
              </w:rPr>
              <w:t>JW Player)</w:t>
            </w:r>
          </w:p>
        </w:tc>
        <w:tc>
          <w:tcPr>
            <w:tcW w:w="100" w:type="dxa"/>
            <w:vAlign w:val="bottom"/>
            <w:shd w:val="clear" w:color="auto" w:fill="CFF0FC"/>
          </w:tcPr>
          <w:p>
            <w:pPr>
              <w:spacing w:after="0"/>
              <w:rPr>
                <w:sz w:val="16"/>
                <w:szCs w:val="16"/>
                <w:color w:val="auto"/>
              </w:rPr>
            </w:pPr>
          </w:p>
        </w:tc>
        <w:tc>
          <w:tcPr>
            <w:tcW w:w="2280" w:type="dxa"/>
            <w:vAlign w:val="bottom"/>
            <w:shd w:val="clear" w:color="auto" w:fill="CFF0FC"/>
          </w:tcPr>
          <w:p>
            <w:pPr>
              <w:spacing w:after="0"/>
              <w:rPr>
                <w:sz w:val="16"/>
                <w:szCs w:val="16"/>
                <w:color w:val="auto"/>
              </w:rPr>
            </w:pPr>
          </w:p>
        </w:tc>
        <w:tc>
          <w:tcPr>
            <w:tcW w:w="1040" w:type="dxa"/>
            <w:vAlign w:val="bottom"/>
            <w:gridSpan w:val="2"/>
            <w:vMerge w:val="continue"/>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Synack, Inc.</w:t>
            </w:r>
          </w:p>
        </w:tc>
        <w:tc>
          <w:tcPr>
            <w:tcW w:w="10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6/30/2022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6/30/2032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100,645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127,448</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128,205</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20" w:type="dxa"/>
            <w:vAlign w:val="bottom"/>
            <w:shd w:val="clear" w:color="auto" w:fill="CFF0FC"/>
          </w:tcPr>
          <w:p>
            <w:pPr>
              <w:spacing w:after="0"/>
              <w:rPr>
                <w:sz w:val="11"/>
                <w:szCs w:val="11"/>
                <w:color w:val="auto"/>
              </w:rPr>
            </w:pPr>
          </w:p>
        </w:tc>
        <w:tc>
          <w:tcPr>
            <w:tcW w:w="2040" w:type="dxa"/>
            <w:vAlign w:val="bottom"/>
            <w:gridSpan w:val="5"/>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Internet Software and</w:t>
            </w:r>
          </w:p>
        </w:tc>
        <w:tc>
          <w:tcPr>
            <w:tcW w:w="10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950,047</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3,235,298</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Services - 0.56%*</w:t>
            </w:r>
          </w:p>
        </w:tc>
        <w:tc>
          <w:tcPr>
            <w:tcW w:w="10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Property &amp; Casualty Insurance</w:t>
            </w: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Kin Insurance, Inc.</w:t>
            </w:r>
          </w:p>
        </w:tc>
        <w:tc>
          <w:tcPr>
            <w:tcW w:w="10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D-3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9/26/2022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9/26/2032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41,576</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301,714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301,714</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20" w:type="dxa"/>
            <w:vAlign w:val="bottom"/>
            <w:shd w:val="clear" w:color="auto" w:fill="CFF0FC"/>
          </w:tcPr>
          <w:p>
            <w:pPr>
              <w:spacing w:after="0"/>
              <w:rPr>
                <w:sz w:val="11"/>
                <w:szCs w:val="11"/>
                <w:color w:val="auto"/>
              </w:rPr>
            </w:pPr>
          </w:p>
        </w:tc>
        <w:tc>
          <w:tcPr>
            <w:tcW w:w="2040" w:type="dxa"/>
            <w:vAlign w:val="bottom"/>
            <w:gridSpan w:val="5"/>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Property &amp; Casualty</w:t>
            </w:r>
          </w:p>
        </w:tc>
        <w:tc>
          <w:tcPr>
            <w:tcW w:w="10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301,714</w:t>
            </w: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301,714</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Insurance - 0.05%*</w:t>
            </w:r>
          </w:p>
        </w:tc>
        <w:tc>
          <w:tcPr>
            <w:tcW w:w="10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Specialized Consumer Services</w:t>
            </w: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AllClear ID, Inc.</w:t>
            </w:r>
          </w:p>
        </w:tc>
        <w:tc>
          <w:tcPr>
            <w:tcW w:w="10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9/1/2017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9/1/2027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870,514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1,749,733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4"/>
                <w:szCs w:val="14"/>
                <w:color w:val="auto"/>
              </w:rPr>
              <w:t>Credit Sesame, Inc.</w:t>
            </w:r>
          </w:p>
        </w:tc>
        <w:tc>
          <w:tcPr>
            <w:tcW w:w="10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1/7/2020</w:t>
            </w:r>
          </w:p>
        </w:tc>
        <w:tc>
          <w:tcPr>
            <w:tcW w:w="1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1/7/2030</w:t>
            </w: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191,601</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424,800</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983,862</w:t>
            </w:r>
          </w:p>
        </w:tc>
        <w:tc>
          <w:tcPr>
            <w:tcW w:w="96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Specialized Consumer</w:t>
            </w: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2,174,533</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983,862</w:t>
            </w: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Services - 0.17%*</w:t>
            </w: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1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0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4"/>
                <w:szCs w:val="14"/>
                <w:color w:val="auto"/>
              </w:rPr>
              <w:t>Dejero Labs Inc.</w:t>
            </w: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5/31/2019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5/31/2029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333,621</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192,499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190,639</w:t>
            </w:r>
          </w:p>
        </w:tc>
        <w:tc>
          <w:tcPr>
            <w:tcW w:w="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(3)(7)(10)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Scale Computing, Inc.</w:t>
            </w:r>
          </w:p>
        </w:tc>
        <w:tc>
          <w:tcPr>
            <w:tcW w:w="10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3/29/2019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3/29/2029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9,665,667</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345,816</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System Software - 0.03%*</w:t>
            </w:r>
          </w:p>
        </w:tc>
        <w:tc>
          <w:tcPr>
            <w:tcW w:w="10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538,315</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190,639</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04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System Software</w:t>
            </w: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0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RealWear, Inc.</w:t>
            </w:r>
          </w:p>
        </w:tc>
        <w:tc>
          <w:tcPr>
            <w:tcW w:w="10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10/5/2018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10/5/2028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112,451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135,841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340,975</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12/28/2018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12/28/2028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22,491</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25,248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68,197</w:t>
            </w:r>
          </w:p>
        </w:tc>
        <w:tc>
          <w:tcPr>
            <w:tcW w:w="9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Series A Preferred Stock</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6/27/2019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6/27/2029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123,894</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380,850</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375,672</w:t>
            </w:r>
          </w:p>
        </w:tc>
        <w:tc>
          <w:tcPr>
            <w:tcW w:w="9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04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System Software - 0.14%*</w:t>
            </w:r>
          </w:p>
        </w:tc>
        <w:tc>
          <w:tcPr>
            <w:tcW w:w="10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541,939</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784,844</w:t>
            </w:r>
          </w:p>
        </w:tc>
        <w:tc>
          <w:tcPr>
            <w:tcW w:w="2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Warrants - 3.04%*</w:t>
            </w:r>
          </w:p>
        </w:tc>
        <w:tc>
          <w:tcPr>
            <w:tcW w:w="100" w:type="dxa"/>
            <w:vAlign w:val="bottom"/>
            <w:tcBorders>
              <w:bottom w:val="single" w:sz="8" w:color="CFF0FC"/>
            </w:tcBorders>
            <w:shd w:val="clear" w:color="auto" w:fill="CFF0FC"/>
          </w:tcPr>
          <w:p>
            <w:pPr>
              <w:spacing w:after="0"/>
              <w:rPr>
                <w:sz w:val="15"/>
                <w:szCs w:val="15"/>
                <w:color w:val="auto"/>
              </w:rPr>
            </w:pPr>
          </w:p>
        </w:tc>
        <w:tc>
          <w:tcPr>
            <w:tcW w:w="2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18,212,941</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17,435,074</w:t>
            </w:r>
          </w:p>
        </w:tc>
        <w:tc>
          <w:tcPr>
            <w:tcW w:w="220" w:type="dxa"/>
            <w:vAlign w:val="bottom"/>
            <w:tcBorders>
              <w:bottom w:val="single" w:sz="8" w:color="CFF0FC"/>
            </w:tcBorders>
            <w:shd w:val="clear" w:color="auto" w:fill="CFF0FC"/>
          </w:tcPr>
          <w:p>
            <w:pPr>
              <w:spacing w:after="0"/>
              <w:rPr>
                <w:sz w:val="15"/>
                <w:szCs w:val="15"/>
                <w:color w:val="auto"/>
              </w:rPr>
            </w:pPr>
          </w:p>
        </w:tc>
        <w:tc>
          <w:tcPr>
            <w:tcW w:w="74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Non-Control/Non-Affiliate</w:t>
            </w: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910,870,337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903,521,674</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tcBorders>
              <w:top w:val="single" w:sz="8" w:color="auto"/>
              <w:bottom w:val="single" w:sz="8" w:color="auto"/>
            </w:tcBorders>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Investments (157.50%)</w:t>
            </w:r>
          </w:p>
        </w:tc>
        <w:tc>
          <w:tcPr>
            <w:tcW w:w="600" w:type="dxa"/>
            <w:vAlign w:val="bottom"/>
            <w:tcBorders>
              <w:top w:val="single" w:sz="8" w:color="auto"/>
            </w:tcBorders>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-2914015</wp:posOffset>
            </wp:positionV>
            <wp:extent cx="68580" cy="1200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-2914015</wp:posOffset>
            </wp:positionV>
            <wp:extent cx="68580" cy="1200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-2365375</wp:posOffset>
            </wp:positionV>
            <wp:extent cx="68580" cy="1200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-2365375</wp:posOffset>
            </wp:positionV>
            <wp:extent cx="68580" cy="1200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-1910715</wp:posOffset>
            </wp:positionV>
            <wp:extent cx="68580" cy="2146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-1910715</wp:posOffset>
            </wp:positionV>
            <wp:extent cx="68580" cy="2146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-1130935</wp:posOffset>
            </wp:positionV>
            <wp:extent cx="68580"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-1130935</wp:posOffset>
            </wp:positionV>
            <wp:extent cx="68580" cy="1200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-445135</wp:posOffset>
            </wp:positionV>
            <wp:extent cx="68580" cy="1200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-445135</wp:posOffset>
            </wp:positionV>
            <wp:extent cx="68580" cy="1200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-213360</wp:posOffset>
            </wp:positionV>
            <wp:extent cx="68580" cy="2139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-213360</wp:posOffset>
            </wp:positionV>
            <wp:extent cx="68580" cy="2139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21399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198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20" w:type="dxa"/>
            <w:vAlign w:val="bottom"/>
          </w:tcPr>
          <w:p>
            <w:pPr>
              <w:spacing w:after="0"/>
              <w:rPr>
                <w:sz w:val="13"/>
                <w:szCs w:val="13"/>
                <w:color w:val="auto"/>
              </w:rPr>
            </w:pPr>
          </w:p>
        </w:tc>
        <w:tc>
          <w:tcPr>
            <w:tcW w:w="224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40" w:type="dxa"/>
            <w:vAlign w:val="bottom"/>
          </w:tcPr>
          <w:p>
            <w:pPr>
              <w:spacing w:after="0"/>
              <w:rPr>
                <w:sz w:val="13"/>
                <w:szCs w:val="1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240" w:type="dxa"/>
            <w:vAlign w:val="bottom"/>
          </w:tcPr>
          <w:p>
            <w:pPr>
              <w:spacing w:after="0"/>
              <w:rPr>
                <w:sz w:val="13"/>
                <w:szCs w:val="13"/>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06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99"/>
              </w:rPr>
              <w:t>Fair Value</w:t>
            </w:r>
            <w:r>
              <w:rPr>
                <w:rFonts w:ascii="Times New Roman" w:cs="Times New Roman" w:eastAsia="Times New Roman" w:hAnsi="Times New Roman"/>
                <w:sz w:val="19"/>
                <w:szCs w:val="19"/>
                <w:b w:val="1"/>
                <w:bCs w:val="1"/>
                <w:color w:val="auto"/>
                <w:w w:val="99"/>
                <w:vertAlign w:val="superscript"/>
              </w:rPr>
              <w:t>(2),(6)</w:t>
            </w:r>
          </w:p>
        </w:tc>
        <w:tc>
          <w:tcPr>
            <w:tcW w:w="220" w:type="dxa"/>
            <w:vAlign w:val="bottom"/>
          </w:tcPr>
          <w:p>
            <w:pPr>
              <w:spacing w:after="0"/>
              <w:rPr>
                <w:sz w:val="13"/>
                <w:szCs w:val="13"/>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 w:type="dxa"/>
            <w:vAlign w:val="bottom"/>
            <w:tcBorders>
              <w:right w:val="single" w:sz="8" w:color="CFF0FC"/>
            </w:tcBorders>
            <w:shd w:val="clear" w:color="auto" w:fill="CFF0FC"/>
          </w:tcPr>
          <w:p>
            <w:pPr>
              <w:spacing w:after="0"/>
              <w:rPr>
                <w:sz w:val="12"/>
                <w:szCs w:val="12"/>
                <w:color w:val="auto"/>
              </w:rPr>
            </w:pPr>
          </w:p>
        </w:tc>
        <w:tc>
          <w:tcPr>
            <w:tcW w:w="1980" w:type="dxa"/>
            <w:vAlign w:val="bottom"/>
            <w:gridSpan w:val="6"/>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Affiliate Investments</w:t>
            </w:r>
          </w:p>
        </w:tc>
        <w:tc>
          <w:tcPr>
            <w:tcW w:w="1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76"/>
        </w:trPr>
        <w:tc>
          <w:tcPr>
            <w:tcW w:w="60" w:type="dxa"/>
            <w:vAlign w:val="bottom"/>
            <w:tcBorders>
              <w:top w:val="single" w:sz="8" w:color="CFF0FC"/>
            </w:tcBorders>
          </w:tcPr>
          <w:p>
            <w:pPr>
              <w:spacing w:after="0"/>
              <w:rPr>
                <w:sz w:val="15"/>
                <w:szCs w:val="15"/>
                <w:color w:val="auto"/>
              </w:rPr>
            </w:pPr>
          </w:p>
        </w:tc>
        <w:tc>
          <w:tcPr>
            <w:tcW w:w="12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Common Stocks</w:t>
            </w:r>
          </w:p>
        </w:tc>
        <w:tc>
          <w:tcPr>
            <w:tcW w:w="740" w:type="dxa"/>
            <w:vAlign w:val="bottom"/>
            <w:tcBorders>
              <w:top w:val="single" w:sz="8" w:color="CFF0FC"/>
            </w:tcBorders>
            <w:gridSpan w:val="3"/>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4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9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8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7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Borders>
              <w:right w:val="single" w:sz="8" w:color="CFF0FC"/>
            </w:tcBorders>
            <w:shd w:val="clear" w:color="auto" w:fill="CFF0FC"/>
          </w:tcPr>
          <w:p>
            <w:pPr>
              <w:spacing w:after="0"/>
              <w:rPr>
                <w:sz w:val="15"/>
                <w:szCs w:val="15"/>
                <w:color w:val="auto"/>
              </w:rPr>
            </w:pPr>
          </w:p>
        </w:tc>
        <w:tc>
          <w:tcPr>
            <w:tcW w:w="19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Coginiti Corp</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3/9/2020</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1,040,160</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4,551,235</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1,228,197</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60" w:type="dxa"/>
            <w:vAlign w:val="bottom"/>
            <w:tcBorders>
              <w:right w:val="single" w:sz="8" w:color="CFF0FC"/>
            </w:tcBorders>
            <w:shd w:val="clear" w:color="auto" w:fill="CFF0FC"/>
          </w:tcPr>
          <w:p>
            <w:pPr>
              <w:spacing w:after="0"/>
              <w:rPr>
                <w:sz w:val="11"/>
                <w:szCs w:val="11"/>
                <w:color w:val="auto"/>
              </w:rPr>
            </w:pPr>
          </w:p>
        </w:tc>
        <w:tc>
          <w:tcPr>
            <w:tcW w:w="1980" w:type="dxa"/>
            <w:vAlign w:val="bottom"/>
            <w:gridSpan w:val="6"/>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Application Software -</w:t>
            </w:r>
          </w:p>
        </w:tc>
        <w:tc>
          <w:tcPr>
            <w:tcW w:w="120" w:type="dxa"/>
            <w:vAlign w:val="bottom"/>
            <w:shd w:val="clear" w:color="auto" w:fill="CFF0FC"/>
          </w:tcPr>
          <w:p>
            <w:pPr>
              <w:spacing w:after="0"/>
              <w:rPr>
                <w:sz w:val="11"/>
                <w:szCs w:val="11"/>
                <w:color w:val="auto"/>
              </w:rPr>
            </w:pPr>
          </w:p>
        </w:tc>
        <w:tc>
          <w:tcPr>
            <w:tcW w:w="2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4,551,235</w:t>
            </w:r>
          </w:p>
        </w:tc>
        <w:tc>
          <w:tcPr>
            <w:tcW w:w="20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8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1,228,197</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0.21%*</w:t>
            </w:r>
          </w:p>
        </w:tc>
        <w:tc>
          <w:tcPr>
            <w:tcW w:w="76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CFF0FC"/>
              <w:right w:val="single" w:sz="8" w:color="CFF0FC"/>
            </w:tcBorders>
            <w:shd w:val="clear" w:color="auto" w:fill="CFF0FC"/>
          </w:tcPr>
          <w:p>
            <w:pPr>
              <w:spacing w:after="0"/>
              <w:rPr>
                <w:sz w:val="15"/>
                <w:szCs w:val="15"/>
                <w:color w:val="auto"/>
              </w:rPr>
            </w:pPr>
          </w:p>
        </w:tc>
        <w:tc>
          <w:tcPr>
            <w:tcW w:w="198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Common Stocks - 0.21%*</w:t>
            </w:r>
          </w:p>
        </w:tc>
        <w:tc>
          <w:tcPr>
            <w:tcW w:w="120" w:type="dxa"/>
            <w:vAlign w:val="bottom"/>
            <w:tcBorders>
              <w:bottom w:val="single" w:sz="8" w:color="CFF0FC"/>
            </w:tcBorders>
            <w:shd w:val="clear" w:color="auto" w:fill="CFF0FC"/>
          </w:tcPr>
          <w:p>
            <w:pPr>
              <w:spacing w:after="0"/>
              <w:rPr>
                <w:sz w:val="15"/>
                <w:szCs w:val="15"/>
                <w:color w:val="auto"/>
              </w:rPr>
            </w:pPr>
          </w:p>
        </w:tc>
        <w:tc>
          <w:tcPr>
            <w:tcW w:w="2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4,551,235</w:t>
            </w: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1,228,197</w:t>
            </w: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Borders>
              <w:right w:val="single" w:sz="8" w:color="CFF0FC"/>
            </w:tcBorders>
            <w:shd w:val="clear" w:color="auto" w:fill="CFF0FC"/>
          </w:tcPr>
          <w:p>
            <w:pPr>
              <w:spacing w:after="0"/>
              <w:rPr>
                <w:sz w:val="15"/>
                <w:szCs w:val="15"/>
                <w:color w:val="auto"/>
              </w:rPr>
            </w:pPr>
          </w:p>
        </w:tc>
        <w:tc>
          <w:tcPr>
            <w:tcW w:w="19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Application Software</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 w:type="dxa"/>
            <w:vAlign w:val="bottom"/>
            <w:tcBorders>
              <w:bottom w:val="single" w:sz="8" w:color="CFF0FC"/>
              <w:right w:val="single" w:sz="8" w:color="CFF0FC"/>
            </w:tcBorders>
            <w:shd w:val="clear" w:color="auto" w:fill="CFF0FC"/>
          </w:tcPr>
          <w:p>
            <w:pPr>
              <w:spacing w:after="0"/>
              <w:rPr>
                <w:sz w:val="15"/>
                <w:szCs w:val="15"/>
                <w:color w:val="auto"/>
              </w:rPr>
            </w:pPr>
          </w:p>
        </w:tc>
        <w:tc>
          <w:tcPr>
            <w:tcW w:w="198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4"/>
                <w:szCs w:val="14"/>
                <w:color w:val="auto"/>
              </w:rPr>
              <w:t>Coginiti Corp</w:t>
            </w:r>
          </w:p>
        </w:tc>
        <w:tc>
          <w:tcPr>
            <w:tcW w:w="120" w:type="dxa"/>
            <w:vAlign w:val="bottom"/>
            <w:tcBorders>
              <w:bottom w:val="single" w:sz="8" w:color="CFF0FC"/>
            </w:tcBorders>
            <w:shd w:val="clear" w:color="auto" w:fill="CFF0FC"/>
          </w:tcPr>
          <w:p>
            <w:pPr>
              <w:spacing w:after="0"/>
              <w:rPr>
                <w:sz w:val="15"/>
                <w:szCs w:val="15"/>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Common Stock</w:t>
            </w:r>
          </w:p>
        </w:tc>
        <w:tc>
          <w:tcPr>
            <w:tcW w:w="10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3/9/2020</w:t>
            </w:r>
          </w:p>
        </w:tc>
        <w:tc>
          <w:tcPr>
            <w:tcW w:w="11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3/9/2030</w:t>
            </w:r>
          </w:p>
        </w:tc>
        <w:tc>
          <w:tcPr>
            <w:tcW w:w="12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811,770</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952,033</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1980" w:type="dxa"/>
            <w:vAlign w:val="bottom"/>
            <w:gridSpan w:val="6"/>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Application Software -</w:t>
            </w: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952,033</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0.17%*</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CFF0FC"/>
            </w:tcBorders>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Total Warrants - 0.17%*</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952,033</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 w:type="dxa"/>
            <w:vAlign w:val="bottom"/>
            <w:tcBorders>
              <w:right w:val="single" w:sz="8" w:color="CFF0FC"/>
            </w:tcBorders>
            <w:shd w:val="clear" w:color="auto" w:fill="CFF0FC"/>
          </w:tcPr>
          <w:p>
            <w:pPr>
              <w:spacing w:after="0"/>
              <w:rPr>
                <w:sz w:val="12"/>
                <w:szCs w:val="12"/>
                <w:color w:val="auto"/>
              </w:rPr>
            </w:pPr>
          </w:p>
        </w:tc>
        <w:tc>
          <w:tcPr>
            <w:tcW w:w="1980" w:type="dxa"/>
            <w:vAlign w:val="bottom"/>
            <w:gridSpan w:val="6"/>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Affiliate Investments</w:t>
            </w:r>
          </w:p>
        </w:tc>
        <w:tc>
          <w:tcPr>
            <w:tcW w:w="1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4,551,235</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2,180,230</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0" w:type="dxa"/>
            <w:vAlign w:val="bottom"/>
            <w:tcBorders>
              <w:top w:val="single" w:sz="8" w:color="CFF0FC"/>
              <w:right w:val="single" w:sz="8" w:color="CFF0FC"/>
            </w:tcBorders>
            <w:shd w:val="clear" w:color="auto" w:fill="CFF0FC"/>
          </w:tcPr>
          <w:p>
            <w:pPr>
              <w:spacing w:after="0"/>
              <w:rPr>
                <w:sz w:val="11"/>
                <w:szCs w:val="11"/>
                <w:color w:val="auto"/>
              </w:rPr>
            </w:pPr>
          </w:p>
        </w:tc>
        <w:tc>
          <w:tcPr>
            <w:tcW w:w="1220" w:type="dxa"/>
            <w:vAlign w:val="bottom"/>
            <w:tcBorders>
              <w:top w:val="single" w:sz="8" w:color="auto"/>
            </w:tcBorders>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(0.38%)</w:t>
            </w:r>
          </w:p>
        </w:tc>
        <w:tc>
          <w:tcPr>
            <w:tcW w:w="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CFF0FC"/>
            </w:tcBorders>
            <w:vMerge w:val="continue"/>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vMerge w:val="continue"/>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 w:type="dxa"/>
            <w:vAlign w:val="bottom"/>
            <w:tcBorders>
              <w:right w:val="single" w:sz="8" w:color="CFF0FC"/>
            </w:tcBorders>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1220" w:type="dxa"/>
            <w:vAlign w:val="bottom"/>
            <w:tcBorders>
              <w:bottom w:val="single" w:sz="8" w:color="auto"/>
            </w:tcBorders>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7"/>
              </w:rPr>
              <w:t>Control Investments</w:t>
            </w:r>
          </w:p>
        </w:tc>
        <w:tc>
          <w:tcPr>
            <w:tcW w:w="760" w:type="dxa"/>
            <w:vAlign w:val="bottom"/>
            <w:gridSpan w:val="4"/>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75"/>
        </w:trPr>
        <w:tc>
          <w:tcPr>
            <w:tcW w:w="60" w:type="dxa"/>
            <w:vAlign w:val="bottom"/>
            <w:tcBorders>
              <w:right w:val="single" w:sz="8" w:color="CFF0FC"/>
            </w:tcBorders>
            <w:shd w:val="clear" w:color="auto" w:fill="CFF0FC"/>
          </w:tcPr>
          <w:p>
            <w:pPr>
              <w:spacing w:after="0"/>
              <w:rPr>
                <w:sz w:val="15"/>
                <w:szCs w:val="15"/>
                <w:color w:val="auto"/>
              </w:rPr>
            </w:pPr>
          </w:p>
        </w:tc>
        <w:tc>
          <w:tcPr>
            <w:tcW w:w="19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Senior Secured Term Loans</w:t>
            </w:r>
          </w:p>
        </w:tc>
        <w:tc>
          <w:tcPr>
            <w:tcW w:w="12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980" w:type="dxa"/>
            <w:vAlign w:val="bottom"/>
            <w:gridSpan w:val="6"/>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Data Processing &amp; Outsourced</w:t>
            </w: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0" w:type="dxa"/>
            <w:vAlign w:val="bottom"/>
          </w:tcPr>
          <w:p>
            <w:pPr>
              <w:spacing w:after="0"/>
              <w:rPr>
                <w:sz w:val="16"/>
                <w:szCs w:val="16"/>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0" w:type="dxa"/>
            <w:vAlign w:val="bottom"/>
            <w:tcBorders>
              <w:right w:val="single" w:sz="8" w:color="CFF0FC"/>
            </w:tcBorders>
            <w:shd w:val="clear" w:color="auto" w:fill="CFF0FC"/>
          </w:tcPr>
          <w:p>
            <w:pPr>
              <w:spacing w:after="0"/>
              <w:rPr>
                <w:sz w:val="12"/>
                <w:szCs w:val="12"/>
                <w:color w:val="auto"/>
              </w:rPr>
            </w:pPr>
          </w:p>
        </w:tc>
        <w:tc>
          <w:tcPr>
            <w:tcW w:w="1980" w:type="dxa"/>
            <w:vAlign w:val="bottom"/>
            <w:gridSpan w:val="6"/>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Pivot3 Holdings, Inc.</w:t>
            </w:r>
          </w:p>
        </w:tc>
        <w:tc>
          <w:tcPr>
            <w:tcW w:w="1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LIBOR+8.50% PIK, 11.00% floor,</w:t>
            </w: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5/13/2019</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11/15/2022</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18,598,265</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19,172,353</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4,467,041</w:t>
            </w:r>
          </w:p>
        </w:tc>
        <w:tc>
          <w:tcPr>
            <w:tcW w:w="1000" w:type="dxa"/>
            <w:vAlign w:val="bottom"/>
            <w:gridSpan w:val="2"/>
            <w:shd w:val="clear" w:color="auto" w:fill="CFF0FC"/>
          </w:tcPr>
          <w:p>
            <w:pPr>
              <w:ind w:left="240"/>
              <w:spacing w:after="0" w:line="139"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1"/>
        </w:trPr>
        <w:tc>
          <w:tcPr>
            <w:tcW w:w="60" w:type="dxa"/>
            <w:vAlign w:val="bottom"/>
            <w:tcBorders>
              <w:bottom w:val="single" w:sz="8" w:color="CFF0FC"/>
              <w:right w:val="single" w:sz="8" w:color="CFF0FC"/>
            </w:tcBorders>
            <w:shd w:val="clear" w:color="auto" w:fill="CFF0FC"/>
          </w:tcPr>
          <w:p>
            <w:pPr>
              <w:spacing w:after="0"/>
              <w:rPr>
                <w:sz w:val="14"/>
                <w:szCs w:val="14"/>
                <w:color w:val="auto"/>
              </w:rPr>
            </w:pPr>
          </w:p>
        </w:tc>
        <w:tc>
          <w:tcPr>
            <w:tcW w:w="46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4.00% ETP</w:t>
            </w:r>
          </w:p>
        </w:tc>
        <w:tc>
          <w:tcPr>
            <w:tcW w:w="1040" w:type="dxa"/>
            <w:vAlign w:val="bottom"/>
            <w:tcBorders>
              <w:bottom w:val="single" w:sz="8" w:color="CFF0FC"/>
            </w:tcBorders>
            <w:gridSpan w:val="2"/>
            <w:vMerge w:val="continue"/>
            <w:shd w:val="clear" w:color="auto" w:fill="CFF0FC"/>
          </w:tcPr>
          <w:p>
            <w:pPr>
              <w:spacing w:after="0"/>
              <w:rPr>
                <w:sz w:val="14"/>
                <w:szCs w:val="14"/>
                <w:color w:val="auto"/>
              </w:rPr>
            </w:pPr>
          </w:p>
        </w:tc>
        <w:tc>
          <w:tcPr>
            <w:tcW w:w="1100" w:type="dxa"/>
            <w:vAlign w:val="bottom"/>
            <w:tcBorders>
              <w:bottom w:val="single" w:sz="8" w:color="CFF0FC"/>
            </w:tcBorders>
            <w:gridSpan w:val="2"/>
            <w:vMerge w:val="continue"/>
            <w:shd w:val="clear" w:color="auto" w:fill="CFF0FC"/>
          </w:tcPr>
          <w:p>
            <w:pPr>
              <w:spacing w:after="0"/>
              <w:rPr>
                <w:sz w:val="14"/>
                <w:szCs w:val="14"/>
                <w:color w:val="auto"/>
              </w:rPr>
            </w:pPr>
          </w:p>
        </w:tc>
        <w:tc>
          <w:tcPr>
            <w:tcW w:w="124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0" w:type="dxa"/>
            <w:vAlign w:val="bottom"/>
          </w:tcPr>
          <w:p>
            <w:pPr>
              <w:spacing w:after="0"/>
              <w:rPr>
                <w:sz w:val="11"/>
                <w:szCs w:val="11"/>
                <w:color w:val="auto"/>
              </w:rPr>
            </w:pPr>
          </w:p>
        </w:tc>
        <w:tc>
          <w:tcPr>
            <w:tcW w:w="1980" w:type="dxa"/>
            <w:vAlign w:val="bottom"/>
            <w:gridSpan w:val="6"/>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Data Processing &amp;</w:t>
            </w: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19,172,353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4,467,041</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Outsourced Services - 0.78%*</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CFF0FC"/>
            </w:tcBorders>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1980" w:type="dxa"/>
            <w:vAlign w:val="bottom"/>
            <w:gridSpan w:val="6"/>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Total Senior Secured Term</w:t>
            </w: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19,172,353</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4,467,041</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Loans - 0.78%*</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 w:type="dxa"/>
            <w:vAlign w:val="bottom"/>
            <w:tcBorders>
              <w:right w:val="single" w:sz="8" w:color="CFF0FC"/>
            </w:tcBorders>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Preferred Stocks</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60" w:type="dxa"/>
            <w:vAlign w:val="bottom"/>
            <w:tcBorders>
              <w:right w:val="single" w:sz="8" w:color="CFF0FC"/>
            </w:tcBorders>
            <w:shd w:val="clear" w:color="auto" w:fill="CFF0FC"/>
          </w:tcPr>
          <w:p>
            <w:pPr>
              <w:spacing w:after="0"/>
              <w:rPr>
                <w:sz w:val="11"/>
                <w:szCs w:val="11"/>
                <w:color w:val="auto"/>
              </w:rPr>
            </w:pPr>
          </w:p>
        </w:tc>
        <w:tc>
          <w:tcPr>
            <w:tcW w:w="1980" w:type="dxa"/>
            <w:vAlign w:val="bottom"/>
            <w:gridSpan w:val="6"/>
            <w:shd w:val="clear" w:color="auto" w:fill="CFF0FC"/>
          </w:tcPr>
          <w:p>
            <w:pPr>
              <w:spacing w:after="0" w:line="137" w:lineRule="exact"/>
              <w:rPr>
                <w:sz w:val="20"/>
                <w:szCs w:val="20"/>
                <w:color w:val="auto"/>
              </w:rPr>
            </w:pPr>
            <w:r>
              <w:rPr>
                <w:rFonts w:ascii="Times New Roman" w:cs="Times New Roman" w:eastAsia="Times New Roman" w:hAnsi="Times New Roman"/>
                <w:sz w:val="14"/>
                <w:szCs w:val="14"/>
                <w:b w:val="1"/>
                <w:bCs w:val="1"/>
                <w:color w:val="auto"/>
              </w:rPr>
              <w:t>Data Processing &amp; Outsourced</w:t>
            </w:r>
          </w:p>
        </w:tc>
        <w:tc>
          <w:tcPr>
            <w:tcW w:w="120" w:type="dxa"/>
            <w:vAlign w:val="bottom"/>
            <w:shd w:val="clear" w:color="auto" w:fill="CFF0FC"/>
          </w:tcPr>
          <w:p>
            <w:pPr>
              <w:spacing w:after="0"/>
              <w:rPr>
                <w:sz w:val="11"/>
                <w:szCs w:val="11"/>
                <w:color w:val="auto"/>
              </w:rPr>
            </w:pPr>
          </w:p>
        </w:tc>
        <w:tc>
          <w:tcPr>
            <w:tcW w:w="2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0" w:type="dxa"/>
            <w:vAlign w:val="bottom"/>
            <w:tcBorders>
              <w:right w:val="single" w:sz="8" w:color="CFF0FC"/>
            </w:tcBorders>
            <w:shd w:val="clear" w:color="auto" w:fill="CFF0FC"/>
          </w:tcPr>
          <w:p>
            <w:pPr>
              <w:spacing w:after="0"/>
              <w:rPr>
                <w:sz w:val="16"/>
                <w:szCs w:val="16"/>
                <w:color w:val="auto"/>
              </w:rPr>
            </w:pPr>
          </w:p>
        </w:tc>
        <w:tc>
          <w:tcPr>
            <w:tcW w:w="198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20" w:type="dxa"/>
            <w:vAlign w:val="bottom"/>
            <w:shd w:val="clear" w:color="auto" w:fill="CFF0FC"/>
          </w:tcPr>
          <w:p>
            <w:pPr>
              <w:spacing w:after="0"/>
              <w:rPr>
                <w:sz w:val="16"/>
                <w:szCs w:val="16"/>
                <w:color w:val="auto"/>
              </w:rPr>
            </w:pPr>
          </w:p>
        </w:tc>
        <w:tc>
          <w:tcPr>
            <w:tcW w:w="2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Pivot3 Holdings, Inc.</w:t>
            </w:r>
          </w:p>
        </w:tc>
        <w:tc>
          <w:tcPr>
            <w:tcW w:w="1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4"/>
                <w:szCs w:val="14"/>
                <w:color w:val="auto"/>
              </w:rPr>
              <w:t>Series 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1/27/2021</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2,675,585</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31"/>
        </w:trPr>
        <w:tc>
          <w:tcPr>
            <w:tcW w:w="60" w:type="dxa"/>
            <w:vAlign w:val="bottom"/>
            <w:tcBorders>
              <w:right w:val="single" w:sz="8" w:color="CFF0FC"/>
            </w:tcBorders>
            <w:shd w:val="clear" w:color="auto" w:fill="CFF0FC"/>
          </w:tcPr>
          <w:p>
            <w:pPr>
              <w:spacing w:after="0"/>
              <w:rPr>
                <w:sz w:val="11"/>
                <w:szCs w:val="11"/>
                <w:color w:val="auto"/>
              </w:rPr>
            </w:pPr>
          </w:p>
        </w:tc>
        <w:tc>
          <w:tcPr>
            <w:tcW w:w="1980" w:type="dxa"/>
            <w:vAlign w:val="bottom"/>
            <w:gridSpan w:val="6"/>
            <w:shd w:val="clear" w:color="auto" w:fill="CFF0FC"/>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Total Data Processing &amp;</w:t>
            </w:r>
          </w:p>
        </w:tc>
        <w:tc>
          <w:tcPr>
            <w:tcW w:w="120" w:type="dxa"/>
            <w:vAlign w:val="bottom"/>
            <w:shd w:val="clear" w:color="auto" w:fill="CFF0FC"/>
          </w:tcPr>
          <w:p>
            <w:pPr>
              <w:spacing w:after="0"/>
              <w:rPr>
                <w:sz w:val="11"/>
                <w:szCs w:val="11"/>
                <w:color w:val="auto"/>
              </w:rPr>
            </w:pPr>
          </w:p>
        </w:tc>
        <w:tc>
          <w:tcPr>
            <w:tcW w:w="2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60" w:type="dxa"/>
            <w:vAlign w:val="bottom"/>
            <w:tcBorders>
              <w:bottom w:val="single" w:sz="8" w:color="CFF0FC"/>
              <w:right w:val="single" w:sz="8" w:color="CFF0FC"/>
            </w:tcBorders>
            <w:shd w:val="clear" w:color="auto" w:fill="CFF0FC"/>
          </w:tcPr>
          <w:p>
            <w:pPr>
              <w:spacing w:after="0"/>
              <w:rPr>
                <w:sz w:val="15"/>
                <w:szCs w:val="15"/>
                <w:color w:val="auto"/>
              </w:rPr>
            </w:pPr>
          </w:p>
        </w:tc>
        <w:tc>
          <w:tcPr>
            <w:tcW w:w="198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Outsourced Services - 0.00%*</w:t>
            </w:r>
          </w:p>
        </w:tc>
        <w:tc>
          <w:tcPr>
            <w:tcW w:w="120" w:type="dxa"/>
            <w:vAlign w:val="bottom"/>
            <w:tcBorders>
              <w:bottom w:val="single" w:sz="8" w:color="CFF0FC"/>
            </w:tcBorders>
            <w:shd w:val="clear" w:color="auto" w:fill="CFF0FC"/>
          </w:tcPr>
          <w:p>
            <w:pPr>
              <w:spacing w:after="0"/>
              <w:rPr>
                <w:sz w:val="15"/>
                <w:szCs w:val="15"/>
                <w:color w:val="auto"/>
              </w:rPr>
            </w:pPr>
          </w:p>
        </w:tc>
        <w:tc>
          <w:tcPr>
            <w:tcW w:w="2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vMerge w:val="continue"/>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0" w:type="dxa"/>
            <w:vAlign w:val="bottom"/>
            <w:tcBorders>
              <w:bottom w:val="single" w:sz="8" w:color="CFF0FC"/>
              <w:right w:val="single" w:sz="8" w:color="CFF0FC"/>
            </w:tcBorders>
            <w:shd w:val="clear" w:color="auto" w:fill="CFF0FC"/>
          </w:tcPr>
          <w:p>
            <w:pPr>
              <w:spacing w:after="0"/>
              <w:rPr>
                <w:sz w:val="15"/>
                <w:szCs w:val="15"/>
                <w:color w:val="auto"/>
              </w:rPr>
            </w:pPr>
          </w:p>
        </w:tc>
        <w:tc>
          <w:tcPr>
            <w:tcW w:w="1980" w:type="dxa"/>
            <w:vAlign w:val="bottom"/>
            <w:tcBorders>
              <w:bottom w:val="single" w:sz="8" w:color="CFF0FC"/>
            </w:tcBorders>
            <w:gridSpan w:val="6"/>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Preferred Stocks - 0.00%*</w:t>
            </w:r>
          </w:p>
        </w:tc>
        <w:tc>
          <w:tcPr>
            <w:tcW w:w="120" w:type="dxa"/>
            <w:vAlign w:val="bottom"/>
            <w:tcBorders>
              <w:bottom w:val="single" w:sz="8" w:color="CFF0FC"/>
            </w:tcBorders>
            <w:shd w:val="clear" w:color="auto" w:fill="CFF0FC"/>
          </w:tcPr>
          <w:p>
            <w:pPr>
              <w:spacing w:after="0"/>
              <w:rPr>
                <w:sz w:val="15"/>
                <w:szCs w:val="15"/>
                <w:color w:val="auto"/>
              </w:rPr>
            </w:pPr>
          </w:p>
        </w:tc>
        <w:tc>
          <w:tcPr>
            <w:tcW w:w="2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9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10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0" w:type="dxa"/>
            <w:vAlign w:val="bottom"/>
            <w:tcBorders>
              <w:right w:val="single" w:sz="8" w:color="CFF0FC"/>
            </w:tcBorders>
            <w:shd w:val="clear" w:color="auto" w:fill="CFF0FC"/>
          </w:tcPr>
          <w:p>
            <w:pPr>
              <w:spacing w:after="0"/>
              <w:rPr>
                <w:sz w:val="12"/>
                <w:szCs w:val="12"/>
                <w:color w:val="auto"/>
              </w:rPr>
            </w:pPr>
          </w:p>
        </w:tc>
        <w:tc>
          <w:tcPr>
            <w:tcW w:w="1980" w:type="dxa"/>
            <w:vAlign w:val="bottom"/>
            <w:gridSpan w:val="6"/>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Control Investments</w:t>
            </w:r>
          </w:p>
        </w:tc>
        <w:tc>
          <w:tcPr>
            <w:tcW w:w="120" w:type="dxa"/>
            <w:vAlign w:val="bottom"/>
            <w:shd w:val="clear" w:color="auto" w:fill="CFF0FC"/>
          </w:tcPr>
          <w:p>
            <w:pPr>
              <w:spacing w:after="0"/>
              <w:rPr>
                <w:sz w:val="12"/>
                <w:szCs w:val="12"/>
                <w:color w:val="auto"/>
              </w:rPr>
            </w:pPr>
          </w:p>
        </w:tc>
        <w:tc>
          <w:tcPr>
            <w:tcW w:w="2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21,172,353</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4,467,041</w:t>
            </w:r>
          </w:p>
        </w:tc>
        <w:tc>
          <w:tcPr>
            <w:tcW w:w="2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0" w:type="dxa"/>
            <w:vAlign w:val="bottom"/>
            <w:tcBorders>
              <w:top w:val="single" w:sz="8" w:color="CFF0FC"/>
              <w:right w:val="single" w:sz="8" w:color="CFF0FC"/>
            </w:tcBorders>
            <w:shd w:val="clear" w:color="auto" w:fill="CFF0FC"/>
          </w:tcPr>
          <w:p>
            <w:pPr>
              <w:spacing w:after="0"/>
              <w:rPr>
                <w:sz w:val="11"/>
                <w:szCs w:val="11"/>
                <w:color w:val="auto"/>
              </w:rPr>
            </w:pPr>
          </w:p>
        </w:tc>
        <w:tc>
          <w:tcPr>
            <w:tcW w:w="1220" w:type="dxa"/>
            <w:vAlign w:val="bottom"/>
            <w:tcBorders>
              <w:top w:val="single" w:sz="8" w:color="auto"/>
            </w:tcBorders>
            <w:gridSpan w:val="2"/>
            <w:shd w:val="clear" w:color="auto" w:fill="CFF0FC"/>
          </w:tcPr>
          <w:p>
            <w:pPr>
              <w:spacing w:after="0" w:line="129" w:lineRule="exact"/>
              <w:rPr>
                <w:sz w:val="20"/>
                <w:szCs w:val="20"/>
                <w:color w:val="auto"/>
              </w:rPr>
            </w:pPr>
            <w:r>
              <w:rPr>
                <w:rFonts w:ascii="Times New Roman" w:cs="Times New Roman" w:eastAsia="Times New Roman" w:hAnsi="Times New Roman"/>
                <w:sz w:val="14"/>
                <w:szCs w:val="14"/>
                <w:b w:val="1"/>
                <w:bCs w:val="1"/>
                <w:u w:val="single" w:color="auto"/>
                <w:color w:val="auto"/>
              </w:rPr>
              <w:t>(0.78%)</w:t>
            </w:r>
          </w:p>
        </w:tc>
        <w:tc>
          <w:tcPr>
            <w:tcW w:w="2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40" w:type="dxa"/>
            <w:vAlign w:val="bottom"/>
            <w:tcBorders>
              <w:top w:val="single" w:sz="8" w:color="CFF0FC"/>
            </w:tcBorders>
            <w:shd w:val="clear" w:color="auto" w:fill="CFF0FC"/>
          </w:tcPr>
          <w:p>
            <w:pPr>
              <w:spacing w:after="0"/>
              <w:rPr>
                <w:sz w:val="11"/>
                <w:szCs w:val="11"/>
                <w:color w:val="auto"/>
              </w:rPr>
            </w:pPr>
          </w:p>
        </w:tc>
        <w:tc>
          <w:tcPr>
            <w:tcW w:w="3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2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CFF0FC"/>
            </w:tcBorders>
            <w:vMerge w:val="continue"/>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vMerge w:val="continue"/>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 w:type="dxa"/>
            <w:vAlign w:val="bottom"/>
            <w:tcBorders>
              <w:right w:val="single" w:sz="8" w:color="CFF0FC"/>
            </w:tcBorders>
            <w:shd w:val="clear" w:color="auto" w:fill="CFF0F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Pr>
          <w:p>
            <w:pPr>
              <w:spacing w:after="0"/>
              <w:rPr>
                <w:sz w:val="15"/>
                <w:szCs w:val="15"/>
                <w:color w:val="auto"/>
              </w:rPr>
            </w:pPr>
          </w:p>
        </w:tc>
        <w:tc>
          <w:tcPr>
            <w:tcW w:w="1980" w:type="dxa"/>
            <w:vAlign w:val="bottom"/>
            <w:gridSpan w:val="6"/>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 (158.66%)</w:t>
            </w: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936,593,925</w:t>
            </w:r>
          </w:p>
        </w:tc>
        <w:tc>
          <w:tcPr>
            <w:tcW w:w="42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910,168,945</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-3933825</wp:posOffset>
            </wp:positionV>
            <wp:extent cx="68580" cy="1200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-3933825</wp:posOffset>
            </wp:positionV>
            <wp:extent cx="68580" cy="1200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-3702685</wp:posOffset>
            </wp:positionV>
            <wp:extent cx="68580" cy="1200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-3702685</wp:posOffset>
            </wp:positionV>
            <wp:extent cx="68580" cy="1200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-3248025</wp:posOffset>
            </wp:positionV>
            <wp:extent cx="68580" cy="2146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-3248025</wp:posOffset>
            </wp:positionV>
            <wp:extent cx="68580" cy="2146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21463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-2605405</wp:posOffset>
            </wp:positionV>
            <wp:extent cx="68580" cy="1200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-2605405</wp:posOffset>
            </wp:positionV>
            <wp:extent cx="68580" cy="1200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-1971040</wp:posOffset>
            </wp:positionV>
            <wp:extent cx="68580" cy="2139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-1971040</wp:posOffset>
            </wp:positionV>
            <wp:extent cx="68580" cy="2139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-693420</wp:posOffset>
            </wp:positionV>
            <wp:extent cx="68580" cy="1200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-693420</wp:posOffset>
            </wp:positionV>
            <wp:extent cx="68580" cy="1200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-462280</wp:posOffset>
            </wp:positionV>
            <wp:extent cx="68580" cy="1200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-462280</wp:posOffset>
            </wp:positionV>
            <wp:extent cx="68580" cy="1200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-144780</wp:posOffset>
            </wp:positionV>
            <wp:extent cx="68580"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-144780</wp:posOffset>
            </wp:positionV>
            <wp:extent cx="68580"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19030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left="760" w:hanging="374"/>
        <w:spacing w:after="0" w:line="176" w:lineRule="exact"/>
        <w:tabs>
          <w:tab w:leader="none" w:pos="760" w:val="left"/>
        </w:tabs>
        <w:numPr>
          <w:ilvl w:val="0"/>
          <w:numId w:val="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London Interbank Offered Rate (“LIBOR”), the U.S. Prime Rate, or the 3-Month Secured Overnight Financing Rate ("SOFR"). At September 30, 2022, the 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LIBOR was 3.76%, the U.S. Prime Rate was 6.25% and the 3-Month SOFR was 3.59%.</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28" w:lineRule="exact"/>
        <w:rPr>
          <w:sz w:val="20"/>
          <w:szCs w:val="20"/>
          <w:color w:val="auto"/>
        </w:rPr>
      </w:pPr>
    </w:p>
    <w:p>
      <w:pPr>
        <w:jc w:val="both"/>
        <w:ind w:left="760" w:hanging="374"/>
        <w:spacing w:after="0" w:line="211" w:lineRule="auto"/>
        <w:tabs>
          <w:tab w:leader="none" w:pos="760" w:val="left"/>
        </w:tabs>
        <w:numPr>
          <w:ilvl w:val="1"/>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spacing w:after="0" w:line="54" w:lineRule="exact"/>
        <w:rPr>
          <w:rFonts w:ascii="Times New Roman" w:cs="Times New Roman" w:eastAsia="Times New Roman" w:hAnsi="Times New Roman"/>
          <w:sz w:val="24"/>
          <w:szCs w:val="24"/>
          <w:color w:val="auto"/>
          <w:vertAlign w:val="superscript"/>
        </w:rPr>
      </w:pPr>
    </w:p>
    <w:p>
      <w:pPr>
        <w:jc w:val="both"/>
        <w:ind w:left="760" w:hanging="374"/>
        <w:spacing w:after="0" w:line="213" w:lineRule="auto"/>
        <w:tabs>
          <w:tab w:leader="none" w:pos="760" w:val="left"/>
        </w:tabs>
        <w:numPr>
          <w:ilvl w:val="1"/>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Investment is not a qualifying asset as defined under Section 55(a) of the Investment Company Act of 1940, as amended (the “1940 Act”). Non-qualifying assets at fair value represent 14.66% of total assets as of September 30, 2022.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ind w:left="760" w:hanging="374"/>
        <w:spacing w:after="0" w:line="211" w:lineRule="auto"/>
        <w:tabs>
          <w:tab w:leader="none" w:pos="760" w:val="left"/>
        </w:tabs>
        <w:numPr>
          <w:ilvl w:val="1"/>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Represents a PIK security. PIK interest is accrued and will be paid at maturity.</w:t>
      </w:r>
    </w:p>
    <w:p>
      <w:pPr>
        <w:spacing w:after="0" w:line="71" w:lineRule="exact"/>
        <w:rPr>
          <w:rFonts w:ascii="Times New Roman" w:cs="Times New Roman" w:eastAsia="Times New Roman" w:hAnsi="Times New Roman"/>
          <w:sz w:val="24"/>
          <w:szCs w:val="24"/>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Disclosures of end-of-term-payments (“ETP”) are one-time payments stated as a percentage of original principal amount.</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Investments are held at Fair Value net of the Fair Value of Unfunded Commitments. See Note 3 for additional detail.</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Investments are non-income producing.</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investment is an eligible loan investment in the collateral under the Credit Facility (as defined in Note 10).</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All investments are domiciled in the United States, unless otherwise noted.</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domiciled in Canada.</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domiciled in Germany.</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domiciled in the United Kingdom.</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either a cash success fee payable or earnout of shares based on the consummation of certain trigger events.</w:t>
      </w:r>
    </w:p>
    <w:p>
      <w:pPr>
        <w:spacing w:after="0" w:line="54"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1"/>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Control investment, as defined under the 1940 Act, in which the Company owns more than 25% of the investment’s voting securities or has greater than 50% representation on its board.</w:t>
      </w:r>
    </w:p>
    <w:p>
      <w:pPr>
        <w:spacing w:after="0" w:line="74" w:lineRule="exact"/>
        <w:rPr>
          <w:rFonts w:ascii="Times New Roman" w:cs="Times New Roman" w:eastAsia="Times New Roman" w:hAnsi="Times New Roman"/>
          <w:sz w:val="24"/>
          <w:szCs w:val="24"/>
          <w:color w:val="auto"/>
          <w:vertAlign w:val="superscript"/>
        </w:rPr>
      </w:pPr>
    </w:p>
    <w:p>
      <w:pPr>
        <w:ind w:left="760" w:hanging="374"/>
        <w:spacing w:after="0" w:line="211" w:lineRule="auto"/>
        <w:tabs>
          <w:tab w:leader="none" w:pos="760" w:val="left"/>
        </w:tabs>
        <w:numPr>
          <w:ilvl w:val="1"/>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Investment is publicly traded and listed on NASDAQ.</w:t>
      </w:r>
    </w:p>
    <w:p>
      <w:pPr>
        <w:spacing w:after="0" w:line="71" w:lineRule="exact"/>
        <w:rPr>
          <w:rFonts w:ascii="Times New Roman" w:cs="Times New Roman" w:eastAsia="Times New Roman" w:hAnsi="Times New Roman"/>
          <w:sz w:val="24"/>
          <w:szCs w:val="24"/>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The warrant count is based upon a percentage of ownership of Fidelis Cybersecurity, Inc.</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9" w:lineRule="auto"/>
        <w:tabs>
          <w:tab w:leader="none" w:pos="760" w:val="left"/>
        </w:tabs>
        <w:numPr>
          <w:ilvl w:val="1"/>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2"/>
          <w:szCs w:val="12"/>
          <w:color w:val="auto"/>
        </w:rPr>
        <w:t>Investment is not a “restricted security” under the Securities Act.</w:t>
      </w:r>
    </w:p>
    <w:p>
      <w:pPr>
        <w:spacing w:after="0" w:line="70" w:lineRule="exact"/>
        <w:rPr>
          <w:rFonts w:ascii="Times New Roman" w:cs="Times New Roman" w:eastAsia="Times New Roman" w:hAnsi="Times New Roman"/>
          <w:sz w:val="19"/>
          <w:szCs w:val="19"/>
          <w:color w:val="auto"/>
          <w:vertAlign w:val="superscript"/>
        </w:rPr>
      </w:pPr>
    </w:p>
    <w:p>
      <w:pPr>
        <w:ind w:left="760" w:hanging="374"/>
        <w:spacing w:after="0" w:line="183" w:lineRule="auto"/>
        <w:tabs>
          <w:tab w:leader="none" w:pos="760" w:val="left"/>
        </w:tabs>
        <w:numPr>
          <w:ilvl w:val="1"/>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Affiliate investment as defined under the 1940 Act in which the Company owns between 5% and 25% (inclusive) of the investment's voting securities and does not have rights to maintain greater than 50% representation on the board.</w:t>
      </w:r>
    </w:p>
    <w:p>
      <w:pPr>
        <w:spacing w:after="0" w:line="55" w:lineRule="exact"/>
        <w:rPr>
          <w:rFonts w:ascii="Times New Roman" w:cs="Times New Roman" w:eastAsia="Times New Roman" w:hAnsi="Times New Roman"/>
          <w:sz w:val="24"/>
          <w:szCs w:val="24"/>
          <w:color w:val="auto"/>
          <w:vertAlign w:val="superscript"/>
        </w:rPr>
      </w:pPr>
    </w:p>
    <w:p>
      <w:pPr>
        <w:ind w:left="360" w:right="7600" w:firstLine="26"/>
        <w:spacing w:after="0" w:line="214" w:lineRule="auto"/>
        <w:tabs>
          <w:tab w:leader="none" w:pos="749" w:val="left"/>
        </w:tabs>
        <w:numPr>
          <w:ilvl w:val="1"/>
          <w:numId w:val="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Investment is publicly traded and listed on NYSE. * Value as a percentage of net assets.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1RUNWAY GROWTH FINANCE CORP.</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19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Company classifies its investment portfolio in accordance with the requirements of the 1940 Act. Control investments are investments in which the Company owns more than 25% of the voting securities or maintains greater than 50% representation on the board. Affiliate investments are investments in which the Company owns between 5% and 25% (inclusive) of the voting securities and does not have rights to maintain greater than 50% representation on the board. Transactions related to the Company’s affiliate and control investments during the nine months ended September 30,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 (Unaudited)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7"/>
              <w:spacing w:after="0" w:line="136"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3"/>
          </w:tcPr>
          <w:p>
            <w:pPr>
              <w:jc w:val="center"/>
              <w:ind w:right="157"/>
              <w:spacing w:after="0" w:line="136" w:lineRule="exact"/>
              <w:rPr>
                <w:sz w:val="20"/>
                <w:szCs w:val="20"/>
                <w:color w:val="auto"/>
              </w:rPr>
            </w:pPr>
            <w:r>
              <w:rPr>
                <w:rFonts w:ascii="Times New Roman" w:cs="Times New Roman" w:eastAsia="Times New Roman" w:hAnsi="Times New Roman"/>
                <w:sz w:val="13"/>
                <w:szCs w:val="13"/>
                <w:b w:val="1"/>
                <w:bCs w:val="1"/>
                <w:color w:val="auto"/>
                <w:w w:val="98"/>
              </w:rPr>
              <w:t>Net Change in</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Investment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6"/>
              </w:rPr>
              <w:t>Net Realized</w:t>
            </w:r>
          </w:p>
        </w:tc>
        <w:tc>
          <w:tcPr>
            <w:tcW w:w="100" w:type="dxa"/>
            <w:vAlign w:val="bottom"/>
          </w:tcPr>
          <w:p>
            <w:pPr>
              <w:spacing w:after="0"/>
              <w:rPr>
                <w:sz w:val="14"/>
                <w:szCs w:val="14"/>
                <w:color w:val="auto"/>
              </w:rPr>
            </w:pPr>
          </w:p>
        </w:tc>
        <w:tc>
          <w:tcPr>
            <w:tcW w:w="980" w:type="dxa"/>
            <w:vAlign w:val="bottom"/>
            <w:gridSpan w:val="2"/>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Earned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as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120" w:type="dxa"/>
            <w:vAlign w:val="bottom"/>
          </w:tcPr>
          <w:p>
            <w:pPr>
              <w:spacing w:after="0"/>
              <w:rPr>
                <w:sz w:val="14"/>
                <w:szCs w:val="14"/>
                <w:color w:val="auto"/>
              </w:rPr>
            </w:pPr>
          </w:p>
        </w:tc>
        <w:tc>
          <w:tcPr>
            <w:tcW w:w="1080" w:type="dxa"/>
            <w:vAlign w:val="bottom"/>
            <w:gridSpan w:val="2"/>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1080" w:type="dxa"/>
            <w:vAlign w:val="bottom"/>
            <w:gridSpan w:val="3"/>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Appreciation</w:t>
            </w:r>
          </w:p>
        </w:tc>
        <w:tc>
          <w:tcPr>
            <w:tcW w:w="10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00" w:type="dxa"/>
            <w:vAlign w:val="bottom"/>
            <w:gridSpan w:val="6"/>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r>
              <w:rPr>
                <w:rFonts w:ascii="Times New Roman" w:cs="Times New Roman" w:eastAsia="Times New Roman" w:hAnsi="Times New Roman"/>
                <w:sz w:val="16"/>
                <w:szCs w:val="16"/>
                <w:b w:val="1"/>
                <w:bCs w:val="1"/>
                <w:color w:val="auto"/>
                <w:vertAlign w:val="superscript"/>
              </w:rPr>
              <w:t>(4)</w:t>
            </w:r>
          </w:p>
        </w:tc>
        <w:tc>
          <w:tcPr>
            <w:tcW w:w="1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77"/>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89"/>
              </w:rPr>
              <w:t>Additions</w:t>
            </w:r>
            <w:r>
              <w:rPr>
                <w:rFonts w:ascii="Times New Roman" w:cs="Times New Roman" w:eastAsia="Times New Roman" w:hAnsi="Times New Roman"/>
                <w:sz w:val="16"/>
                <w:szCs w:val="16"/>
                <w:b w:val="1"/>
                <w:bCs w:val="1"/>
                <w:color w:val="auto"/>
                <w:w w:val="89"/>
                <w:vertAlign w:val="superscript"/>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w w:val="91"/>
              </w:rPr>
              <w:t>Reductions</w:t>
            </w:r>
            <w:r>
              <w:rPr>
                <w:rFonts w:ascii="Times New Roman" w:cs="Times New Roman" w:eastAsia="Times New Roman" w:hAnsi="Times New Roman"/>
                <w:sz w:val="16"/>
                <w:szCs w:val="16"/>
                <w:b w:val="1"/>
                <w:bCs w:val="1"/>
                <w:color w:val="auto"/>
                <w:w w:val="91"/>
                <w:vertAlign w:val="superscript"/>
              </w:rPr>
              <w:t>(2)</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b w:val="1"/>
                <w:bCs w:val="1"/>
                <w:color w:val="auto"/>
                <w:w w:val="98"/>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Description</w:t>
            </w:r>
          </w:p>
        </w:tc>
        <w:tc>
          <w:tcPr>
            <w:tcW w:w="100" w:type="dxa"/>
            <w:vAlign w:val="bottom"/>
          </w:tcPr>
          <w:p>
            <w:pPr>
              <w:spacing w:after="0"/>
              <w:rPr>
                <w:sz w:val="16"/>
                <w:szCs w:val="16"/>
                <w:color w:val="auto"/>
              </w:rPr>
            </w:pPr>
          </w:p>
        </w:tc>
        <w:tc>
          <w:tcPr>
            <w:tcW w:w="7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2022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2021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3"/>
              </w:rPr>
              <w:t>(Losses)</w:t>
            </w:r>
          </w:p>
        </w:tc>
        <w:tc>
          <w:tcPr>
            <w:tcW w:w="1080" w:type="dxa"/>
            <w:vAlign w:val="bottom"/>
            <w:gridSpan w:val="3"/>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100" w:type="dxa"/>
            <w:vAlign w:val="bottom"/>
          </w:tcPr>
          <w:p>
            <w:pPr>
              <w:spacing w:after="0"/>
              <w:rPr>
                <w:sz w:val="16"/>
                <w:szCs w:val="16"/>
                <w:color w:val="auto"/>
              </w:rPr>
            </w:pPr>
          </w:p>
        </w:tc>
        <w:tc>
          <w:tcPr>
            <w:tcW w:w="700" w:type="dxa"/>
            <w:vAlign w:val="bottom"/>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88"/>
              </w:rPr>
              <w:t>2022</w:t>
            </w:r>
            <w:r>
              <w:rPr>
                <w:rFonts w:ascii="Times New Roman" w:cs="Times New Roman" w:eastAsia="Times New Roman" w:hAnsi="Times New Roman"/>
                <w:sz w:val="16"/>
                <w:szCs w:val="16"/>
                <w:b w:val="1"/>
                <w:bCs w:val="1"/>
                <w:color w:val="auto"/>
                <w:w w:val="88"/>
                <w:vertAlign w:val="superscript"/>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Borders>
              <w:top w:val="single" w:sz="8" w:color="auto"/>
            </w:tcBorders>
            <w:shd w:val="clear" w:color="auto" w:fill="CFF0FC"/>
          </w:tcPr>
          <w:p>
            <w:pPr>
              <w:spacing w:after="0"/>
              <w:rPr>
                <w:sz w:val="10"/>
                <w:szCs w:val="10"/>
                <w:color w:val="auto"/>
              </w:rPr>
            </w:pPr>
          </w:p>
        </w:tc>
        <w:tc>
          <w:tcPr>
            <w:tcW w:w="1680" w:type="dxa"/>
            <w:vAlign w:val="bottom"/>
            <w:tcBorders>
              <w:top w:val="single" w:sz="8" w:color="auto"/>
            </w:tcBorders>
            <w:gridSpan w:val="5"/>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Affiliate Investments</w:t>
            </w:r>
          </w:p>
        </w:tc>
        <w:tc>
          <w:tcPr>
            <w:tcW w:w="120" w:type="dxa"/>
            <w:vAlign w:val="bottom"/>
            <w:shd w:val="clear" w:color="auto" w:fill="CFF0FC"/>
          </w:tcPr>
          <w:p>
            <w:pPr>
              <w:spacing w:after="0"/>
              <w:rPr>
                <w:sz w:val="10"/>
                <w:szCs w:val="10"/>
                <w:color w:val="auto"/>
              </w:rPr>
            </w:pPr>
          </w:p>
        </w:tc>
        <w:tc>
          <w:tcPr>
            <w:tcW w:w="180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6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700" w:type="dxa"/>
            <w:vAlign w:val="bottom"/>
            <w:gridSpan w:val="6"/>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Coginiti Corp</w:t>
            </w:r>
          </w:p>
        </w:tc>
        <w:tc>
          <w:tcPr>
            <w:tcW w:w="120" w:type="dxa"/>
            <w:vAlign w:val="bottom"/>
            <w:shd w:val="clear" w:color="auto" w:fill="CFF0FC"/>
          </w:tcPr>
          <w:p>
            <w:pPr>
              <w:spacing w:after="0"/>
              <w:rPr>
                <w:sz w:val="10"/>
                <w:szCs w:val="10"/>
                <w:color w:val="auto"/>
              </w:rPr>
            </w:pPr>
          </w:p>
        </w:tc>
        <w:tc>
          <w:tcPr>
            <w:tcW w:w="18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w w:val="96"/>
              </w:rPr>
              <w:t>LIBOR+9.50% PIK, 10.81% floor,</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109,256</w:t>
            </w:r>
          </w:p>
        </w:tc>
        <w:tc>
          <w:tcPr>
            <w:tcW w:w="24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930,259</w:t>
            </w:r>
          </w:p>
        </w:tc>
        <w:tc>
          <w:tcPr>
            <w:tcW w:w="22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(930,259 )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due 12/15/2022</w:t>
            </w:r>
          </w:p>
        </w:tc>
        <w:tc>
          <w:tcPr>
            <w:tcW w:w="10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1700" w:type="dxa"/>
            <w:vAlign w:val="bottom"/>
            <w:gridSpan w:val="6"/>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Total Senior Secured Term</w:t>
            </w: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109,256</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930,259</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(930,259 )</w:t>
            </w:r>
          </w:p>
        </w:tc>
        <w:tc>
          <w:tcPr>
            <w:tcW w:w="120" w:type="dxa"/>
            <w:vAlign w:val="bottom"/>
          </w:tcPr>
          <w:p>
            <w:pPr>
              <w:spacing w:after="0"/>
              <w:rPr>
                <w:sz w:val="9"/>
                <w:szCs w:val="9"/>
                <w:color w:val="auto"/>
              </w:rPr>
            </w:pPr>
          </w:p>
        </w:tc>
        <w:tc>
          <w:tcPr>
            <w:tcW w:w="108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98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170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Common Stocks</w:t>
            </w: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0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Coginiti Corp</w:t>
            </w:r>
          </w:p>
        </w:tc>
        <w:tc>
          <w:tcPr>
            <w:tcW w:w="12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4,551,235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(3,323,038 )</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1,228,197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0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Common Stocks</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4,551,235</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(3,323,038</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1,228,197</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00" w:type="dxa"/>
            <w:vAlign w:val="bottom"/>
            <w:gridSpan w:val="6"/>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Coginiti Corp</w:t>
            </w:r>
          </w:p>
        </w:tc>
        <w:tc>
          <w:tcPr>
            <w:tcW w:w="120" w:type="dxa"/>
            <w:vAlign w:val="bottom"/>
            <w:shd w:val="clear" w:color="auto" w:fill="CFF0FC"/>
          </w:tcPr>
          <w:p>
            <w:pPr>
              <w:spacing w:after="0"/>
              <w:rPr>
                <w:sz w:val="10"/>
                <w:szCs w:val="10"/>
                <w:color w:val="auto"/>
              </w:rPr>
            </w:pPr>
          </w:p>
        </w:tc>
        <w:tc>
          <w:tcPr>
            <w:tcW w:w="18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Warrant for Common Stock,</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w w:val="98"/>
              </w:rPr>
              <w:t>exercise price $0.01/share, expires</w:t>
            </w: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1,009,216</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8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(57,183 )</w:t>
            </w: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952,033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9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3/9/2030</w:t>
            </w:r>
          </w:p>
        </w:tc>
        <w:tc>
          <w:tcPr>
            <w:tcW w:w="10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vMerge w:val="continue"/>
            <w:shd w:val="clear" w:color="auto" w:fill="CFF0FC"/>
          </w:tcPr>
          <w:p>
            <w:pPr>
              <w:spacing w:after="0"/>
              <w:rPr>
                <w:sz w:val="13"/>
                <w:szCs w:val="13"/>
                <w:color w:val="auto"/>
              </w:rPr>
            </w:pPr>
          </w:p>
        </w:tc>
        <w:tc>
          <w:tcPr>
            <w:tcW w:w="22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0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1,009,216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(57,183 )</w:t>
            </w: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952,033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auto"/>
            </w:tcBorders>
            <w:gridSpan w:val="4"/>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w w:val="95"/>
              </w:rPr>
              <w:t>Total Affiliate Investments</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109,256</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6,490,710</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(930,259</w:t>
            </w:r>
          </w:p>
        </w:tc>
        <w:tc>
          <w:tcPr>
            <w:tcW w:w="220" w:type="dxa"/>
            <w:vAlign w:val="bottom"/>
            <w:tcBorders>
              <w:bottom w:val="single" w:sz="8" w:color="CFF0FC"/>
            </w:tcBorders>
            <w:shd w:val="clear" w:color="auto" w:fill="CFF0FC"/>
          </w:tcPr>
          <w:p>
            <w:pPr>
              <w:jc w:val="right"/>
              <w:ind w:right="9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(3,380,221</w:t>
            </w:r>
          </w:p>
        </w:tc>
        <w:tc>
          <w:tcPr>
            <w:tcW w:w="220" w:type="dxa"/>
            <w:vAlign w:val="bottom"/>
            <w:tcBorders>
              <w:bottom w:val="single" w:sz="8" w:color="CFF0FC"/>
            </w:tcBorders>
            <w:shd w:val="clear" w:color="auto" w:fill="CFF0FC"/>
          </w:tcPr>
          <w:p>
            <w:pPr>
              <w:jc w:val="right"/>
              <w:ind w:right="9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spacing w:after="0" w:line="11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2,180,230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700" w:type="dxa"/>
            <w:vAlign w:val="bottom"/>
            <w:gridSpan w:val="6"/>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Control Investments</w:t>
            </w:r>
          </w:p>
        </w:tc>
        <w:tc>
          <w:tcPr>
            <w:tcW w:w="1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1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1700" w:type="dxa"/>
            <w:vAlign w:val="bottom"/>
            <w:gridSpan w:val="6"/>
          </w:tcPr>
          <w:p>
            <w:pPr>
              <w:ind w:left="20"/>
              <w:spacing w:after="0" w:line="117" w:lineRule="exact"/>
              <w:rPr>
                <w:sz w:val="20"/>
                <w:szCs w:val="20"/>
                <w:color w:val="auto"/>
              </w:rPr>
            </w:pPr>
            <w:r>
              <w:rPr>
                <w:rFonts w:ascii="Times New Roman" w:cs="Times New Roman" w:eastAsia="Times New Roman" w:hAnsi="Times New Roman"/>
                <w:sz w:val="13"/>
                <w:szCs w:val="13"/>
                <w:color w:val="auto"/>
              </w:rPr>
              <w:t>Mojix, Inc.</w:t>
            </w:r>
          </w:p>
        </w:tc>
        <w:tc>
          <w:tcPr>
            <w:tcW w:w="120" w:type="dxa"/>
            <w:vAlign w:val="bottom"/>
          </w:tcPr>
          <w:p>
            <w:pPr>
              <w:spacing w:after="0"/>
              <w:rPr>
                <w:sz w:val="10"/>
                <w:szCs w:val="10"/>
                <w:color w:val="auto"/>
              </w:rPr>
            </w:pPr>
          </w:p>
        </w:tc>
        <w:tc>
          <w:tcPr>
            <w:tcW w:w="18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LIBOR+12.00% , 12.00% cash</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 5% ETP, due 1/15/2025</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2,286,577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7,567,610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1,987,300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(8,489,294 )</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(1,065,616 )</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LIBOR+12.00% , 12.00% cash</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 5% ETP, due 1/15/2025</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743,714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2,522,537</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647,467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(2,817,578 )</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(352,426 )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LIBOR+12.00% , 12.00% cash</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 5% ETP, due 1/15/2025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183,962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629,997</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159,925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(703,708 )</w:t>
            </w:r>
          </w:p>
        </w:tc>
        <w:tc>
          <w:tcPr>
            <w:tcW w:w="12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(86,214 )</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LIBOR+12.00% , 12.00% cash</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 5% ETP, due 1/15/2025</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184,550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629,118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160,546</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(702,761 )</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(86,903 )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LIBOR+12.00% , 12.00% cash</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 5% ETP, due 1/15/2025</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374,422</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1,252,833</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326,620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(1,399,701 )</w:t>
            </w:r>
          </w:p>
        </w:tc>
        <w:tc>
          <w:tcPr>
            <w:tcW w:w="12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(179,752 )</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LIBOR+12.00% , 12.00% cash</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cap, 5% ETP, due 1/15/2025</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291,292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1,008,093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265,657</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(1,089,800 )</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(183,950 )</w:t>
            </w:r>
          </w:p>
        </w:tc>
        <w:tc>
          <w:tcPr>
            <w:tcW w:w="10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700" w:type="dxa"/>
            <w:vAlign w:val="bottom"/>
            <w:gridSpan w:val="6"/>
          </w:tcPr>
          <w:p>
            <w:pPr>
              <w:ind w:left="20"/>
              <w:spacing w:after="0" w:line="117" w:lineRule="exact"/>
              <w:rPr>
                <w:sz w:val="20"/>
                <w:szCs w:val="20"/>
                <w:color w:val="auto"/>
              </w:rPr>
            </w:pPr>
            <w:r>
              <w:rPr>
                <w:rFonts w:ascii="Times New Roman" w:cs="Times New Roman" w:eastAsia="Times New Roman" w:hAnsi="Times New Roman"/>
                <w:sz w:val="13"/>
                <w:szCs w:val="13"/>
                <w:color w:val="auto"/>
              </w:rPr>
              <w:t>Pivot3 Holdings, Inc.</w:t>
            </w:r>
          </w:p>
        </w:tc>
        <w:tc>
          <w:tcPr>
            <w:tcW w:w="120" w:type="dxa"/>
            <w:vAlign w:val="bottom"/>
          </w:tcPr>
          <w:p>
            <w:pPr>
              <w:spacing w:after="0"/>
              <w:rPr>
                <w:sz w:val="10"/>
                <w:szCs w:val="10"/>
                <w:color w:val="auto"/>
              </w:rPr>
            </w:pPr>
          </w:p>
        </w:tc>
        <w:tc>
          <w:tcPr>
            <w:tcW w:w="18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w w:val="96"/>
              </w:rPr>
              <w:t>LIBOR+8.50% PIK, 11.00% floor,</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14,649,788</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(10,182,747 )</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4,467,041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11/15/2022</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700" w:type="dxa"/>
            <w:vAlign w:val="bottom"/>
            <w:gridSpan w:val="6"/>
            <w:shd w:val="clear" w:color="auto" w:fill="CFF0FC"/>
          </w:tcPr>
          <w:p>
            <w:pPr>
              <w:ind w:left="20"/>
              <w:spacing w:after="0" w:line="111" w:lineRule="exact"/>
              <w:rPr>
                <w:sz w:val="20"/>
                <w:szCs w:val="20"/>
                <w:color w:val="auto"/>
              </w:rPr>
            </w:pPr>
            <w:r>
              <w:rPr>
                <w:rFonts w:ascii="Times New Roman" w:cs="Times New Roman" w:eastAsia="Times New Roman" w:hAnsi="Times New Roman"/>
                <w:sz w:val="12"/>
                <w:szCs w:val="12"/>
                <w:b w:val="1"/>
                <w:bCs w:val="1"/>
                <w:color w:val="auto"/>
              </w:rPr>
              <w:t>Total Senior Secured Term</w:t>
            </w:r>
          </w:p>
        </w:tc>
        <w:tc>
          <w:tcPr>
            <w:tcW w:w="120" w:type="dxa"/>
            <w:vAlign w:val="bottom"/>
            <w:shd w:val="clear" w:color="auto" w:fill="CFF0FC"/>
          </w:tcPr>
          <w:p>
            <w:pPr>
              <w:spacing w:after="0"/>
              <w:rPr>
                <w:sz w:val="9"/>
                <w:szCs w:val="9"/>
                <w:color w:val="auto"/>
              </w:rPr>
            </w:pPr>
          </w:p>
        </w:tc>
        <w:tc>
          <w:tcPr>
            <w:tcW w:w="18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4,064,517</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28,259,976</w:t>
            </w:r>
          </w:p>
        </w:tc>
        <w:tc>
          <w:tcPr>
            <w:tcW w:w="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3,547,515</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4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(15,202,842 )</w:t>
            </w:r>
          </w:p>
        </w:tc>
        <w:tc>
          <w:tcPr>
            <w:tcW w:w="120" w:type="dxa"/>
            <w:vAlign w:val="bottom"/>
            <w:shd w:val="clear" w:color="auto" w:fill="CFF0FC"/>
          </w:tcPr>
          <w:p>
            <w:pPr>
              <w:spacing w:after="0"/>
              <w:rPr>
                <w:sz w:val="9"/>
                <w:szCs w:val="9"/>
                <w:color w:val="auto"/>
              </w:rPr>
            </w:pPr>
          </w:p>
        </w:tc>
        <w:tc>
          <w:tcPr>
            <w:tcW w:w="1080" w:type="dxa"/>
            <w:vAlign w:val="bottom"/>
            <w:gridSpan w:val="2"/>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9"/>
                <w:szCs w:val="9"/>
                <w:color w:val="auto"/>
              </w:rPr>
            </w:pPr>
          </w:p>
        </w:tc>
        <w:tc>
          <w:tcPr>
            <w:tcW w:w="98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(12,137,608 )</w:t>
            </w:r>
          </w:p>
        </w:tc>
        <w:tc>
          <w:tcPr>
            <w:tcW w:w="10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4,467,041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7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2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00" w:type="dxa"/>
            <w:vAlign w:val="bottom"/>
            <w:tcBorders>
              <w:top w:val="single" w:sz="8" w:color="CFF0FC"/>
            </w:tcBorders>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Stocks</w:t>
            </w:r>
          </w:p>
        </w:tc>
        <w:tc>
          <w:tcPr>
            <w:tcW w:w="120" w:type="dxa"/>
            <w:vAlign w:val="bottom"/>
            <w:tcBorders>
              <w:top w:val="single" w:sz="8" w:color="CFF0FC"/>
            </w:tcBorders>
          </w:tcPr>
          <w:p>
            <w:pPr>
              <w:spacing w:after="0"/>
              <w:rPr>
                <w:sz w:val="13"/>
                <w:szCs w:val="13"/>
                <w:color w:val="auto"/>
              </w:rPr>
            </w:pPr>
          </w:p>
        </w:tc>
        <w:tc>
          <w:tcPr>
            <w:tcW w:w="18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0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Mojix, Inc.</w:t>
            </w:r>
          </w:p>
        </w:tc>
        <w:tc>
          <w:tcPr>
            <w:tcW w:w="120" w:type="dxa"/>
            <w:vAlign w:val="bottom"/>
            <w:shd w:val="clear" w:color="auto" w:fill="CFF0FC"/>
          </w:tcPr>
          <w:p>
            <w:pPr>
              <w:spacing w:after="0"/>
              <w:rPr>
                <w:sz w:val="14"/>
                <w:szCs w:val="14"/>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A-1 Preferred Stock</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32,354</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870,395</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(800,000 )</w:t>
            </w:r>
          </w:p>
        </w:tc>
        <w:tc>
          <w:tcPr>
            <w:tcW w:w="12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(70,395 )</w:t>
            </w: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00" w:type="dxa"/>
            <w:vAlign w:val="bottom"/>
            <w:gridSpan w:val="6"/>
          </w:tcPr>
          <w:p>
            <w:pPr>
              <w:ind w:left="20"/>
              <w:spacing w:after="0"/>
              <w:rPr>
                <w:sz w:val="20"/>
                <w:szCs w:val="20"/>
                <w:color w:val="auto"/>
              </w:rPr>
            </w:pPr>
            <w:r>
              <w:rPr>
                <w:rFonts w:ascii="Times New Roman" w:cs="Times New Roman" w:eastAsia="Times New Roman" w:hAnsi="Times New Roman"/>
                <w:sz w:val="13"/>
                <w:szCs w:val="13"/>
                <w:color w:val="auto"/>
              </w:rPr>
              <w:t>Pivot3 Holdings, Inc.</w:t>
            </w:r>
          </w:p>
        </w:tc>
        <w:tc>
          <w:tcPr>
            <w:tcW w:w="12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1 Preferred Stock</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Borders>
              <w:bottom w:val="single" w:sz="8" w:color="CFF0FC"/>
            </w:tcBorders>
            <w:gridSpan w:val="6"/>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Preferred Stocks</w:t>
            </w:r>
          </w:p>
        </w:tc>
        <w:tc>
          <w:tcPr>
            <w:tcW w:w="120" w:type="dxa"/>
            <w:vAlign w:val="bottom"/>
            <w:tcBorders>
              <w:bottom w:val="single" w:sz="8" w:color="CFF0FC"/>
            </w:tcBorders>
            <w:shd w:val="clear" w:color="auto" w:fill="CFF0FC"/>
          </w:tcPr>
          <w:p>
            <w:pPr>
              <w:spacing w:after="0"/>
              <w:rPr>
                <w:sz w:val="13"/>
                <w:szCs w:val="13"/>
                <w:color w:val="auto"/>
              </w:rPr>
            </w:pPr>
          </w:p>
        </w:tc>
        <w:tc>
          <w:tcPr>
            <w:tcW w:w="180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32,354</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870,395</w:t>
            </w:r>
          </w:p>
        </w:tc>
        <w:tc>
          <w:tcPr>
            <w:tcW w:w="24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(70,395</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700" w:type="dxa"/>
            <w:vAlign w:val="bottom"/>
            <w:gridSpan w:val="6"/>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Mojix, Inc.</w:t>
            </w:r>
          </w:p>
        </w:tc>
        <w:tc>
          <w:tcPr>
            <w:tcW w:w="120" w:type="dxa"/>
            <w:vAlign w:val="bottom"/>
            <w:shd w:val="clear" w:color="auto" w:fill="CFF0FC"/>
          </w:tcPr>
          <w:p>
            <w:pPr>
              <w:spacing w:after="0"/>
              <w:rPr>
                <w:sz w:val="10"/>
                <w:szCs w:val="10"/>
                <w:color w:val="auto"/>
              </w:rPr>
            </w:pPr>
          </w:p>
        </w:tc>
        <w:tc>
          <w:tcPr>
            <w:tcW w:w="18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Warrant for Common Stock,</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price $1.286/share,</w:t>
            </w: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(119,255 )</w:t>
            </w:r>
          </w:p>
        </w:tc>
        <w:tc>
          <w:tcPr>
            <w:tcW w:w="120" w:type="dxa"/>
            <w:vAlign w:val="bottom"/>
            <w:shd w:val="clear" w:color="auto" w:fill="CFF0FC"/>
          </w:tcPr>
          <w:p>
            <w:pPr>
              <w:spacing w:after="0"/>
              <w:rPr>
                <w:sz w:val="11"/>
                <w:szCs w:val="11"/>
                <w:color w:val="auto"/>
              </w:rPr>
            </w:pPr>
          </w:p>
        </w:tc>
        <w:tc>
          <w:tcPr>
            <w:tcW w:w="108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(65 )</w:t>
            </w:r>
          </w:p>
        </w:tc>
        <w:tc>
          <w:tcPr>
            <w:tcW w:w="10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119,320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expires 12/13/2030</w:t>
            </w: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Warrant for Common Stock,</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price $2.1286/share,</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(298,325 )</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298,325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expires 12/13/2030</w:t>
            </w: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3"/>
                <w:szCs w:val="13"/>
                <w:color w:val="auto"/>
              </w:rPr>
              <w:t>Warrant for Common Stock,</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exercise price $5.57338/share,</w:t>
            </w: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40" w:type="dxa"/>
            <w:vAlign w:val="bottom"/>
            <w:gridSpan w:val="2"/>
            <w:vMerge w:val="restart"/>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(828,522 )</w:t>
            </w:r>
          </w:p>
        </w:tc>
        <w:tc>
          <w:tcPr>
            <w:tcW w:w="120" w:type="dxa"/>
            <w:vAlign w:val="bottom"/>
            <w:shd w:val="clear" w:color="auto" w:fill="CFF0FC"/>
          </w:tcPr>
          <w:p>
            <w:pPr>
              <w:spacing w:after="0"/>
              <w:rPr>
                <w:sz w:val="11"/>
                <w:szCs w:val="11"/>
                <w:color w:val="auto"/>
              </w:rPr>
            </w:pPr>
          </w:p>
        </w:tc>
        <w:tc>
          <w:tcPr>
            <w:tcW w:w="1080" w:type="dxa"/>
            <w:vAlign w:val="bottom"/>
            <w:gridSpan w:val="2"/>
            <w:vMerge w:val="restart"/>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828,522</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expires 12/13/2030</w:t>
            </w:r>
          </w:p>
        </w:tc>
        <w:tc>
          <w:tcPr>
            <w:tcW w:w="10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vMerge w:val="continue"/>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gridSpan w:val="2"/>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80" w:type="dxa"/>
            <w:vAlign w:val="bottom"/>
            <w:gridSpan w:val="2"/>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00" w:type="dxa"/>
            <w:vAlign w:val="bottom"/>
            <w:gridSpan w:val="6"/>
          </w:tcPr>
          <w:p>
            <w:pPr>
              <w:ind w:left="2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(1,246,102 )</w:t>
            </w:r>
          </w:p>
        </w:tc>
        <w:tc>
          <w:tcPr>
            <w:tcW w:w="120" w:type="dxa"/>
            <w:vAlign w:val="bottom"/>
          </w:tcPr>
          <w:p>
            <w:pPr>
              <w:spacing w:after="0"/>
              <w:rPr>
                <w:sz w:val="13"/>
                <w:szCs w:val="13"/>
                <w:color w:val="auto"/>
              </w:rPr>
            </w:pPr>
          </w:p>
        </w:tc>
        <w:tc>
          <w:tcPr>
            <w:tcW w:w="10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(65 )</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1,246,167</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1680" w:type="dxa"/>
            <w:vAlign w:val="bottom"/>
            <w:gridSpan w:val="5"/>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12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4,096,871</w:t>
            </w: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29,130,371</w:t>
            </w: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3,547,515</w:t>
            </w:r>
          </w:p>
        </w:tc>
        <w:tc>
          <w:tcPr>
            <w:tcW w:w="22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(17,248,944</w:t>
            </w:r>
          </w:p>
        </w:tc>
        <w:tc>
          <w:tcPr>
            <w:tcW w:w="220" w:type="dxa"/>
            <w:vAlign w:val="bottom"/>
            <w:shd w:val="clear" w:color="auto" w:fill="CFF0FC"/>
          </w:tcPr>
          <w:p>
            <w:pPr>
              <w:jc w:val="right"/>
              <w:ind w:right="9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(65</w:t>
            </w:r>
          </w:p>
        </w:tc>
        <w:tc>
          <w:tcPr>
            <w:tcW w:w="220" w:type="dxa"/>
            <w:vAlign w:val="bottom"/>
            <w:shd w:val="clear" w:color="auto" w:fill="CFF0FC"/>
          </w:tcPr>
          <w:p>
            <w:pPr>
              <w:jc w:val="right"/>
              <w:ind w:right="9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(10,961,836</w:t>
            </w:r>
          </w:p>
        </w:tc>
        <w:tc>
          <w:tcPr>
            <w:tcW w:w="220" w:type="dxa"/>
            <w:vAlign w:val="bottom"/>
            <w:shd w:val="clear" w:color="auto" w:fill="CFF0FC"/>
          </w:tcPr>
          <w:p>
            <w:pPr>
              <w:jc w:val="right"/>
              <w:ind w:right="97"/>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tcBorders>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shd w:val="clear" w:color="auto" w:fill="CFF0FC"/>
          </w:tcPr>
          <w:p>
            <w:pPr>
              <w:jc w:val="right"/>
              <w:spacing w:after="0" w:line="115" w:lineRule="exact"/>
              <w:rPr>
                <w:sz w:val="20"/>
                <w:szCs w:val="20"/>
                <w:color w:val="auto"/>
              </w:rPr>
            </w:pPr>
            <w:r>
              <w:rPr>
                <w:rFonts w:ascii="Times New Roman" w:cs="Times New Roman" w:eastAsia="Times New Roman" w:hAnsi="Times New Roman"/>
                <w:sz w:val="13"/>
                <w:szCs w:val="13"/>
                <w:color w:val="auto"/>
              </w:rPr>
              <w:t>4,467,041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auto"/>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-4413885</wp:posOffset>
            </wp:positionV>
            <wp:extent cx="76835" cy="196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-4413885</wp:posOffset>
            </wp:positionV>
            <wp:extent cx="76835" cy="1968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19685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-4413885</wp:posOffset>
            </wp:positionV>
            <wp:extent cx="68580" cy="196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-4413885</wp:posOffset>
            </wp:positionV>
            <wp:extent cx="68580" cy="1968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-4413885</wp:posOffset>
            </wp:positionV>
            <wp:extent cx="68580" cy="1968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-4413885</wp:posOffset>
            </wp:positionV>
            <wp:extent cx="68580" cy="1968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-4413885</wp:posOffset>
            </wp:positionV>
            <wp:extent cx="68580" cy="1968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-3899535</wp:posOffset>
            </wp:positionV>
            <wp:extent cx="76835" cy="1111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-3899535</wp:posOffset>
            </wp:positionV>
            <wp:extent cx="76835" cy="1111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-3899535</wp:posOffset>
            </wp:positionV>
            <wp:extent cx="68580" cy="11112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-3899535</wp:posOffset>
            </wp:positionV>
            <wp:extent cx="68580" cy="1111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-3899535</wp:posOffset>
            </wp:positionV>
            <wp:extent cx="68580" cy="1111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-3899535</wp:posOffset>
            </wp:positionV>
            <wp:extent cx="68580" cy="1111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-3899535</wp:posOffset>
            </wp:positionV>
            <wp:extent cx="68580" cy="1111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-3531235</wp:posOffset>
            </wp:positionV>
            <wp:extent cx="76835" cy="1200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-3531235</wp:posOffset>
            </wp:positionV>
            <wp:extent cx="76835" cy="1200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-3531235</wp:posOffset>
            </wp:positionV>
            <wp:extent cx="6858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-3531235</wp:posOffset>
            </wp:positionV>
            <wp:extent cx="68580" cy="1200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-3531235</wp:posOffset>
            </wp:positionV>
            <wp:extent cx="68580" cy="1200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-3531235</wp:posOffset>
            </wp:positionV>
            <wp:extent cx="68580"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1200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-3308350</wp:posOffset>
            </wp:positionV>
            <wp:extent cx="4328795" cy="1289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328795" cy="12890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-1576705</wp:posOffset>
            </wp:positionV>
            <wp:extent cx="76835" cy="1117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-1576705</wp:posOffset>
            </wp:positionV>
            <wp:extent cx="76835" cy="1117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-1576705</wp:posOffset>
            </wp:positionV>
            <wp:extent cx="68580" cy="1117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-1576705</wp:posOffset>
            </wp:positionV>
            <wp:extent cx="68580" cy="11176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-1576705</wp:posOffset>
            </wp:positionV>
            <wp:extent cx="68580" cy="1117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-1576705</wp:posOffset>
            </wp:positionV>
            <wp:extent cx="68580" cy="1117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1117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-1148080</wp:posOffset>
            </wp:positionV>
            <wp:extent cx="76835" cy="1111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-1148080</wp:posOffset>
            </wp:positionV>
            <wp:extent cx="76835" cy="1111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-1148080</wp:posOffset>
            </wp:positionV>
            <wp:extent cx="68580" cy="1111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-1148080</wp:posOffset>
            </wp:positionV>
            <wp:extent cx="68580" cy="1111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-1148080</wp:posOffset>
            </wp:positionV>
            <wp:extent cx="68580" cy="1111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-1148080</wp:posOffset>
            </wp:positionV>
            <wp:extent cx="68580" cy="1111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1111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-248285</wp:posOffset>
            </wp:positionV>
            <wp:extent cx="76835"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-248285</wp:posOffset>
            </wp:positionV>
            <wp:extent cx="76835" cy="1200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-248285</wp:posOffset>
            </wp:positionV>
            <wp:extent cx="68580" cy="1200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-248285</wp:posOffset>
            </wp:positionV>
            <wp:extent cx="68580" cy="1200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-248285</wp:posOffset>
            </wp:positionV>
            <wp:extent cx="68580" cy="1200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-248285</wp:posOffset>
            </wp:positionV>
            <wp:extent cx="68580" cy="1200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1200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-25400</wp:posOffset>
            </wp:positionV>
            <wp:extent cx="7683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-25400</wp:posOffset>
            </wp:positionV>
            <wp:extent cx="768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-8255</wp:posOffset>
            </wp:positionV>
            <wp:extent cx="7683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-25400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-8255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-8255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19030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760" w:hanging="374"/>
        <w:spacing w:after="0" w:line="221" w:lineRule="auto"/>
        <w:tabs>
          <w:tab w:leader="none" w:pos="7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163" w:lineRule="exact"/>
        <w:rPr>
          <w:rFonts w:ascii="Times New Roman" w:cs="Times New Roman" w:eastAsia="Times New Roman" w:hAnsi="Times New Roman"/>
          <w:sz w:val="19"/>
          <w:szCs w:val="19"/>
          <w:color w:val="auto"/>
          <w:vertAlign w:val="superscript"/>
        </w:rPr>
      </w:pPr>
    </w:p>
    <w:p>
      <w:pPr>
        <w:ind w:left="760" w:hanging="374"/>
        <w:spacing w:after="0" w:line="221" w:lineRule="auto"/>
        <w:tabs>
          <w:tab w:leader="none" w:pos="7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163" w:lineRule="exact"/>
        <w:rPr>
          <w:rFonts w:ascii="Times New Roman" w:cs="Times New Roman" w:eastAsia="Times New Roman" w:hAnsi="Times New Roman"/>
          <w:sz w:val="19"/>
          <w:szCs w:val="19"/>
          <w:color w:val="auto"/>
          <w:vertAlign w:val="superscript"/>
        </w:rPr>
      </w:pPr>
    </w:p>
    <w:p>
      <w:pPr>
        <w:ind w:left="760" w:hanging="374"/>
        <w:spacing w:after="0" w:line="221" w:lineRule="auto"/>
        <w:tabs>
          <w:tab w:leader="none" w:pos="760" w:val="left"/>
        </w:tabs>
        <w:numPr>
          <w:ilvl w:val="0"/>
          <w:numId w:val="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investments in the portfolio companies, which as of September 30, 2022 represented 1.16% of the Company’s net assets, are restricted as to resale and were valued at fair value as determined in good faith by the Company’s Board of Directors.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11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Schedule of Investments (Unaudited) – (continued)</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192"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18"/>
          <w:szCs w:val="18"/>
          <w:color w:val="auto"/>
        </w:rPr>
        <w:t>The following tables show the fair value of our portfolio of investments (excluding any U.S. Treasury Bills held) by geographic region and industry as of September 30,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300" w:type="dxa"/>
            <w:vAlign w:val="bottom"/>
            <w:tcBorders>
              <w:bottom w:val="single" w:sz="8" w:color="auto"/>
            </w:tcBorders>
          </w:tcPr>
          <w:p>
            <w:pPr>
              <w:spacing w:after="0"/>
              <w:rPr>
                <w:sz w:val="16"/>
                <w:szCs w:val="16"/>
                <w:color w:val="auto"/>
              </w:rPr>
            </w:pPr>
          </w:p>
        </w:tc>
      </w:tr>
      <w:tr>
        <w:trPr>
          <w:trHeight w:val="21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17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24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300" w:type="dxa"/>
            <w:vAlign w:val="bottom"/>
          </w:tcPr>
          <w:p>
            <w:pPr>
              <w:spacing w:after="0"/>
              <w:rPr>
                <w:sz w:val="18"/>
                <w:szCs w:val="18"/>
                <w:color w:val="auto"/>
              </w:rPr>
            </w:pPr>
          </w:p>
        </w:tc>
      </w:tr>
      <w:tr>
        <w:trPr>
          <w:trHeight w:val="209"/>
        </w:trPr>
        <w:tc>
          <w:tcPr>
            <w:tcW w:w="6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Northeastern United States</w:t>
            </w:r>
          </w:p>
        </w:tc>
        <w:tc>
          <w:tcPr>
            <w:tcW w:w="2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276,632,059</w:t>
            </w:r>
          </w:p>
        </w:tc>
        <w:tc>
          <w:tcPr>
            <w:tcW w:w="24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Western United States</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234,568,515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Central United States</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84,774,194</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Midwestern United States</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74,508,708</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Southeastern United States</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70,546,667</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60,784,063</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Northwestern United States</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48,442,615</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46,318,240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4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13,593,884</w:t>
            </w:r>
          </w:p>
        </w:tc>
        <w:tc>
          <w:tcPr>
            <w:tcW w:w="24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r>
      <w:tr>
        <w:trPr>
          <w:trHeight w:val="21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910,168,945</w:t>
            </w:r>
          </w:p>
        </w:tc>
        <w:tc>
          <w:tcPr>
            <w:tcW w:w="240" w:type="dxa"/>
            <w:vAlign w:val="bottom"/>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0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385"/>
        </w:trPr>
        <w:tc>
          <w:tcPr>
            <w:tcW w:w="6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Borders>
              <w:bottom w:val="single" w:sz="8" w:color="auto"/>
            </w:tcBorders>
          </w:tcPr>
          <w:p>
            <w:pPr>
              <w:spacing w:after="0"/>
              <w:rPr>
                <w:sz w:val="24"/>
                <w:szCs w:val="24"/>
                <w:color w:val="auto"/>
              </w:rPr>
            </w:pPr>
          </w:p>
        </w:tc>
      </w:tr>
      <w:tr>
        <w:trPr>
          <w:trHeight w:val="21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780" w:type="dxa"/>
            <w:vAlign w:val="bottom"/>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Investments at Fair Value</w:t>
            </w:r>
          </w:p>
        </w:tc>
        <w:tc>
          <w:tcPr>
            <w:tcW w:w="240" w:type="dxa"/>
            <w:vAlign w:val="bottom"/>
          </w:tcPr>
          <w:p>
            <w:pPr>
              <w:spacing w:after="0"/>
              <w:rPr>
                <w:sz w:val="18"/>
                <w:szCs w:val="18"/>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Percentage of Net Assets</w:t>
            </w:r>
          </w:p>
        </w:tc>
        <w:tc>
          <w:tcPr>
            <w:tcW w:w="300" w:type="dxa"/>
            <w:vAlign w:val="bottom"/>
          </w:tcPr>
          <w:p>
            <w:pPr>
              <w:spacing w:after="0"/>
              <w:rPr>
                <w:sz w:val="18"/>
                <w:szCs w:val="18"/>
                <w:color w:val="auto"/>
              </w:rPr>
            </w:pPr>
          </w:p>
        </w:tc>
      </w:tr>
      <w:tr>
        <w:trPr>
          <w:trHeight w:val="209"/>
        </w:trPr>
        <w:tc>
          <w:tcPr>
            <w:tcW w:w="6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Care Technology</w:t>
            </w:r>
          </w:p>
        </w:tc>
        <w:tc>
          <w:tcPr>
            <w:tcW w:w="200" w:type="dxa"/>
            <w:vAlign w:val="bottom"/>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191,335,392</w:t>
            </w:r>
          </w:p>
        </w:tc>
        <w:tc>
          <w:tcPr>
            <w:tcW w:w="240" w:type="dxa"/>
            <w:vAlign w:val="bottom"/>
            <w:shd w:val="clear" w:color="auto" w:fill="CFF0FC"/>
          </w:tcPr>
          <w:p>
            <w:pPr>
              <w:spacing w:after="0"/>
              <w:rPr>
                <w:sz w:val="18"/>
                <w:szCs w:val="18"/>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33.35</w:t>
            </w:r>
          </w:p>
        </w:tc>
        <w:tc>
          <w:tcPr>
            <w:tcW w:w="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Application Software</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184,056,365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Internet Software and Services</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134,431,752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Human Resource &amp; Employment Services</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97,714,352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Data Processing &amp; Outsourced Services</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68,877,801</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&amp; Casualty Insurance</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49,258,816</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Internet Retail</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46,318,240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Biotechnology</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39,643,210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Electronic Equipment &amp; Instruments</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30,014,305</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 Equipment</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27,262,645</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Education Services</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25,249,892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System Software</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13,593,884</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Hardware, Storage &amp; Peripherals</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1,281,342</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6"/>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Specialized Consumer Services</w:t>
            </w:r>
          </w:p>
        </w:tc>
        <w:tc>
          <w:tcPr>
            <w:tcW w:w="4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983,862</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71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&amp; Electronics Retail</w:t>
            </w:r>
          </w:p>
        </w:tc>
        <w:tc>
          <w:tcPr>
            <w:tcW w:w="4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147,087</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r>
      <w:tr>
        <w:trPr>
          <w:trHeight w:val="21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910,168,945</w:t>
            </w:r>
          </w:p>
        </w:tc>
        <w:tc>
          <w:tcPr>
            <w:tcW w:w="24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r>
      <w:tr>
        <w:trPr>
          <w:trHeight w:val="20"/>
        </w:trPr>
        <w:tc>
          <w:tcPr>
            <w:tcW w:w="6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-2811145</wp:posOffset>
            </wp:positionV>
            <wp:extent cx="6858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6880225</wp:posOffset>
            </wp:positionH>
            <wp:positionV relativeFrom="paragraph">
              <wp:posOffset>-2811145</wp:posOffset>
            </wp:positionV>
            <wp:extent cx="6858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ind w:left="4900" w:right="4640" w:hanging="251"/>
        <w:spacing w:after="0" w:line="301" w:lineRule="auto"/>
        <w:tabs>
          <w:tab w:leader="none" w:pos="4742"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40" w:type="dxa"/>
            <w:vAlign w:val="bottom"/>
          </w:tcPr>
          <w:p>
            <w:pPr>
              <w:spacing w:after="0"/>
              <w:rPr>
                <w:sz w:val="13"/>
                <w:szCs w:val="13"/>
                <w:color w:val="auto"/>
              </w:rPr>
            </w:pPr>
          </w:p>
        </w:tc>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0"/>
              </w:rPr>
              <w:t>Fair Value</w:t>
            </w:r>
            <w:r>
              <w:rPr>
                <w:rFonts w:ascii="Times New Roman" w:cs="Times New Roman" w:eastAsia="Times New Roman" w:hAnsi="Times New Roman"/>
                <w:sz w:val="19"/>
                <w:szCs w:val="19"/>
                <w:b w:val="1"/>
                <w:bCs w:val="1"/>
                <w:color w:val="auto"/>
                <w:w w:val="90"/>
                <w:vertAlign w:val="superscript"/>
              </w:rPr>
              <w:t>(2),(6)</w:t>
            </w:r>
          </w:p>
        </w:tc>
        <w:tc>
          <w:tcPr>
            <w:tcW w:w="22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28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 w:type="dxa"/>
            <w:vAlign w:val="bottom"/>
            <w:shd w:val="clear" w:color="auto" w:fill="CFF0FC"/>
          </w:tcPr>
          <w:p>
            <w:pPr>
              <w:spacing w:after="0"/>
              <w:rPr>
                <w:sz w:val="11"/>
                <w:szCs w:val="11"/>
                <w:color w:val="auto"/>
              </w:rPr>
            </w:pPr>
          </w:p>
        </w:tc>
        <w:tc>
          <w:tcPr>
            <w:tcW w:w="226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4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16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8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9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Aginity,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LIBOR+9.50% PIK, 10.81% floor</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3/24/2020</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12/15/2022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899,054</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899,054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899,054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Fixed 6.50% PIK</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9"/>
              </w:rPr>
              <w:t>3/9/2020</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9"/>
              </w:rPr>
              <w:t>3/9/2027</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4,472,419</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4,472,419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2,348,809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LIBOR+9.50% PIK, 12.00% floor, 7.50%</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Circadence Corporation</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12/20/2018</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12/15/2022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17,574,000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18,111,074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15,884,482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70"/>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Dtex Systems, Inc.</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LIBOR+9.50%, 10.00% floor, 1.75% 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9"/>
              </w:rPr>
              <w:t>6/1/2021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9"/>
              </w:rPr>
              <w:t>6/1/2025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9,942,422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9,942,422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FiscalNote,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LIBOR+9.25%, 9.75% floor, 5.00%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10/19/2020</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8/21/2023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45,490,925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45,490,925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LIBOR+9.25%, 9.75% floor, 5.00% 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9/30/2021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8/21/2023</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9,990,162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9,990,162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17"/>
        </w:trPr>
        <w:tc>
          <w:tcPr>
            <w:tcW w:w="2280" w:type="dxa"/>
            <w:vAlign w:val="bottom"/>
            <w:gridSpan w:val="3"/>
          </w:tcPr>
          <w:p>
            <w:pPr>
              <w:ind w:left="20"/>
              <w:spacing w:after="0" w:line="117" w:lineRule="exact"/>
              <w:rPr>
                <w:sz w:val="20"/>
                <w:szCs w:val="20"/>
                <w:color w:val="auto"/>
              </w:rPr>
            </w:pPr>
            <w:r>
              <w:rPr>
                <w:rFonts w:ascii="Times New Roman" w:cs="Times New Roman" w:eastAsia="Times New Roman" w:hAnsi="Times New Roman"/>
                <w:sz w:val="13"/>
                <w:szCs w:val="13"/>
                <w:color w:val="auto"/>
              </w:rPr>
              <w:t>VTX Intermediate Holdings, Inc. (dba</w:t>
            </w:r>
          </w:p>
        </w:tc>
        <w:tc>
          <w:tcPr>
            <w:tcW w:w="140" w:type="dxa"/>
            <w:vAlign w:val="bottom"/>
          </w:tcPr>
          <w:p>
            <w:pPr>
              <w:spacing w:after="0"/>
              <w:rPr>
                <w:sz w:val="10"/>
                <w:szCs w:val="10"/>
                <w:color w:val="auto"/>
              </w:rPr>
            </w:pPr>
          </w:p>
        </w:tc>
        <w:tc>
          <w:tcPr>
            <w:tcW w:w="2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LIBOR+9.00%, 9.50% floor, 4.50% ETP</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74,257,185</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74,257,185</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VertexOne)</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12/28/2021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12/28/2026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75,000,000</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- 26.20%*</w:t>
            </w:r>
          </w:p>
        </w:tc>
        <w:tc>
          <w:tcPr>
            <w:tcW w:w="140" w:type="dxa"/>
            <w:vAlign w:val="bottom"/>
            <w:tcBorders>
              <w:bottom w:val="single" w:sz="8" w:color="CFF0FC"/>
            </w:tcBorders>
            <w:shd w:val="clear" w:color="auto" w:fill="CFF0FC"/>
          </w:tcPr>
          <w:p>
            <w:pPr>
              <w:spacing w:after="0"/>
              <w:rPr>
                <w:sz w:val="13"/>
                <w:szCs w:val="13"/>
                <w:color w:val="auto"/>
              </w:rPr>
            </w:pPr>
          </w:p>
        </w:tc>
        <w:tc>
          <w:tcPr>
            <w:tcW w:w="22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163,163,241</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158,813,039</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ShareThis,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LIBOR+9.25%, 11.60% floor, 3.00%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12/3/2018</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7/15/2023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19,250,000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19,348,875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19,348,874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LIBOR+9.25%, 11.60% floor, 3.00% 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9"/>
              </w:rPr>
              <w:t>1/7/2019</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7/15/2023</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750,000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751,979</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751,979</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LIBOR+9.25%, 11.60% floor, 3.00%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7/24/2019</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7/15/2023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998,484</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998,484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LIBOR+8.25%, 10.60% floor, 3.00% ETP</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8/18/2020</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7/15/2023</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1,014,040</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1,014,040</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08"/>
        </w:trPr>
        <w:tc>
          <w:tcPr>
            <w:tcW w:w="228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Data Processing &amp; Outsourced</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22,113,378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22,113,377</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- 3.65%*</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 Services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Turning Tech Intermediate, Inc.</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w w:val="99"/>
              </w:rPr>
              <w:t>LIBOR+10.50%, 11.00% floor, 3.00% ETP</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6/22/2021</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12/14/2024</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20,000,000</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20,098,640</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20,098,640</w:t>
            </w: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Education Services - 3.32%*</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20,098,640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20,098,640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280" w:type="dxa"/>
            <w:vAlign w:val="bottom"/>
            <w:gridSpan w:val="3"/>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Intellisite Holdings, Inc. (dba Epic IO</w:t>
            </w: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LIBOR+9.75%, 10.25% floor, 2.00% ETP</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18,521,523</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18,521,523</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Technologies, Inc.)</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12/17/2021</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12/17/2025</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19,000,000</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10"/>
        </w:trPr>
        <w:tc>
          <w:tcPr>
            <w:tcW w:w="228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Total Electronic Equipment &amp;</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18,521,523</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18,521,523</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Instruments - 3.06%*</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LIBOR+9.00%, 9.50% floor, 3.00% 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12/30/2021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12/30/2025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4,847,557</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4,847,557</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LIBOR+9.00%, 9.50% floor, 3.00%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12/30/2021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12/30/2025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20,000,743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20,000,743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LIBOR+8.15%, 1.50% PIK, 8.65% floor,</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CrossRoads Extremity Systems, LLC</w:t>
            </w:r>
          </w:p>
        </w:tc>
        <w:tc>
          <w:tcPr>
            <w:tcW w:w="14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3.50% 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6/29/2021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9"/>
              </w:rPr>
              <w:t>7/1/2025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7,552,967</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7,381,304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7,701,001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Gynesonics,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LIBOR+8.75%, 9.25% floor, 3.50%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12/1/2020</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12/1/2025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30,000,000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29,799,392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29,799,392</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LIBOR+9.50%, 11.75% floor, 0.25% PIK,</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10.00% 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8/15/2018</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8/15/2022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3,958,483</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4,473,959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4,371,891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Route 92 Medical,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LIBOR+8.48%, 8.98% floor, 3.95%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8/17/2021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9"/>
              </w:rPr>
              <w:t>7/1/2026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12,675,523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12,675,523</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LIBOR+8.75%, 9.25% floor, 4.00% 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6/29/2021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12/1/2025</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9,946,271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9,946,271</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VERO Biotech LLC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LIBOR+9.05%, 9.55% floor, 3.00%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12/29/2020</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12/1/2024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24,681,082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24,681,082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LIBOR+9.05%, 9.55% floor, 3.00% ETP</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3/30/2021</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12/1/2024</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15,000,000</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14,990,171</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14,990,171</w:t>
            </w:r>
          </w:p>
        </w:tc>
        <w:tc>
          <w:tcPr>
            <w:tcW w:w="1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0"/>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Total Health Care Technology - 21.28%*</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128,796,002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129,013,631</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-3251200</wp:posOffset>
            </wp:positionV>
            <wp:extent cx="68580" cy="1111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-3251200</wp:posOffset>
            </wp:positionV>
            <wp:extent cx="68580" cy="1111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-2625090</wp:posOffset>
            </wp:positionV>
            <wp:extent cx="68580" cy="1974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-2625090</wp:posOffset>
            </wp:positionV>
            <wp:extent cx="68580" cy="1974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-2119630</wp:posOffset>
            </wp:positionV>
            <wp:extent cx="68580" cy="1200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-2119630</wp:posOffset>
            </wp:positionV>
            <wp:extent cx="68580" cy="1200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-1613535</wp:posOffset>
            </wp:positionV>
            <wp:extent cx="68580" cy="1968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-1613535</wp:posOffset>
            </wp:positionV>
            <wp:extent cx="68580" cy="1968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-113665</wp:posOffset>
            </wp:positionV>
            <wp:extent cx="1474470" cy="1200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74470" cy="1200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ind w:left="4900" w:right="4120" w:hanging="780"/>
        <w:spacing w:after="0" w:line="301" w:lineRule="auto"/>
        <w:tabs>
          <w:tab w:leader="none" w:pos="4212"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40" w:type="dxa"/>
            <w:vAlign w:val="bottom"/>
          </w:tcPr>
          <w:p>
            <w:pPr>
              <w:spacing w:after="0"/>
              <w:rPr>
                <w:sz w:val="13"/>
                <w:szCs w:val="13"/>
                <w:color w:val="auto"/>
              </w:rPr>
            </w:pPr>
          </w:p>
        </w:tc>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0"/>
              </w:rPr>
              <w:t>Fair Value</w:t>
            </w:r>
            <w:r>
              <w:rPr>
                <w:rFonts w:ascii="Times New Roman" w:cs="Times New Roman" w:eastAsia="Times New Roman" w:hAnsi="Times New Roman"/>
                <w:sz w:val="19"/>
                <w:szCs w:val="19"/>
                <w:b w:val="1"/>
                <w:bCs w:val="1"/>
                <w:color w:val="auto"/>
                <w:w w:val="90"/>
                <w:vertAlign w:val="superscript"/>
              </w:rPr>
              <w:t>(2),(6)</w:t>
            </w:r>
          </w:p>
        </w:tc>
        <w:tc>
          <w:tcPr>
            <w:tcW w:w="220" w:type="dxa"/>
            <w:vAlign w:val="bottom"/>
          </w:tcPr>
          <w:p>
            <w:pPr>
              <w:spacing w:after="0"/>
              <w:rPr>
                <w:sz w:val="13"/>
                <w:szCs w:val="13"/>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28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28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8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Human Resource &amp; Employment</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CloudPay, Inc.</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LIBOR+8.75%, 9.25% floor, 2.00% 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8/17/2021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8/17/2025</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35,000,000</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34,863,473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34,863,473</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(3)(13)</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Snagajob.com,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LIBOR+8.50%, 9.00% floor, 2.75%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9/29/2021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9"/>
              </w:rPr>
              <w:t>9/1/2025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37,315,385</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36,847,618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36,847,618</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gridSpan w:val="3"/>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Human Resource &amp; Employment</w:t>
            </w:r>
          </w:p>
        </w:tc>
        <w:tc>
          <w:tcPr>
            <w:tcW w:w="140" w:type="dxa"/>
            <w:vAlign w:val="bottom"/>
            <w:shd w:val="clear" w:color="auto" w:fill="CFF0FC"/>
          </w:tcPr>
          <w:p>
            <w:pPr>
              <w:spacing w:after="0"/>
              <w:rPr>
                <w:sz w:val="9"/>
                <w:szCs w:val="9"/>
                <w:color w:val="auto"/>
              </w:rPr>
            </w:pPr>
          </w:p>
        </w:tc>
        <w:tc>
          <w:tcPr>
            <w:tcW w:w="2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71,711,091</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71,711,091</w:t>
            </w: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- 11.83%*</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Retail</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Brilliant Earth, LLC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LIBOR+7.75%, 8.25% floor, 4.50%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9/30/2019</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10/15/2023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35,000,000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35,861,035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35,848,514</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LIBOR+7.75%, 8.25% floor, 0.75% 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12/17/2020</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10/15/2023</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30,000,000</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29,970,285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30,727,298</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Marley Spoon AG</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LIBOR+8.50%, 1.25% PIK, 9.00% floor</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6/30/2021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6/15/2025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26,442,863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26,061,371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26,061,370</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(3)(4)(12)</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LIBOR+8.50%, 1.25% PIK, 9.00% floor</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12/29/2021</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6/15/2025</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8,100,000</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8,019,228</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8,019,228</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(3)(4)(12)</w:t>
            </w:r>
          </w:p>
        </w:tc>
        <w:tc>
          <w:tcPr>
            <w:tcW w:w="0" w:type="dxa"/>
            <w:vAlign w:val="bottom"/>
          </w:tcPr>
          <w:p>
            <w:pPr>
              <w:spacing w:after="0"/>
              <w:rPr>
                <w:sz w:val="1"/>
                <w:szCs w:val="1"/>
                <w:color w:val="auto"/>
              </w:rPr>
            </w:pPr>
          </w:p>
        </w:tc>
      </w:tr>
      <w:tr>
        <w:trPr>
          <w:trHeight w:val="15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Internet Retail - 16.60%*</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99,911,919</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100,656,410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shd w:val="clear" w:color="auto" w:fill="CFF0FC"/>
          </w:tcPr>
          <w:p>
            <w:pPr>
              <w:spacing w:after="0"/>
              <w:rPr>
                <w:sz w:val="10"/>
                <w:szCs w:val="10"/>
                <w:color w:val="auto"/>
              </w:rPr>
            </w:pPr>
          </w:p>
        </w:tc>
        <w:tc>
          <w:tcPr>
            <w:tcW w:w="2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LIBOR+5.00%, 5.50% floor, 3.75% PIK,</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Bombora, Inc.</w:t>
            </w:r>
          </w:p>
        </w:tc>
        <w:tc>
          <w:tcPr>
            <w:tcW w:w="14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2.00% 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3/31/2021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3/31/2025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20,546,075</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20,326,021</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20,326,021</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Fidelis Cybersecurity,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LIBOR+11.00%, 12.0% floor, 2.39%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5/13/2021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5/13/2024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13,641,254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13,623,763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13,623,763</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INRIX, Inc.</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LIBOR+9.00%, 9.50% floor, 2.50% ETP</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11/15/2021</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11/15/2025</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40,000,000</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39,916,175</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39,916,175</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08"/>
        </w:trPr>
        <w:tc>
          <w:tcPr>
            <w:tcW w:w="228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Internet Software and Services -</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73,865,959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73,865,959</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12.19%*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28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Total Senior Secured Term Loans -</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598,181,753</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594,793,670</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98.12%*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Second Lien Term Loans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LIBOR+5.00%, 5.50 floor, 5.00% PIK,</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12,872,588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12,872,588</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Dejero Labs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3.00% 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12/22/2021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12/22/2025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13,000,000</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(3)(4)(11)</w:t>
            </w:r>
          </w:p>
        </w:tc>
        <w:tc>
          <w:tcPr>
            <w:tcW w:w="0" w:type="dxa"/>
            <w:vAlign w:val="bottom"/>
          </w:tcPr>
          <w:p>
            <w:pPr>
              <w:spacing w:after="0"/>
              <w:rPr>
                <w:sz w:val="1"/>
                <w:szCs w:val="1"/>
                <w:color w:val="auto"/>
              </w:rPr>
            </w:pPr>
          </w:p>
        </w:tc>
      </w:tr>
      <w:tr>
        <w:trPr>
          <w:trHeight w:val="157"/>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System Software - 2.12%*</w:t>
            </w:r>
          </w:p>
        </w:tc>
        <w:tc>
          <w:tcPr>
            <w:tcW w:w="140" w:type="dxa"/>
            <w:vAlign w:val="bottom"/>
            <w:tcBorders>
              <w:bottom w:val="single" w:sz="8" w:color="CFF0FC"/>
            </w:tcBorders>
            <w:shd w:val="clear" w:color="auto" w:fill="CFF0FC"/>
          </w:tcPr>
          <w:p>
            <w:pPr>
              <w:spacing w:after="0"/>
              <w:rPr>
                <w:sz w:val="13"/>
                <w:szCs w:val="13"/>
                <w:color w:val="auto"/>
              </w:rPr>
            </w:pPr>
          </w:p>
        </w:tc>
        <w:tc>
          <w:tcPr>
            <w:tcW w:w="22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12,872,588</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12,872,588</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Total Second Lien Term Loans - 2.12%*</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12,872,588</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12,872,588</w:t>
            </w: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Stocks</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Aria Systems, Inc.</w:t>
            </w:r>
          </w:p>
        </w:tc>
        <w:tc>
          <w:tcPr>
            <w:tcW w:w="140" w:type="dxa"/>
            <w:vAlign w:val="bottom"/>
            <w:tcBorders>
              <w:bottom w:val="single" w:sz="8" w:color="CFF0FC"/>
            </w:tcBorders>
            <w:shd w:val="clear" w:color="auto" w:fill="CFF0FC"/>
          </w:tcPr>
          <w:p>
            <w:pPr>
              <w:spacing w:after="0"/>
              <w:rPr>
                <w:sz w:val="24"/>
                <w:szCs w:val="2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G</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7/10/2018</w:t>
            </w:r>
          </w:p>
        </w:tc>
        <w:tc>
          <w:tcPr>
            <w:tcW w:w="1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289,419</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462,025</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- 0.08%*</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250,000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462,025</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shd w:val="clear" w:color="auto" w:fill="CFF0FC"/>
          </w:tcPr>
          <w:p>
            <w:pPr>
              <w:spacing w:after="0"/>
              <w:rPr>
                <w:sz w:val="11"/>
                <w:szCs w:val="11"/>
                <w:color w:val="auto"/>
              </w:rPr>
            </w:pPr>
          </w:p>
        </w:tc>
        <w:tc>
          <w:tcPr>
            <w:tcW w:w="2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line="131" w:lineRule="exact"/>
              <w:rPr>
                <w:sz w:val="20"/>
                <w:szCs w:val="20"/>
                <w:color w:val="auto"/>
              </w:rPr>
            </w:pPr>
            <w:r>
              <w:rPr>
                <w:rFonts w:ascii="Times New Roman" w:cs="Times New Roman" w:eastAsia="Times New Roman" w:hAnsi="Times New Roman"/>
                <w:sz w:val="13"/>
                <w:szCs w:val="13"/>
                <w:color w:val="auto"/>
              </w:rPr>
              <w:t>11% Series A Cumulative Redeemable</w:t>
            </w: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14,287,836</w:t>
            </w: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15,704,705</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CareCloud, Inc.</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Perpetual</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9"/>
              </w:rPr>
              <w:t>1/8/2020</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544,178</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(16)(19)</w:t>
            </w:r>
          </w:p>
        </w:tc>
        <w:tc>
          <w:tcPr>
            <w:tcW w:w="0" w:type="dxa"/>
            <w:vAlign w:val="bottom"/>
          </w:tcPr>
          <w:p>
            <w:pPr>
              <w:spacing w:after="0"/>
              <w:rPr>
                <w:sz w:val="1"/>
                <w:szCs w:val="1"/>
                <w:color w:val="auto"/>
              </w:rPr>
            </w:pPr>
          </w:p>
        </w:tc>
      </w:tr>
      <w:tr>
        <w:trPr>
          <w:trHeight w:val="157"/>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Health Care Technology - 2.59%*</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14,287,836</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15,704,705</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Preferred Stocks - 2.67%*</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14,537,836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16,166,730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-3996690</wp:posOffset>
            </wp:positionV>
            <wp:extent cx="68580" cy="1117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-3996690</wp:posOffset>
            </wp:positionV>
            <wp:extent cx="68580" cy="1117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-3371215</wp:posOffset>
            </wp:positionV>
            <wp:extent cx="68580" cy="120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-3371215</wp:posOffset>
            </wp:positionV>
            <wp:extent cx="68580" cy="1200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-2651125</wp:posOffset>
            </wp:positionV>
            <wp:extent cx="68580" cy="1974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-2651125</wp:posOffset>
            </wp:positionV>
            <wp:extent cx="68580" cy="1974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-1562100</wp:posOffset>
            </wp:positionV>
            <wp:extent cx="68580" cy="1111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-1562100</wp:posOffset>
            </wp:positionV>
            <wp:extent cx="68580" cy="1111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-1348105</wp:posOffset>
            </wp:positionV>
            <wp:extent cx="68580" cy="1111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-1348105</wp:posOffset>
            </wp:positionV>
            <wp:extent cx="68580" cy="1111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-842010</wp:posOffset>
            </wp:positionV>
            <wp:extent cx="68580" cy="1200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-842010</wp:posOffset>
            </wp:positionV>
            <wp:extent cx="68580" cy="1200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-327660</wp:posOffset>
            </wp:positionV>
            <wp:extent cx="68580" cy="1200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-327660</wp:posOffset>
            </wp:positionV>
            <wp:extent cx="68580" cy="1200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-1905</wp:posOffset>
            </wp:positionV>
            <wp:extent cx="14058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ind w:left="4900" w:right="4120" w:hanging="780"/>
        <w:spacing w:after="0" w:line="301" w:lineRule="auto"/>
        <w:tabs>
          <w:tab w:leader="none" w:pos="4212"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20" w:type="dxa"/>
            <w:vAlign w:val="bottom"/>
          </w:tcPr>
          <w:p>
            <w:pPr>
              <w:spacing w:after="0"/>
              <w:rPr>
                <w:sz w:val="13"/>
                <w:szCs w:val="13"/>
                <w:color w:val="auto"/>
              </w:rPr>
            </w:pPr>
          </w:p>
        </w:tc>
        <w:tc>
          <w:tcPr>
            <w:tcW w:w="22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20" w:type="dxa"/>
            <w:vAlign w:val="bottom"/>
          </w:tcPr>
          <w:p>
            <w:pPr>
              <w:spacing w:after="0"/>
              <w:rPr>
                <w:sz w:val="13"/>
                <w:szCs w:val="13"/>
                <w:color w:val="auto"/>
              </w:rPr>
            </w:pPr>
          </w:p>
        </w:tc>
        <w:tc>
          <w:tcPr>
            <w:tcW w:w="10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0"/>
              </w:rPr>
              <w:t>Fair Value</w:t>
            </w:r>
            <w:r>
              <w:rPr>
                <w:rFonts w:ascii="Times New Roman" w:cs="Times New Roman" w:eastAsia="Times New Roman" w:hAnsi="Times New Roman"/>
                <w:sz w:val="19"/>
                <w:szCs w:val="19"/>
                <w:b w:val="1"/>
                <w:bCs w:val="1"/>
                <w:color w:val="auto"/>
                <w:w w:val="90"/>
                <w:vertAlign w:val="superscript"/>
              </w:rPr>
              <w:t>(2),(6)</w:t>
            </w:r>
          </w:p>
        </w:tc>
        <w:tc>
          <w:tcPr>
            <w:tcW w:w="220" w:type="dxa"/>
            <w:vAlign w:val="bottom"/>
          </w:tcPr>
          <w:p>
            <w:pPr>
              <w:spacing w:after="0"/>
              <w:rPr>
                <w:sz w:val="13"/>
                <w:szCs w:val="13"/>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280" w:type="dxa"/>
            <w:vAlign w:val="bottom"/>
            <w:tcBorders>
              <w:bottom w:val="single" w:sz="8" w:color="auto"/>
            </w:tcBorders>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8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FF0FC"/>
          </w:tcPr>
          <w:p>
            <w:pPr>
              <w:spacing w:after="0"/>
              <w:rPr>
                <w:sz w:val="11"/>
                <w:szCs w:val="11"/>
                <w:color w:val="auto"/>
              </w:rPr>
            </w:pPr>
          </w:p>
        </w:tc>
        <w:tc>
          <w:tcPr>
            <w:tcW w:w="2260" w:type="dxa"/>
            <w:vAlign w:val="bottom"/>
            <w:gridSpan w:val="2"/>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2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Common Stocks</w:t>
            </w:r>
          </w:p>
        </w:tc>
        <w:tc>
          <w:tcPr>
            <w:tcW w:w="1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2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8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0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9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82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Porch Group, Inc.</w:t>
            </w: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12/21/2021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1,429</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22,278</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(7)(16)(19)</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20" w:type="dxa"/>
            <w:vAlign w:val="bottom"/>
            <w:tcBorders>
              <w:bottom w:val="single" w:sz="8" w:color="CFF0FC"/>
            </w:tcBorders>
            <w:shd w:val="clear" w:color="auto" w:fill="CFF0FC"/>
          </w:tcPr>
          <w:p>
            <w:pPr>
              <w:spacing w:after="0"/>
              <w:rPr>
                <w:sz w:val="13"/>
                <w:szCs w:val="13"/>
                <w:color w:val="auto"/>
              </w:rPr>
            </w:pPr>
          </w:p>
        </w:tc>
        <w:tc>
          <w:tcPr>
            <w:tcW w:w="2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top w:val="single" w:sz="8" w:color="auto"/>
              <w:bottom w:val="single" w:sz="8" w:color="auto"/>
            </w:tcBorders>
            <w:shd w:val="clear" w:color="auto" w:fill="CFF0FC"/>
          </w:tcPr>
          <w:p>
            <w:pPr>
              <w:spacing w:after="0"/>
              <w:rPr>
                <w:sz w:val="13"/>
                <w:szCs w:val="13"/>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22,278</w:t>
            </w:r>
          </w:p>
        </w:tc>
        <w:tc>
          <w:tcPr>
            <w:tcW w:w="2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Internet Retail</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Brilliant Earth Group, Inc.</w:t>
            </w:r>
          </w:p>
        </w:tc>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P Units</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9/22/2021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526,845</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984,036</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8,903,933</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(7)(18)</w:t>
            </w:r>
          </w:p>
        </w:tc>
        <w:tc>
          <w:tcPr>
            <w:tcW w:w="0" w:type="dxa"/>
            <w:vAlign w:val="bottom"/>
          </w:tcPr>
          <w:p>
            <w:pPr>
              <w:spacing w:after="0"/>
              <w:rPr>
                <w:sz w:val="1"/>
                <w:szCs w:val="1"/>
                <w:color w:val="auto"/>
              </w:rPr>
            </w:pPr>
          </w:p>
        </w:tc>
      </w:tr>
      <w:tr>
        <w:trPr>
          <w:trHeight w:val="156"/>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Internet Retail - 1.47%*</w:t>
            </w:r>
          </w:p>
        </w:tc>
        <w:tc>
          <w:tcPr>
            <w:tcW w:w="120" w:type="dxa"/>
            <w:vAlign w:val="bottom"/>
            <w:tcBorders>
              <w:bottom w:val="single" w:sz="8" w:color="CFF0FC"/>
            </w:tcBorders>
            <w:shd w:val="clear" w:color="auto" w:fill="CFF0FC"/>
          </w:tcPr>
          <w:p>
            <w:pPr>
              <w:spacing w:after="0"/>
              <w:rPr>
                <w:sz w:val="13"/>
                <w:szCs w:val="13"/>
                <w:color w:val="auto"/>
              </w:rPr>
            </w:pPr>
          </w:p>
        </w:tc>
        <w:tc>
          <w:tcPr>
            <w:tcW w:w="2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984,036</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8,903,933</w:t>
            </w:r>
          </w:p>
        </w:tc>
        <w:tc>
          <w:tcPr>
            <w:tcW w:w="2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280" w:type="dxa"/>
            <w:vAlign w:val="bottom"/>
            <w:gridSpan w:val="3"/>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Technology Hardware, Storage &amp;</w:t>
            </w:r>
          </w:p>
        </w:tc>
        <w:tc>
          <w:tcPr>
            <w:tcW w:w="120" w:type="dxa"/>
            <w:vAlign w:val="bottom"/>
            <w:shd w:val="clear" w:color="auto" w:fill="CFF0FC"/>
          </w:tcPr>
          <w:p>
            <w:pPr>
              <w:spacing w:after="0"/>
              <w:rPr>
                <w:sz w:val="9"/>
                <w:szCs w:val="9"/>
                <w:color w:val="auto"/>
              </w:rPr>
            </w:pPr>
          </w:p>
        </w:tc>
        <w:tc>
          <w:tcPr>
            <w:tcW w:w="2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Peripherals</w:t>
            </w:r>
          </w:p>
        </w:tc>
        <w:tc>
          <w:tcPr>
            <w:tcW w:w="1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Quantum Corporation</w:t>
            </w: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8/13/2021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459,720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2,606,612</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2,537,654</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(3)(7)(16)(19)</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zSpace, Inc.</w:t>
            </w:r>
          </w:p>
        </w:tc>
        <w:tc>
          <w:tcPr>
            <w:tcW w:w="120" w:type="dxa"/>
            <w:vAlign w:val="bottom"/>
            <w:tcBorders>
              <w:bottom w:val="single" w:sz="8" w:color="CFF0FC"/>
            </w:tcBorders>
            <w:shd w:val="clear" w:color="auto" w:fill="CFF0FC"/>
          </w:tcPr>
          <w:p>
            <w:pPr>
              <w:spacing w:after="0"/>
              <w:rPr>
                <w:sz w:val="14"/>
                <w:szCs w:val="14"/>
                <w:color w:val="auto"/>
              </w:rPr>
            </w:pPr>
          </w:p>
        </w:tc>
        <w:tc>
          <w:tcPr>
            <w:tcW w:w="226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12/31/2020</w:t>
            </w: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6,078,499</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1,119,096</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08"/>
        </w:trPr>
        <w:tc>
          <w:tcPr>
            <w:tcW w:w="228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Technology Hardware, Storage &amp;</w:t>
            </w:r>
          </w:p>
        </w:tc>
        <w:tc>
          <w:tcPr>
            <w:tcW w:w="1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3,725,708</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2,537,654</w:t>
            </w:r>
          </w:p>
        </w:tc>
        <w:tc>
          <w:tcPr>
            <w:tcW w:w="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Peripherals - 0.42%*</w:t>
            </w: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Common Stocks - 1.89%*</w:t>
            </w: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4,709,744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11,463,865</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Advertising</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STN Video Inc.</w:t>
            </w:r>
          </w:p>
        </w:tc>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B Non-Voting Stock</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6/30/2017</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6/30/2027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191,500</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246,461</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155"/>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Advertising - 0.00%*</w:t>
            </w:r>
          </w:p>
        </w:tc>
        <w:tc>
          <w:tcPr>
            <w:tcW w:w="120" w:type="dxa"/>
            <w:vAlign w:val="bottom"/>
            <w:tcBorders>
              <w:bottom w:val="single" w:sz="8" w:color="CFF0FC"/>
            </w:tcBorders>
            <w:shd w:val="clear" w:color="auto" w:fill="CFF0FC"/>
          </w:tcPr>
          <w:p>
            <w:pPr>
              <w:spacing w:after="0"/>
              <w:rPr>
                <w:sz w:val="13"/>
                <w:szCs w:val="13"/>
                <w:color w:val="auto"/>
              </w:rPr>
            </w:pPr>
          </w:p>
        </w:tc>
        <w:tc>
          <w:tcPr>
            <w:tcW w:w="2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246,461</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3DNA Corp. (dba NationBuilder)</w:t>
            </w:r>
          </w:p>
        </w:tc>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C-1 Preferred Stock</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12/28/2018</w:t>
            </w:r>
          </w:p>
        </w:tc>
        <w:tc>
          <w:tcPr>
            <w:tcW w:w="9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12/28/2028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273,164</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104,138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Aginity, Inc.</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9"/>
              </w:rPr>
              <w:t>3/9/2020</w:t>
            </w:r>
          </w:p>
        </w:tc>
        <w:tc>
          <w:tcPr>
            <w:tcW w:w="92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5"/>
              </w:rPr>
              <w:t>3/9/2030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811,770</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1,009,216</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Aria Systems, Inc.</w:t>
            </w:r>
          </w:p>
        </w:tc>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G Preferred Stock</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6/29/2018</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6/29/2028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2,387,705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1,047,581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3,811,702</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Circadence Corporation</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12/20/2018</w:t>
            </w:r>
          </w:p>
        </w:tc>
        <w:tc>
          <w:tcPr>
            <w:tcW w:w="92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12/20/2028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1,538,462</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3,630,000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808,617</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10/31/2019</w:t>
            </w:r>
          </w:p>
        </w:tc>
        <w:tc>
          <w:tcPr>
            <w:tcW w:w="9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10/31/2029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384,615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845,540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202,154</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0"/>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Dtex Systems, Inc.</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C-Prime Preferred Stock</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9"/>
              </w:rPr>
              <w:t>6/1/2018</w:t>
            </w:r>
          </w:p>
        </w:tc>
        <w:tc>
          <w:tcPr>
            <w:tcW w:w="92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5"/>
              </w:rPr>
              <w:t>6/1/2025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59,000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306,799</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C-Prime Preferred Stock</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7/11/2019</w:t>
            </w:r>
          </w:p>
        </w:tc>
        <w:tc>
          <w:tcPr>
            <w:tcW w:w="9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7/11/2026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833,333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114,719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511,332</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0"/>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FiscalNote, Inc.</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10/19/2020</w:t>
            </w:r>
          </w:p>
        </w:tc>
        <w:tc>
          <w:tcPr>
            <w:tcW w:w="920" w:type="dxa"/>
            <w:vAlign w:val="bottom"/>
            <w:gridSpan w:val="2"/>
            <w:shd w:val="clear" w:color="auto" w:fill="CFF0FC"/>
          </w:tcPr>
          <w:p>
            <w:pPr>
              <w:jc w:val="center"/>
              <w:ind w:left="77"/>
              <w:spacing w:after="0"/>
              <w:rPr>
                <w:sz w:val="20"/>
                <w:szCs w:val="20"/>
                <w:color w:val="auto"/>
              </w:rPr>
            </w:pPr>
            <w:r>
              <w:rPr>
                <w:rFonts w:ascii="Times New Roman" w:cs="Times New Roman" w:eastAsia="Times New Roman" w:hAnsi="Times New Roman"/>
                <w:sz w:val="13"/>
                <w:szCs w:val="13"/>
                <w:color w:val="auto"/>
                <w:w w:val="97"/>
              </w:rPr>
              <w:t>10/19/2030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194,673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438,014</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2,232,569</w:t>
            </w:r>
          </w:p>
        </w:tc>
        <w:tc>
          <w:tcPr>
            <w:tcW w:w="10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Porch Group, Inc.</w:t>
            </w:r>
          </w:p>
        </w:tc>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Earnout</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12/23/2020</w:t>
            </w:r>
          </w:p>
        </w:tc>
        <w:tc>
          <w:tcPr>
            <w:tcW w:w="92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7"/>
              </w:rPr>
              <w:t>12/23/2023</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(7)(13)(15)</w:t>
            </w:r>
          </w:p>
        </w:tc>
        <w:tc>
          <w:tcPr>
            <w:tcW w:w="0" w:type="dxa"/>
            <w:vAlign w:val="bottom"/>
          </w:tcPr>
          <w:p>
            <w:pPr>
              <w:spacing w:after="0"/>
              <w:rPr>
                <w:sz w:val="1"/>
                <w:szCs w:val="1"/>
                <w:color w:val="auto"/>
              </w:rPr>
            </w:pPr>
          </w:p>
        </w:tc>
      </w:tr>
      <w:tr>
        <w:trPr>
          <w:trHeight w:val="155"/>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- 1.47%*</w:t>
            </w:r>
          </w:p>
        </w:tc>
        <w:tc>
          <w:tcPr>
            <w:tcW w:w="120" w:type="dxa"/>
            <w:vAlign w:val="bottom"/>
            <w:tcBorders>
              <w:bottom w:val="single" w:sz="8" w:color="CFF0FC"/>
            </w:tcBorders>
            <w:shd w:val="clear" w:color="auto" w:fill="CFF0FC"/>
          </w:tcPr>
          <w:p>
            <w:pPr>
              <w:spacing w:after="0"/>
              <w:rPr>
                <w:sz w:val="13"/>
                <w:szCs w:val="13"/>
                <w:color w:val="auto"/>
              </w:rPr>
            </w:pPr>
          </w:p>
        </w:tc>
        <w:tc>
          <w:tcPr>
            <w:tcW w:w="22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04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6,238,992</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8,882,389</w:t>
            </w:r>
          </w:p>
        </w:tc>
        <w:tc>
          <w:tcPr>
            <w:tcW w:w="220" w:type="dxa"/>
            <w:vAlign w:val="bottom"/>
            <w:tcBorders>
              <w:bottom w:val="single" w:sz="8" w:color="CFF0FC"/>
            </w:tcBorders>
            <w:shd w:val="clear" w:color="auto" w:fill="CFF0FC"/>
          </w:tcPr>
          <w:p>
            <w:pPr>
              <w:spacing w:after="0"/>
              <w:rPr>
                <w:sz w:val="13"/>
                <w:szCs w:val="13"/>
                <w:color w:val="auto"/>
              </w:rPr>
            </w:pPr>
          </w:p>
        </w:tc>
        <w:tc>
          <w:tcPr>
            <w:tcW w:w="8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Computer &amp; Electronics Retail</w:t>
            </w:r>
          </w:p>
        </w:tc>
        <w:tc>
          <w:tcPr>
            <w:tcW w:w="12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Massdrop, Inc.</w:t>
            </w:r>
          </w:p>
        </w:tc>
        <w:tc>
          <w:tcPr>
            <w:tcW w:w="12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gridSpan w:val="2"/>
          </w:tcPr>
          <w:p>
            <w:pPr>
              <w:jc w:val="center"/>
              <w:ind w:left="77"/>
              <w:spacing w:after="0"/>
              <w:rPr>
                <w:sz w:val="20"/>
                <w:szCs w:val="20"/>
                <w:color w:val="auto"/>
              </w:rPr>
            </w:pPr>
            <w:r>
              <w:rPr>
                <w:rFonts w:ascii="Times New Roman" w:cs="Times New Roman" w:eastAsia="Times New Roman" w:hAnsi="Times New Roman"/>
                <w:sz w:val="13"/>
                <w:szCs w:val="13"/>
                <w:color w:val="auto"/>
                <w:w w:val="94"/>
              </w:rPr>
              <w:t>7/22/2019</w:t>
            </w:r>
          </w:p>
        </w:tc>
        <w:tc>
          <w:tcPr>
            <w:tcW w:w="9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8"/>
              </w:rPr>
              <w:t>7/22/2029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848,093</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183,188</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185,467</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08"/>
        </w:trPr>
        <w:tc>
          <w:tcPr>
            <w:tcW w:w="2280" w:type="dxa"/>
            <w:vAlign w:val="bottom"/>
            <w:gridSpan w:val="3"/>
            <w:shd w:val="clear" w:color="auto" w:fill="CFF0FC"/>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Computer &amp; Electronics Retail -</w:t>
            </w:r>
          </w:p>
        </w:tc>
        <w:tc>
          <w:tcPr>
            <w:tcW w:w="120" w:type="dxa"/>
            <w:vAlign w:val="bottom"/>
            <w:shd w:val="clear" w:color="auto" w:fill="CFF0FC"/>
          </w:tcPr>
          <w:p>
            <w:pPr>
              <w:spacing w:after="0"/>
              <w:rPr>
                <w:sz w:val="9"/>
                <w:szCs w:val="9"/>
                <w:color w:val="auto"/>
              </w:rPr>
            </w:pPr>
          </w:p>
        </w:tc>
        <w:tc>
          <w:tcPr>
            <w:tcW w:w="2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183,188</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185,467</w:t>
            </w:r>
          </w:p>
        </w:tc>
        <w:tc>
          <w:tcPr>
            <w:tcW w:w="22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0.03%*</w:t>
            </w:r>
          </w:p>
        </w:tc>
        <w:tc>
          <w:tcPr>
            <w:tcW w:w="1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-3805555</wp:posOffset>
            </wp:positionV>
            <wp:extent cx="68580" cy="1111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-3805555</wp:posOffset>
            </wp:positionV>
            <wp:extent cx="68580" cy="1111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-3376930</wp:posOffset>
            </wp:positionV>
            <wp:extent cx="68580" cy="1111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-3376930</wp:posOffset>
            </wp:positionV>
            <wp:extent cx="68580" cy="1111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-2871470</wp:posOffset>
            </wp:positionV>
            <wp:extent cx="68580" cy="1974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-2871470</wp:posOffset>
            </wp:positionV>
            <wp:extent cx="68580" cy="1974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-1936750</wp:posOffset>
            </wp:positionV>
            <wp:extent cx="68580" cy="1117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-1936750</wp:posOffset>
            </wp:positionV>
            <wp:extent cx="68580" cy="1117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-513715</wp:posOffset>
            </wp:positionV>
            <wp:extent cx="68580" cy="1111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-513715</wp:posOffset>
            </wp:positionV>
            <wp:extent cx="68580" cy="1111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117" w:lineRule="exact"/>
        <w:rPr>
          <w:sz w:val="20"/>
          <w:szCs w:val="20"/>
          <w:color w:val="auto"/>
        </w:rPr>
      </w:pPr>
    </w:p>
    <w:p>
      <w:pPr>
        <w:ind w:left="4900" w:right="4120" w:hanging="780"/>
        <w:spacing w:after="0" w:line="301" w:lineRule="auto"/>
        <w:tabs>
          <w:tab w:leader="none" w:pos="4212"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40" w:type="dxa"/>
            <w:vAlign w:val="bottom"/>
          </w:tcPr>
          <w:p>
            <w:pPr>
              <w:spacing w:after="0"/>
              <w:rPr>
                <w:sz w:val="13"/>
                <w:szCs w:val="13"/>
                <w:color w:val="auto"/>
              </w:rPr>
            </w:pPr>
          </w:p>
        </w:tc>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0"/>
              </w:rPr>
              <w:t>Fair Value</w:t>
            </w:r>
            <w:r>
              <w:rPr>
                <w:rFonts w:ascii="Times New Roman" w:cs="Times New Roman" w:eastAsia="Times New Roman" w:hAnsi="Times New Roman"/>
                <w:sz w:val="19"/>
                <w:szCs w:val="19"/>
                <w:b w:val="1"/>
                <w:bCs w:val="1"/>
                <w:color w:val="auto"/>
                <w:w w:val="90"/>
                <w:vertAlign w:val="superscript"/>
              </w:rPr>
              <w:t>(2),(6)</w:t>
            </w:r>
          </w:p>
        </w:tc>
        <w:tc>
          <w:tcPr>
            <w:tcW w:w="220" w:type="dxa"/>
            <w:vAlign w:val="bottom"/>
          </w:tcPr>
          <w:p>
            <w:pPr>
              <w:spacing w:after="0"/>
              <w:rPr>
                <w:sz w:val="13"/>
                <w:szCs w:val="13"/>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28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28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ShareThis, Inc.</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12/3/2018</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12/3/2028</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647,615</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2,162,000</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2,162,000</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08"/>
        </w:trPr>
        <w:tc>
          <w:tcPr>
            <w:tcW w:w="2280" w:type="dxa"/>
            <w:vAlign w:val="bottom"/>
            <w:tcBorders>
              <w:top w:val="single" w:sz="8" w:color="CFF0FC"/>
            </w:tcBorders>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Data Processing &amp; Outsourced</w:t>
            </w:r>
          </w:p>
        </w:tc>
        <w:tc>
          <w:tcPr>
            <w:tcW w:w="140" w:type="dxa"/>
            <w:vAlign w:val="bottom"/>
            <w:tcBorders>
              <w:top w:val="single" w:sz="8" w:color="CFF0FC"/>
            </w:tcBorders>
          </w:tcPr>
          <w:p>
            <w:pPr>
              <w:spacing w:after="0"/>
              <w:rPr>
                <w:sz w:val="9"/>
                <w:szCs w:val="9"/>
                <w:color w:val="auto"/>
              </w:rPr>
            </w:pPr>
          </w:p>
        </w:tc>
        <w:tc>
          <w:tcPr>
            <w:tcW w:w="228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9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780" w:type="dxa"/>
            <w:vAlign w:val="bottom"/>
            <w:tcBorders>
              <w:top w:val="single" w:sz="8" w:color="CFF0FC"/>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40" w:type="dxa"/>
            <w:vAlign w:val="bottom"/>
            <w:tcBorders>
              <w:top w:val="single" w:sz="8" w:color="CFF0FC"/>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2,162,000</w:t>
            </w:r>
          </w:p>
        </w:tc>
        <w:tc>
          <w:tcPr>
            <w:tcW w:w="20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2,162,000</w:t>
            </w:r>
          </w:p>
        </w:tc>
        <w:tc>
          <w:tcPr>
            <w:tcW w:w="220" w:type="dxa"/>
            <w:vAlign w:val="bottom"/>
            <w:tcBorders>
              <w:top w:val="single" w:sz="8" w:color="CFF0FC"/>
            </w:tcBorders>
          </w:tcPr>
          <w:p>
            <w:pPr>
              <w:spacing w:after="0"/>
              <w:rPr>
                <w:sz w:val="9"/>
                <w:szCs w:val="9"/>
                <w:color w:val="auto"/>
              </w:rPr>
            </w:pPr>
          </w:p>
        </w:tc>
        <w:tc>
          <w:tcPr>
            <w:tcW w:w="78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- 0.36%*</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280" w:type="dxa"/>
            <w:vAlign w:val="bottom"/>
            <w:gridSpan w:val="3"/>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Intellisite Holdings, Inc. (dba Epic IO</w:t>
            </w: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235,314</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234,314</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Technologies, Inc.)</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12/17/2021</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12/17/2024</w:t>
            </w:r>
          </w:p>
        </w:tc>
        <w:tc>
          <w:tcPr>
            <w:tcW w:w="1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(7)(14)</w:t>
            </w:r>
          </w:p>
        </w:tc>
        <w:tc>
          <w:tcPr>
            <w:tcW w:w="0" w:type="dxa"/>
            <w:vAlign w:val="bottom"/>
          </w:tcPr>
          <w:p>
            <w:pPr>
              <w:spacing w:after="0"/>
              <w:rPr>
                <w:sz w:val="1"/>
                <w:szCs w:val="1"/>
                <w:color w:val="auto"/>
              </w:rPr>
            </w:pPr>
          </w:p>
        </w:tc>
      </w:tr>
      <w:tr>
        <w:trPr>
          <w:trHeight w:val="110"/>
        </w:trPr>
        <w:tc>
          <w:tcPr>
            <w:tcW w:w="2280" w:type="dxa"/>
            <w:vAlign w:val="bottom"/>
            <w:gridSpan w:val="3"/>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Total Electronic Equipment &amp;</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235,314</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234,314</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Instruments - 0.04%*</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Education Services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Aspen Group Inc.</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7/25/2017</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7/25/2022</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224,174</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583,301</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Education Services - 0.00%*</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583,301</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Health Care Technology</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3/30/2021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3/30/2031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132,978</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282,462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638,313</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CareCloud,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9"/>
              </w:rPr>
              <w:t>1/8/2020</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9"/>
              </w:rPr>
              <w:t>1/8/2022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435,000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9"/>
              </w:rPr>
              <w:t>1/8/2020</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9"/>
              </w:rPr>
              <w:t>1/8/2023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1,000,000</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837,000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295,000</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CrossRoads Extremity Systems, LLC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6/29/2021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6/29/2031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69,261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94,888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209,843</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Gynesonics, Inc.</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G Convertible Preferred Stock</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11/19/2021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11/19/2031</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16,786,869</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128,142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128,142</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Series AA Preferred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8/15/2018</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8/15/2028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1,625,000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492,375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Route 92 Medical, Inc.</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8/17/2021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8/17/2031</w:t>
            </w: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248,118</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261,443</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(7)(14)</w:t>
            </w:r>
          </w:p>
        </w:tc>
        <w:tc>
          <w:tcPr>
            <w:tcW w:w="0" w:type="dxa"/>
            <w:vAlign w:val="bottom"/>
          </w:tcPr>
          <w:p>
            <w:pPr>
              <w:spacing w:after="0"/>
              <w:rPr>
                <w:sz w:val="1"/>
                <w:szCs w:val="1"/>
                <w:color w:val="auto"/>
              </w:rPr>
            </w:pPr>
          </w:p>
        </w:tc>
      </w:tr>
      <w:tr>
        <w:trPr>
          <w:trHeight w:val="162"/>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6/29/2021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6/29/2031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14,060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20,051</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VERO Biotech LLC</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12/29/2020</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12/29/2025</w:t>
            </w:r>
          </w:p>
        </w:tc>
        <w:tc>
          <w:tcPr>
            <w:tcW w:w="1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376,500</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485,311</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(7)(14)</w:t>
            </w:r>
          </w:p>
        </w:tc>
        <w:tc>
          <w:tcPr>
            <w:tcW w:w="0" w:type="dxa"/>
            <w:vAlign w:val="bottom"/>
          </w:tcPr>
          <w:p>
            <w:pPr>
              <w:spacing w:after="0"/>
              <w:rPr>
                <w:sz w:val="1"/>
                <w:szCs w:val="1"/>
                <w:color w:val="auto"/>
              </w:rPr>
            </w:pPr>
          </w:p>
        </w:tc>
      </w:tr>
      <w:tr>
        <w:trPr>
          <w:trHeight w:val="15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Health Care Technology - 0.34%*</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2,908,545</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2,038,103</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2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280" w:type="dxa"/>
            <w:vAlign w:val="bottom"/>
            <w:gridSpan w:val="3"/>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Human Resource &amp; Employment</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CloudPay, Inc.</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6/30/2020</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6/30/2030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11,273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217,500</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807,139</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(3)(7)(13)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8/17/2021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8/17/2031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16,686</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(3)(7)(13)</w:t>
            </w:r>
          </w:p>
        </w:tc>
        <w:tc>
          <w:tcPr>
            <w:tcW w:w="0" w:type="dxa"/>
            <w:vAlign w:val="bottom"/>
          </w:tcPr>
          <w:p>
            <w:pPr>
              <w:spacing w:after="0"/>
              <w:rPr>
                <w:sz w:val="1"/>
                <w:szCs w:val="1"/>
                <w:color w:val="auto"/>
              </w:rPr>
            </w:pPr>
          </w:p>
        </w:tc>
      </w:tr>
      <w:tr>
        <w:trPr>
          <w:trHeight w:val="162"/>
        </w:trPr>
        <w:tc>
          <w:tcPr>
            <w:tcW w:w="2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Snagajob.com, Inc.</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B-1 Preferred Stock</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9/29/2021</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9/29/2031</w:t>
            </w:r>
          </w:p>
        </w:tc>
        <w:tc>
          <w:tcPr>
            <w:tcW w:w="11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763,269</w:t>
            </w: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342,716</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334,353</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08"/>
        </w:trPr>
        <w:tc>
          <w:tcPr>
            <w:tcW w:w="2280" w:type="dxa"/>
            <w:vAlign w:val="bottom"/>
            <w:gridSpan w:val="3"/>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Total Human Resource &amp; Employment</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591,251</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1,158,178</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2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- 0.19%*</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-3246755</wp:posOffset>
            </wp:positionV>
            <wp:extent cx="68580" cy="1968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-3246755</wp:posOffset>
            </wp:positionV>
            <wp:extent cx="68580" cy="1968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-2663825</wp:posOffset>
            </wp:positionV>
            <wp:extent cx="68580" cy="1974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-2663825</wp:posOffset>
            </wp:positionV>
            <wp:extent cx="68580" cy="1974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-2157730</wp:posOffset>
            </wp:positionV>
            <wp:extent cx="68580" cy="1200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-2157730</wp:posOffset>
            </wp:positionV>
            <wp:extent cx="68580" cy="1200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-906145</wp:posOffset>
            </wp:positionV>
            <wp:extent cx="68580" cy="1200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-906145</wp:posOffset>
            </wp:positionV>
            <wp:extent cx="68580" cy="1200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-186690</wp:posOffset>
            </wp:positionV>
            <wp:extent cx="68580" cy="1968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19685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-186690</wp:posOffset>
            </wp:positionV>
            <wp:extent cx="68580" cy="1968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19685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-128905</wp:posOffset>
            </wp:positionV>
            <wp:extent cx="1405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ind w:left="4900" w:right="4120" w:hanging="780"/>
        <w:spacing w:after="0" w:line="301" w:lineRule="auto"/>
        <w:tabs>
          <w:tab w:leader="none" w:pos="4212"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40" w:type="dxa"/>
            <w:vAlign w:val="bottom"/>
          </w:tcPr>
          <w:p>
            <w:pPr>
              <w:spacing w:after="0"/>
              <w:rPr>
                <w:sz w:val="13"/>
                <w:szCs w:val="13"/>
                <w:color w:val="auto"/>
              </w:rPr>
            </w:pPr>
          </w:p>
        </w:tc>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w w:val="90"/>
              </w:rPr>
              <w:t>Fair Value</w:t>
            </w:r>
            <w:r>
              <w:rPr>
                <w:rFonts w:ascii="Times New Roman" w:cs="Times New Roman" w:eastAsia="Times New Roman" w:hAnsi="Times New Roman"/>
                <w:sz w:val="19"/>
                <w:szCs w:val="19"/>
                <w:b w:val="1"/>
                <w:bCs w:val="1"/>
                <w:color w:val="auto"/>
                <w:w w:val="90"/>
                <w:vertAlign w:val="superscript"/>
              </w:rPr>
              <w:t>(2),(6)</w:t>
            </w:r>
          </w:p>
        </w:tc>
        <w:tc>
          <w:tcPr>
            <w:tcW w:w="220" w:type="dxa"/>
            <w:vAlign w:val="bottom"/>
          </w:tcPr>
          <w:p>
            <w:pPr>
              <w:spacing w:after="0"/>
              <w:rPr>
                <w:sz w:val="13"/>
                <w:szCs w:val="13"/>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shd w:val="clear" w:color="auto" w:fill="CFF0FC"/>
          </w:tcPr>
          <w:p>
            <w:pPr>
              <w:spacing w:after="0"/>
              <w:rPr>
                <w:sz w:val="11"/>
                <w:szCs w:val="11"/>
                <w:color w:val="auto"/>
              </w:rPr>
            </w:pPr>
          </w:p>
        </w:tc>
        <w:tc>
          <w:tcPr>
            <w:tcW w:w="2260" w:type="dxa"/>
            <w:vAlign w:val="bottom"/>
            <w:gridSpan w:val="5"/>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40" w:type="dxa"/>
            <w:vAlign w:val="bottom"/>
            <w:shd w:val="clear" w:color="auto" w:fill="CFF0FC"/>
          </w:tcPr>
          <w:p>
            <w:pPr>
              <w:spacing w:after="0"/>
              <w:rPr>
                <w:sz w:val="11"/>
                <w:szCs w:val="11"/>
                <w:color w:val="auto"/>
              </w:rPr>
            </w:pPr>
          </w:p>
        </w:tc>
        <w:tc>
          <w:tcPr>
            <w:tcW w:w="22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Borders>
              <w:top w:val="single" w:sz="8" w:color="CFF0FC"/>
            </w:tcBorders>
          </w:tcPr>
          <w:p>
            <w:pPr>
              <w:spacing w:after="0"/>
              <w:rPr>
                <w:sz w:val="14"/>
                <w:szCs w:val="14"/>
                <w:color w:val="auto"/>
              </w:rPr>
            </w:pPr>
          </w:p>
        </w:tc>
        <w:tc>
          <w:tcPr>
            <w:tcW w:w="2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6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78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9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76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980" w:type="dxa"/>
            <w:vAlign w:val="bottom"/>
            <w:tcBorders>
              <w:top w:val="single" w:sz="8" w:color="CFF0FC"/>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7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2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Bombora,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3/31/2021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3/31/2031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121,581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292,372</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97"/>
        </w:trPr>
        <w:tc>
          <w:tcPr>
            <w:tcW w:w="20" w:type="dxa"/>
            <w:vAlign w:val="bottom"/>
            <w:shd w:val="clear" w:color="auto" w:fill="CFF0FC"/>
          </w:tcPr>
          <w:p>
            <w:pPr>
              <w:spacing w:after="0"/>
              <w:rPr>
                <w:sz w:val="24"/>
                <w:szCs w:val="24"/>
                <w:color w:val="auto"/>
              </w:rPr>
            </w:pPr>
          </w:p>
        </w:tc>
        <w:tc>
          <w:tcPr>
            <w:tcW w:w="22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rPr>
              <w:t>Fidelis Cybersecurity, Inc.</w:t>
            </w:r>
          </w:p>
        </w:tc>
        <w:tc>
          <w:tcPr>
            <w:tcW w:w="140" w:type="dxa"/>
            <w:vAlign w:val="bottom"/>
            <w:shd w:val="clear" w:color="auto" w:fill="CFF0FC"/>
          </w:tcPr>
          <w:p>
            <w:pPr>
              <w:spacing w:after="0"/>
              <w:rPr>
                <w:sz w:val="24"/>
                <w:szCs w:val="2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5/13/2021</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5/13/2031</w:t>
            </w: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INRIX,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7/26/2019</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7/26/2029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150,804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522,083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1,721,243</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26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w w:val="97"/>
              </w:rPr>
              <w:t>Longtail Ad Solutions, Inc. (dba JW Player)</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12/12/2019</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12/12/2029</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387,596</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46,552</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359,302</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gridSpan w:val="5"/>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Internet Software and Services -</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743,135</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2,372,917</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0.39%*</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Specialized Consumer Services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2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rPr>
              <w:t>AllClear ID, Inc.</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9"/>
              </w:rPr>
              <w:t>9/1/2017</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9"/>
              </w:rPr>
              <w:t>9/1/2027</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870,514</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1,749,733</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898,370</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Credit Sesame,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9"/>
              </w:rPr>
              <w:t>1/7/2020</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9"/>
              </w:rPr>
              <w:t>1/7/2030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191,601</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424,800</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1,578,981</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08"/>
        </w:trPr>
        <w:tc>
          <w:tcPr>
            <w:tcW w:w="20" w:type="dxa"/>
            <w:vAlign w:val="bottom"/>
            <w:shd w:val="clear" w:color="auto" w:fill="CFF0FC"/>
          </w:tcPr>
          <w:p>
            <w:pPr>
              <w:spacing w:after="0"/>
              <w:rPr>
                <w:sz w:val="9"/>
                <w:szCs w:val="9"/>
                <w:color w:val="auto"/>
              </w:rPr>
            </w:pPr>
          </w:p>
        </w:tc>
        <w:tc>
          <w:tcPr>
            <w:tcW w:w="2260" w:type="dxa"/>
            <w:vAlign w:val="bottom"/>
            <w:gridSpan w:val="5"/>
            <w:shd w:val="clear" w:color="auto" w:fill="CFF0FC"/>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Specialized Consumer Services -</w:t>
            </w:r>
          </w:p>
        </w:tc>
        <w:tc>
          <w:tcPr>
            <w:tcW w:w="140" w:type="dxa"/>
            <w:vAlign w:val="bottom"/>
            <w:shd w:val="clear" w:color="auto" w:fill="CFF0FC"/>
          </w:tcPr>
          <w:p>
            <w:pPr>
              <w:spacing w:after="0"/>
              <w:rPr>
                <w:sz w:val="9"/>
                <w:szCs w:val="9"/>
                <w:color w:val="auto"/>
              </w:rPr>
            </w:pPr>
          </w:p>
        </w:tc>
        <w:tc>
          <w:tcPr>
            <w:tcW w:w="2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2,174,533</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2,477,351</w:t>
            </w: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0.41%*</w:t>
            </w:r>
          </w:p>
        </w:tc>
        <w:tc>
          <w:tcPr>
            <w:tcW w:w="1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2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Dejero Labs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5/31/2019</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5/31/2029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333,621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192,499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574,831</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(3)(7)(11)</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2260" w:type="dxa"/>
            <w:vAlign w:val="bottom"/>
            <w:tcBorders>
              <w:bottom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rPr>
              <w:t>Scale Computing, Inc.</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3/29/2019</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3/29/2029</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9,665,667</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345,816</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Total System Software - 0.09%*</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538,315</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574,831</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260" w:type="dxa"/>
            <w:vAlign w:val="bottom"/>
            <w:gridSpan w:val="5"/>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Technology Hardware, Storage &amp;</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Peripherals</w:t>
            </w:r>
          </w:p>
        </w:tc>
        <w:tc>
          <w:tcPr>
            <w:tcW w:w="1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FF0FC"/>
          </w:tcPr>
          <w:p>
            <w:pPr>
              <w:spacing w:after="0"/>
              <w:rPr>
                <w:sz w:val="14"/>
                <w:szCs w:val="14"/>
                <w:color w:val="auto"/>
              </w:rPr>
            </w:pPr>
          </w:p>
        </w:tc>
        <w:tc>
          <w:tcPr>
            <w:tcW w:w="22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color w:val="auto"/>
              </w:rPr>
              <w:t>RealWear, Inc.</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10/5/2018</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10/5/2028</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112,451</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135,841</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12/28/2018</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12/28/2028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22,491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25,248</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6/27/2019</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6/27/2029</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123,894</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380,850</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gridSpan w:val="5"/>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Total Technology Hardware, Storage &amp;</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541,939</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Peripherals - 0.00%*</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Total Warrants - 3.31%*</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17,146,974</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20,087,550</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FF0FC"/>
          </w:tcPr>
          <w:p>
            <w:pPr>
              <w:spacing w:after="0"/>
              <w:rPr>
                <w:sz w:val="10"/>
                <w:szCs w:val="10"/>
                <w:color w:val="auto"/>
              </w:rPr>
            </w:pPr>
          </w:p>
        </w:tc>
        <w:tc>
          <w:tcPr>
            <w:tcW w:w="2260" w:type="dxa"/>
            <w:vAlign w:val="bottom"/>
            <w:gridSpan w:val="5"/>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Total Non-Control/Non-Affiliate</w:t>
            </w: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647,448,895</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655,384,403</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FF0FC"/>
            </w:tcBorders>
            <w:shd w:val="clear" w:color="auto" w:fill="CFF0FC"/>
          </w:tcPr>
          <w:p>
            <w:pPr>
              <w:spacing w:after="0"/>
              <w:rPr>
                <w:sz w:val="13"/>
                <w:szCs w:val="13"/>
                <w:color w:val="auto"/>
              </w:rPr>
            </w:pPr>
          </w:p>
        </w:tc>
        <w:tc>
          <w:tcPr>
            <w:tcW w:w="1760" w:type="dxa"/>
            <w:vAlign w:val="bottom"/>
            <w:tcBorders>
              <w:top w:val="single" w:sz="8" w:color="auto"/>
            </w:tcBorders>
            <w:gridSpan w:val="3"/>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Investments - 108.11%*</w:t>
            </w:r>
          </w:p>
        </w:tc>
        <w:tc>
          <w:tcPr>
            <w:tcW w:w="500" w:type="dxa"/>
            <w:vAlign w:val="bottom"/>
            <w:tcBorders>
              <w:top w:val="single" w:sz="8" w:color="CFF0FC"/>
            </w:tcBorders>
            <w:gridSpan w:val="2"/>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22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9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9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760" w:type="dxa"/>
            <w:vAlign w:val="bottom"/>
            <w:tcBorders>
              <w:top w:val="single" w:sz="8" w:color="CFF0FC"/>
            </w:tcBorders>
            <w:vMerge w:val="continue"/>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980" w:type="dxa"/>
            <w:vAlign w:val="bottom"/>
            <w:tcBorders>
              <w:top w:val="single" w:sz="8" w:color="CFF0FC"/>
            </w:tcBorders>
            <w:vMerge w:val="continue"/>
            <w:shd w:val="clear" w:color="auto" w:fill="CFF0FC"/>
          </w:tcPr>
          <w:p>
            <w:pPr>
              <w:spacing w:after="0"/>
              <w:rPr>
                <w:sz w:val="13"/>
                <w:szCs w:val="13"/>
                <w:color w:val="auto"/>
              </w:rPr>
            </w:pP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CFF0F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7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0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0" w:type="dxa"/>
            <w:vAlign w:val="bottom"/>
            <w:tcBorders>
              <w:top w:val="single" w:sz="8" w:color="CFF0F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FF0FC"/>
          </w:tcPr>
          <w:p>
            <w:pPr>
              <w:spacing w:after="0"/>
              <w:rPr>
                <w:sz w:val="10"/>
                <w:szCs w:val="10"/>
                <w:color w:val="auto"/>
              </w:rPr>
            </w:pPr>
          </w:p>
        </w:tc>
        <w:tc>
          <w:tcPr>
            <w:tcW w:w="2260" w:type="dxa"/>
            <w:vAlign w:val="bottom"/>
            <w:gridSpan w:val="5"/>
            <w:shd w:val="clear" w:color="auto" w:fill="CFF0FC"/>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Control Investments</w:t>
            </w: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ind w:left="240"/>
              <w:spacing w:after="0" w:line="122" w:lineRule="exact"/>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226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color w:val="auto"/>
              </w:rPr>
              <w:t>Mojix,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5/16/2017</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1/15/2022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6,519,240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6,502,036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7,567,610</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25"/>
        </w:trPr>
        <w:tc>
          <w:tcPr>
            <w:tcW w:w="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9"/>
              </w:rPr>
              <w:t>8/3/2017</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1/15/2022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2,173,080</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2,170,069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2,522,537</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9"/>
              </w:rPr>
              <w:t>7/6/2018</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1/15/2022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542,721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543,783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629,997</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25"/>
        </w:trPr>
        <w:tc>
          <w:tcPr>
            <w:tcW w:w="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ETP</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9"/>
              </w:rPr>
              <w:t>9/5/2018</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1/15/2022</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541,964</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542,215</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629,118</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1/28/2019</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1/15/2022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1,079,293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1,073,081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1,252,833</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25"/>
        </w:trPr>
        <w:tc>
          <w:tcPr>
            <w:tcW w:w="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3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3"/>
                <w:szCs w:val="13"/>
                <w:color w:val="auto"/>
              </w:rPr>
              <w:t>LIBOR+12.00% , 12.00% cash cap, 5%</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824,143</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1,008,093</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4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ETP</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12/18/2019</w:t>
            </w:r>
          </w:p>
        </w:tc>
        <w:tc>
          <w:tcPr>
            <w:tcW w:w="900" w:type="dxa"/>
            <w:vAlign w:val="bottom"/>
            <w:tcBorders>
              <w:bottom w:val="single" w:sz="8" w:color="CFF0FC"/>
            </w:tcBorders>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4"/>
              </w:rPr>
              <w:t>1/31/2022</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824,143</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(4)(7)(8)</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Total Application Software - 2.25%*</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11,655,327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13,610,188</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-4185285</wp:posOffset>
            </wp:positionV>
            <wp:extent cx="68580" cy="1974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-4185285</wp:posOffset>
            </wp:positionV>
            <wp:extent cx="68580" cy="1974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-3388360</wp:posOffset>
            </wp:positionV>
            <wp:extent cx="68580" cy="1117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-3388360</wp:posOffset>
            </wp:positionV>
            <wp:extent cx="68580" cy="1117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-2967990</wp:posOffset>
            </wp:positionV>
            <wp:extent cx="68580" cy="1200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-2967990</wp:posOffset>
            </wp:positionV>
            <wp:extent cx="68580" cy="1200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-2247900</wp:posOffset>
            </wp:positionV>
            <wp:extent cx="68580" cy="1974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-2247900</wp:posOffset>
            </wp:positionV>
            <wp:extent cx="68580" cy="19748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-1656715</wp:posOffset>
            </wp:positionV>
            <wp:extent cx="68580" cy="1111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-1656715</wp:posOffset>
            </wp:positionV>
            <wp:extent cx="68580" cy="1111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-113665</wp:posOffset>
            </wp:positionV>
            <wp:extent cx="1474470" cy="1200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474470" cy="12001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ind w:left="4900" w:right="4120" w:hanging="780"/>
        <w:spacing w:after="0" w:line="301" w:lineRule="auto"/>
        <w:tabs>
          <w:tab w:leader="none" w:pos="4212"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Companies</w:t>
            </w:r>
          </w:p>
        </w:tc>
        <w:tc>
          <w:tcPr>
            <w:tcW w:w="140" w:type="dxa"/>
            <w:vAlign w:val="bottom"/>
          </w:tcPr>
          <w:p>
            <w:pPr>
              <w:spacing w:after="0"/>
              <w:rPr>
                <w:sz w:val="13"/>
                <w:szCs w:val="13"/>
                <w:color w:val="auto"/>
              </w:rPr>
            </w:pPr>
          </w:p>
        </w:tc>
        <w:tc>
          <w:tcPr>
            <w:tcW w:w="228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Investment Description</w:t>
            </w:r>
            <w:r>
              <w:rPr>
                <w:rFonts w:ascii="Times New Roman" w:cs="Times New Roman" w:eastAsia="Times New Roman" w:hAnsi="Times New Roman"/>
                <w:sz w:val="19"/>
                <w:szCs w:val="19"/>
                <w:b w:val="1"/>
                <w:bCs w:val="1"/>
                <w:color w:val="auto"/>
                <w:vertAlign w:val="superscript"/>
              </w:rPr>
              <w:t>(1),(5),(9)</w:t>
            </w:r>
          </w:p>
        </w:tc>
        <w:tc>
          <w:tcPr>
            <w:tcW w:w="120" w:type="dxa"/>
            <w:vAlign w:val="bottom"/>
          </w:tcPr>
          <w:p>
            <w:pPr>
              <w:spacing w:after="0"/>
              <w:rPr>
                <w:sz w:val="13"/>
                <w:szCs w:val="13"/>
                <w:color w:val="auto"/>
              </w:rPr>
            </w:pPr>
          </w:p>
        </w:tc>
        <w:tc>
          <w:tcPr>
            <w:tcW w:w="9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20" w:type="dxa"/>
            <w:vAlign w:val="bottom"/>
          </w:tcPr>
          <w:p>
            <w:pPr>
              <w:spacing w:after="0"/>
              <w:rPr>
                <w:sz w:val="13"/>
                <w:szCs w:val="1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0"/>
              </w:rPr>
              <w:t>Fair Value</w:t>
            </w:r>
            <w:r>
              <w:rPr>
                <w:rFonts w:ascii="Times New Roman" w:cs="Times New Roman" w:eastAsia="Times New Roman" w:hAnsi="Times New Roman"/>
                <w:sz w:val="19"/>
                <w:szCs w:val="19"/>
                <w:b w:val="1"/>
                <w:bCs w:val="1"/>
                <w:color w:val="auto"/>
                <w:w w:val="90"/>
                <w:vertAlign w:val="superscript"/>
              </w:rPr>
              <w:t>(2),(6)</w:t>
            </w:r>
          </w:p>
        </w:tc>
        <w:tc>
          <w:tcPr>
            <w:tcW w:w="220" w:type="dxa"/>
            <w:vAlign w:val="bottom"/>
          </w:tcPr>
          <w:p>
            <w:pPr>
              <w:spacing w:after="0"/>
              <w:rPr>
                <w:sz w:val="13"/>
                <w:szCs w:val="13"/>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Footnotes</w:t>
            </w:r>
          </w:p>
        </w:tc>
        <w:tc>
          <w:tcPr>
            <w:tcW w:w="0" w:type="dxa"/>
            <w:vAlign w:val="bottom"/>
          </w:tcPr>
          <w:p>
            <w:pPr>
              <w:spacing w:after="0"/>
              <w:rPr>
                <w:sz w:val="1"/>
                <w:szCs w:val="1"/>
                <w:color w:val="auto"/>
              </w:rPr>
            </w:pPr>
          </w:p>
        </w:tc>
      </w:tr>
      <w:tr>
        <w:trPr>
          <w:trHeight w:val="187"/>
        </w:trPr>
        <w:tc>
          <w:tcPr>
            <w:tcW w:w="2280" w:type="dxa"/>
            <w:vAlign w:val="bottom"/>
            <w:tcBorders>
              <w:bottom w:val="single" w:sz="8" w:color="auto"/>
            </w:tcBorders>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shd w:val="clear" w:color="auto" w:fill="CFF0FC"/>
          </w:tcPr>
          <w:p>
            <w:pPr>
              <w:spacing w:after="0"/>
              <w:rPr>
                <w:sz w:val="10"/>
                <w:szCs w:val="10"/>
                <w:color w:val="auto"/>
              </w:rPr>
            </w:pPr>
          </w:p>
        </w:tc>
        <w:tc>
          <w:tcPr>
            <w:tcW w:w="2260" w:type="dxa"/>
            <w:vAlign w:val="bottom"/>
            <w:gridSpan w:val="3"/>
            <w:shd w:val="clear" w:color="auto" w:fill="CFF0FC"/>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Control Investments</w:t>
            </w:r>
          </w:p>
        </w:tc>
        <w:tc>
          <w:tcPr>
            <w:tcW w:w="140" w:type="dxa"/>
            <w:vAlign w:val="bottom"/>
            <w:shd w:val="clear" w:color="auto" w:fill="CFF0FC"/>
          </w:tcPr>
          <w:p>
            <w:pPr>
              <w:spacing w:after="0"/>
              <w:rPr>
                <w:sz w:val="10"/>
                <w:szCs w:val="10"/>
                <w:color w:val="auto"/>
              </w:rPr>
            </w:pPr>
          </w:p>
        </w:tc>
        <w:tc>
          <w:tcPr>
            <w:tcW w:w="22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CFF0FC"/>
          </w:tcPr>
          <w:p>
            <w:pPr>
              <w:spacing w:after="0" w:line="20" w:lineRule="exact"/>
              <w:rPr>
                <w:sz w:val="1"/>
                <w:szCs w:val="1"/>
                <w:color w:val="auto"/>
              </w:rPr>
            </w:pP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LIBOR+8.50% PIK, 11.00% floor, 4.00%</w:t>
            </w: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19,172,352</w:t>
            </w: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14,649,788</w:t>
            </w: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Pivot3 Holdings, Inc.</w:t>
            </w: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ETP</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4"/>
              </w:rPr>
              <w:t>5/13/2019</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11/15/2022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18,598,265</w:t>
            </w:r>
          </w:p>
        </w:tc>
        <w:tc>
          <w:tcPr>
            <w:tcW w:w="40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(4)(7)</w:t>
            </w:r>
          </w:p>
        </w:tc>
        <w:tc>
          <w:tcPr>
            <w:tcW w:w="0" w:type="dxa"/>
            <w:vAlign w:val="bottom"/>
          </w:tcPr>
          <w:p>
            <w:pPr>
              <w:spacing w:after="0"/>
              <w:rPr>
                <w:sz w:val="1"/>
                <w:szCs w:val="1"/>
                <w:color w:val="auto"/>
              </w:rPr>
            </w:pPr>
          </w:p>
        </w:tc>
      </w:tr>
      <w:tr>
        <w:trPr>
          <w:trHeight w:val="111"/>
        </w:trPr>
        <w:tc>
          <w:tcPr>
            <w:tcW w:w="2280" w:type="dxa"/>
            <w:vAlign w:val="bottom"/>
            <w:gridSpan w:val="4"/>
            <w:shd w:val="clear" w:color="auto" w:fill="CFF0FC"/>
          </w:tcPr>
          <w:p>
            <w:pPr>
              <w:ind w:left="20"/>
              <w:spacing w:after="0" w:line="111" w:lineRule="exact"/>
              <w:rPr>
                <w:sz w:val="20"/>
                <w:szCs w:val="20"/>
                <w:color w:val="auto"/>
              </w:rPr>
            </w:pPr>
            <w:r>
              <w:rPr>
                <w:rFonts w:ascii="Times New Roman" w:cs="Times New Roman" w:eastAsia="Times New Roman" w:hAnsi="Times New Roman"/>
                <w:sz w:val="12"/>
                <w:szCs w:val="12"/>
                <w:b w:val="1"/>
                <w:bCs w:val="1"/>
                <w:color w:val="auto"/>
              </w:rPr>
              <w:t>Total Data Processing &amp; Outsourced</w:t>
            </w:r>
          </w:p>
        </w:tc>
        <w:tc>
          <w:tcPr>
            <w:tcW w:w="140" w:type="dxa"/>
            <w:vAlign w:val="bottom"/>
            <w:shd w:val="clear" w:color="auto" w:fill="CFF0FC"/>
          </w:tcPr>
          <w:p>
            <w:pPr>
              <w:spacing w:after="0"/>
              <w:rPr>
                <w:sz w:val="9"/>
                <w:szCs w:val="9"/>
                <w:color w:val="auto"/>
              </w:rPr>
            </w:pPr>
          </w:p>
        </w:tc>
        <w:tc>
          <w:tcPr>
            <w:tcW w:w="2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7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19,172,352</w:t>
            </w:r>
          </w:p>
        </w:tc>
        <w:tc>
          <w:tcPr>
            <w:tcW w:w="20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9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14,649,788</w:t>
            </w: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- 2.42%*</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280" w:type="dxa"/>
            <w:vAlign w:val="bottom"/>
            <w:gridSpan w:val="4"/>
            <w:shd w:val="clear" w:color="auto" w:fill="CFF0FC"/>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Total Senior Secured Term Loans -</w:t>
            </w:r>
          </w:p>
        </w:tc>
        <w:tc>
          <w:tcPr>
            <w:tcW w:w="140" w:type="dxa"/>
            <w:vAlign w:val="bottom"/>
            <w:shd w:val="clear" w:color="auto" w:fill="CFF0FC"/>
          </w:tcPr>
          <w:p>
            <w:pPr>
              <w:spacing w:after="0"/>
              <w:rPr>
                <w:sz w:val="9"/>
                <w:szCs w:val="9"/>
                <w:color w:val="auto"/>
              </w:rPr>
            </w:pPr>
          </w:p>
        </w:tc>
        <w:tc>
          <w:tcPr>
            <w:tcW w:w="22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30,827,679</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28,259,976</w:t>
            </w: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4.66%*</w:t>
            </w:r>
          </w:p>
        </w:tc>
        <w:tc>
          <w:tcPr>
            <w:tcW w:w="8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Stocks</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Mojix, Inc.</w:t>
            </w:r>
          </w:p>
        </w:tc>
        <w:tc>
          <w:tcPr>
            <w:tcW w:w="140" w:type="dxa"/>
            <w:vAlign w:val="bottom"/>
            <w:tcBorders>
              <w:bottom w:val="single" w:sz="8" w:color="CFF0FC"/>
            </w:tcBorders>
            <w:shd w:val="clear" w:color="auto" w:fill="CFF0FC"/>
          </w:tcPr>
          <w:p>
            <w:pPr>
              <w:spacing w:after="0"/>
              <w:rPr>
                <w:sz w:val="14"/>
                <w:szCs w:val="1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A-1</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12/14/2020</w:t>
            </w: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67,114,092</w:t>
            </w:r>
          </w:p>
        </w:tc>
        <w:tc>
          <w:tcPr>
            <w:tcW w:w="2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2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870,395</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6"/>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- 0.14%*</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800,000</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870,395</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2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Pivot3 Holdings, Inc.</w:t>
            </w:r>
          </w:p>
        </w:tc>
        <w:tc>
          <w:tcPr>
            <w:tcW w:w="140" w:type="dxa"/>
            <w:vAlign w:val="bottom"/>
            <w:tcBorders>
              <w:bottom w:val="single" w:sz="8" w:color="CFF0FC"/>
            </w:tcBorders>
            <w:shd w:val="clear" w:color="auto" w:fill="CFF0FC"/>
          </w:tcPr>
          <w:p>
            <w:pPr>
              <w:spacing w:after="0"/>
              <w:rPr>
                <w:sz w:val="24"/>
                <w:szCs w:val="24"/>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1</w:t>
            </w:r>
          </w:p>
        </w:tc>
        <w:tc>
          <w:tcPr>
            <w:tcW w:w="1040" w:type="dxa"/>
            <w:vAlign w:val="bottom"/>
            <w:tcBorders>
              <w:bottom w:val="single" w:sz="8" w:color="CFF0FC"/>
            </w:tcBorders>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4"/>
              </w:rPr>
              <w:t>1/27/2021</w:t>
            </w:r>
          </w:p>
        </w:tc>
        <w:tc>
          <w:tcPr>
            <w:tcW w:w="12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2,675,585</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2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auto"/>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10"/>
        </w:trPr>
        <w:tc>
          <w:tcPr>
            <w:tcW w:w="2280" w:type="dxa"/>
            <w:vAlign w:val="bottom"/>
            <w:gridSpan w:val="4"/>
          </w:tcPr>
          <w:p>
            <w:pPr>
              <w:ind w:left="20"/>
              <w:spacing w:after="0" w:line="110" w:lineRule="exact"/>
              <w:rPr>
                <w:sz w:val="20"/>
                <w:szCs w:val="20"/>
                <w:color w:val="auto"/>
              </w:rPr>
            </w:pPr>
            <w:r>
              <w:rPr>
                <w:rFonts w:ascii="Times New Roman" w:cs="Times New Roman" w:eastAsia="Times New Roman" w:hAnsi="Times New Roman"/>
                <w:sz w:val="12"/>
                <w:szCs w:val="12"/>
                <w:b w:val="1"/>
                <w:bCs w:val="1"/>
                <w:color w:val="auto"/>
              </w:rPr>
              <w:t>Total Data Processing &amp; Outsourced</w:t>
            </w:r>
          </w:p>
        </w:tc>
        <w:tc>
          <w:tcPr>
            <w:tcW w:w="140" w:type="dxa"/>
            <w:vAlign w:val="bottom"/>
          </w:tcPr>
          <w:p>
            <w:pPr>
              <w:spacing w:after="0"/>
              <w:rPr>
                <w:sz w:val="9"/>
                <w:szCs w:val="9"/>
                <w:color w:val="auto"/>
              </w:rPr>
            </w:pPr>
          </w:p>
        </w:tc>
        <w:tc>
          <w:tcPr>
            <w:tcW w:w="2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2,000,000</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Services - 0.00%*</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96"/>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Preferred Stocks - 0.14%*</w:t>
            </w:r>
          </w:p>
        </w:tc>
        <w:tc>
          <w:tcPr>
            <w:tcW w:w="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2,800,000</w:t>
            </w: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870,395</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Mojix, Inc.</w:t>
            </w:r>
          </w:p>
        </w:tc>
        <w:tc>
          <w:tcPr>
            <w:tcW w:w="1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12/14/2020</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12/13/2030</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119,320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70"/>
        </w:trPr>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shd w:val="clear" w:color="auto" w:fill="CFF0FC"/>
          </w:tcPr>
          <w:p>
            <w:pPr>
              <w:jc w:val="center"/>
              <w:ind w:left="37"/>
              <w:spacing w:after="0"/>
              <w:rPr>
                <w:sz w:val="20"/>
                <w:szCs w:val="20"/>
                <w:color w:val="auto"/>
              </w:rPr>
            </w:pPr>
            <w:r>
              <w:rPr>
                <w:rFonts w:ascii="Times New Roman" w:cs="Times New Roman" w:eastAsia="Times New Roman" w:hAnsi="Times New Roman"/>
                <w:sz w:val="13"/>
                <w:szCs w:val="13"/>
                <w:color w:val="auto"/>
                <w:w w:val="97"/>
              </w:rPr>
              <w:t>12/14/2020</w:t>
            </w:r>
          </w:p>
        </w:tc>
        <w:tc>
          <w:tcPr>
            <w:tcW w:w="900" w:type="dxa"/>
            <w:vAlign w:val="bottom"/>
            <w:gridSpan w:val="2"/>
            <w:shd w:val="clear" w:color="auto" w:fill="CFF0FC"/>
          </w:tcPr>
          <w:p>
            <w:pPr>
              <w:jc w:val="center"/>
              <w:ind w:left="57"/>
              <w:spacing w:after="0"/>
              <w:rPr>
                <w:sz w:val="20"/>
                <w:szCs w:val="20"/>
                <w:color w:val="auto"/>
              </w:rPr>
            </w:pPr>
            <w:r>
              <w:rPr>
                <w:rFonts w:ascii="Times New Roman" w:cs="Times New Roman" w:eastAsia="Times New Roman" w:hAnsi="Times New Roman"/>
                <w:sz w:val="13"/>
                <w:szCs w:val="13"/>
                <w:color w:val="auto"/>
                <w:w w:val="97"/>
              </w:rPr>
              <w:t>12/13/2030</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5,873</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298,325</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12/14/2020</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7"/>
              </w:rPr>
              <w:t>12/13/2030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394,733</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828,522</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155"/>
        </w:trPr>
        <w:tc>
          <w:tcPr>
            <w:tcW w:w="22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40" w:type="dxa"/>
            <w:vAlign w:val="bottom"/>
            <w:tcBorders>
              <w:bottom w:val="single" w:sz="8" w:color="CFF0FC"/>
            </w:tcBorders>
            <w:shd w:val="clear" w:color="auto" w:fill="CFF0FC"/>
          </w:tcPr>
          <w:p>
            <w:pPr>
              <w:spacing w:after="0"/>
              <w:rPr>
                <w:sz w:val="13"/>
                <w:szCs w:val="13"/>
                <w:color w:val="auto"/>
              </w:rPr>
            </w:pPr>
          </w:p>
        </w:tc>
        <w:tc>
          <w:tcPr>
            <w:tcW w:w="22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1,246,167</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280" w:type="dxa"/>
            <w:vAlign w:val="bottom"/>
            <w:gridSpan w:val="4"/>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Total Control Investments - 4.81%*</w:t>
            </w:r>
          </w:p>
        </w:tc>
        <w:tc>
          <w:tcPr>
            <w:tcW w:w="140" w:type="dxa"/>
            <w:vAlign w:val="bottom"/>
            <w:shd w:val="clear" w:color="auto" w:fill="CFF0FC"/>
          </w:tcPr>
          <w:p>
            <w:pPr>
              <w:spacing w:after="0"/>
              <w:rPr>
                <w:sz w:val="15"/>
                <w:szCs w:val="15"/>
                <w:color w:val="auto"/>
              </w:rPr>
            </w:pPr>
          </w:p>
        </w:tc>
        <w:tc>
          <w:tcPr>
            <w:tcW w:w="2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33,627,679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29,130,371</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CFF0F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8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7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00" w:type="dxa"/>
            <w:vAlign w:val="bottom"/>
            <w:tcBorders>
              <w:top w:val="single" w:sz="8" w:color="CFF0FC"/>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78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U.S. Treasury</w:t>
            </w:r>
          </w:p>
        </w:tc>
        <w:tc>
          <w:tcPr>
            <w:tcW w:w="1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3"/>
                <w:szCs w:val="13"/>
                <w:color w:val="auto"/>
              </w:rPr>
              <w:t>U.S. Treasury Bill, 0.033%</w:t>
            </w:r>
          </w:p>
        </w:tc>
        <w:tc>
          <w:tcPr>
            <w:tcW w:w="104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color w:val="auto"/>
                <w:w w:val="97"/>
              </w:rPr>
              <w:t>12/30/2021</w:t>
            </w:r>
          </w:p>
        </w:tc>
        <w:tc>
          <w:tcPr>
            <w:tcW w:w="9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4"/>
              </w:rPr>
              <w:t>1/11/2022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45,000,000</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45,001,250</w:t>
            </w: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45,001,500</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7"/>
        </w:trPr>
        <w:tc>
          <w:tcPr>
            <w:tcW w:w="22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U.S. Treasury - 7.42%*</w:t>
            </w:r>
          </w:p>
        </w:tc>
        <w:tc>
          <w:tcPr>
            <w:tcW w:w="140" w:type="dxa"/>
            <w:vAlign w:val="bottom"/>
            <w:tcBorders>
              <w:bottom w:val="single" w:sz="8" w:color="CFF0FC"/>
            </w:tcBorders>
            <w:shd w:val="clear" w:color="auto" w:fill="CFF0FC"/>
          </w:tcPr>
          <w:p>
            <w:pPr>
              <w:spacing w:after="0"/>
              <w:rPr>
                <w:sz w:val="13"/>
                <w:szCs w:val="13"/>
                <w:color w:val="auto"/>
              </w:rPr>
            </w:pPr>
          </w:p>
        </w:tc>
        <w:tc>
          <w:tcPr>
            <w:tcW w:w="22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9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CFF0FC"/>
            </w:tcBorders>
            <w:shd w:val="clear" w:color="auto" w:fill="CFF0FC"/>
          </w:tcPr>
          <w:p>
            <w:pPr>
              <w:spacing w:after="0"/>
              <w:rPr>
                <w:sz w:val="13"/>
                <w:szCs w:val="13"/>
                <w:color w:val="auto"/>
              </w:rPr>
            </w:pPr>
          </w:p>
        </w:tc>
        <w:tc>
          <w:tcPr>
            <w:tcW w:w="9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CFF0FC"/>
            </w:tcBorders>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spacing w:after="0"/>
              <w:rPr>
                <w:sz w:val="13"/>
                <w:szCs w:val="13"/>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45,001,250</w:t>
            </w:r>
          </w:p>
        </w:tc>
        <w:tc>
          <w:tcPr>
            <w:tcW w:w="2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45,001,500</w:t>
            </w:r>
          </w:p>
        </w:tc>
        <w:tc>
          <w:tcPr>
            <w:tcW w:w="220" w:type="dxa"/>
            <w:vAlign w:val="bottom"/>
            <w:tcBorders>
              <w:bottom w:val="single" w:sz="8" w:color="CFF0FC"/>
            </w:tcBorders>
            <w:shd w:val="clear" w:color="auto" w:fill="CFF0FC"/>
          </w:tcPr>
          <w:p>
            <w:pPr>
              <w:spacing w:after="0"/>
              <w:rPr>
                <w:sz w:val="13"/>
                <w:szCs w:val="13"/>
                <w:color w:val="auto"/>
              </w:rPr>
            </w:pPr>
          </w:p>
        </w:tc>
        <w:tc>
          <w:tcPr>
            <w:tcW w:w="78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8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Total Total Investments - 120.34%*</w:t>
            </w:r>
          </w:p>
        </w:tc>
        <w:tc>
          <w:tcPr>
            <w:tcW w:w="14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727,323,991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729,516,274</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-3402330</wp:posOffset>
            </wp:positionV>
            <wp:extent cx="68580" cy="1111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-3402330</wp:posOffset>
            </wp:positionV>
            <wp:extent cx="68580" cy="1111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-3110865</wp:posOffset>
            </wp:positionV>
            <wp:extent cx="68580" cy="11176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-3110865</wp:posOffset>
            </wp:positionV>
            <wp:extent cx="68580" cy="11176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-2691130</wp:posOffset>
            </wp:positionV>
            <wp:extent cx="68580" cy="1200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-2691130</wp:posOffset>
            </wp:positionV>
            <wp:extent cx="68580" cy="1200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-2176780</wp:posOffset>
            </wp:positionV>
            <wp:extent cx="68580" cy="1974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-2176780</wp:posOffset>
            </wp:positionV>
            <wp:extent cx="68580" cy="1974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19748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-864870</wp:posOffset>
            </wp:positionV>
            <wp:extent cx="68580" cy="1111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-864870</wp:posOffset>
            </wp:positionV>
            <wp:extent cx="68580" cy="1111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-650875</wp:posOffset>
            </wp:positionV>
            <wp:extent cx="68580" cy="1111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-650875</wp:posOffset>
            </wp:positionV>
            <wp:extent cx="68580" cy="11112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-136525</wp:posOffset>
            </wp:positionV>
            <wp:extent cx="6858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-136525</wp:posOffset>
            </wp:positionV>
            <wp:extent cx="6858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90309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49" w:lineRule="exact"/>
        <w:rPr>
          <w:sz w:val="20"/>
          <w:szCs w:val="20"/>
          <w:color w:val="auto"/>
        </w:rPr>
      </w:pPr>
    </w:p>
    <w:p>
      <w:pPr>
        <w:jc w:val="both"/>
        <w:ind w:left="760" w:hanging="374"/>
        <w:spacing w:after="0" w:line="175" w:lineRule="exact"/>
        <w:tabs>
          <w:tab w:leader="none" w:pos="7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London Interbank Offered Rate (“LIBOR”) or the U.S. Prime Rate. At December 31, 2021, the 3</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Month LIBOR was 0.21% and the U.S. Prime Rate was 3.25%.</w:t>
      </w:r>
    </w:p>
    <w:p>
      <w:pPr>
        <w:spacing w:after="0" w:line="69" w:lineRule="exact"/>
        <w:rPr>
          <w:rFonts w:ascii="Times New Roman" w:cs="Times New Roman" w:eastAsia="Times New Roman" w:hAnsi="Times New Roman"/>
          <w:sz w:val="19"/>
          <w:szCs w:val="19"/>
          <w:color w:val="auto"/>
          <w:vertAlign w:val="superscript"/>
        </w:rPr>
      </w:pPr>
    </w:p>
    <w:p>
      <w:pPr>
        <w:jc w:val="both"/>
        <w:ind w:left="760" w:hanging="374"/>
        <w:spacing w:after="0" w:line="233" w:lineRule="auto"/>
        <w:tabs>
          <w:tab w:leader="none" w:pos="7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spacing w:after="0" w:line="82" w:lineRule="exact"/>
        <w:rPr>
          <w:rFonts w:ascii="Times New Roman" w:cs="Times New Roman" w:eastAsia="Times New Roman" w:hAnsi="Times New Roman"/>
          <w:sz w:val="19"/>
          <w:szCs w:val="19"/>
          <w:color w:val="auto"/>
          <w:vertAlign w:val="superscript"/>
        </w:rPr>
      </w:pPr>
    </w:p>
    <w:p>
      <w:pPr>
        <w:jc w:val="both"/>
        <w:ind w:left="760" w:hanging="374"/>
        <w:spacing w:after="0" w:line="235" w:lineRule="auto"/>
        <w:tabs>
          <w:tab w:leader="none" w:pos="7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not a qualifying asset as defined under Section 55(a) of the Investment Company Act of 1940, as amended (the “1940 Act”). Non-qualifying assets at fair value represent 12.35% of total assets as of December 31, 2021.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52"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Represents a PIK security. PIK interest is accrued and will be paid at maturity.</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16" w:lineRule="auto"/>
        <w:tabs>
          <w:tab w:leader="none" w:pos="7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Disclosures of end-of-term-payments (“ETP”) are one-time payments stated as a percentage of original principal amount.</w:t>
      </w:r>
    </w:p>
    <w:p>
      <w:pPr>
        <w:spacing w:after="0" w:line="73" w:lineRule="exact"/>
        <w:rPr>
          <w:rFonts w:ascii="Times New Roman" w:cs="Times New Roman" w:eastAsia="Times New Roman" w:hAnsi="Times New Roman"/>
          <w:sz w:val="19"/>
          <w:szCs w:val="19"/>
          <w:color w:val="auto"/>
          <w:vertAlign w:val="superscript"/>
        </w:rPr>
      </w:pPr>
    </w:p>
    <w:p>
      <w:pPr>
        <w:ind w:left="760" w:hanging="374"/>
        <w:spacing w:after="0" w:line="231" w:lineRule="auto"/>
        <w:tabs>
          <w:tab w:leader="none" w:pos="760" w:val="left"/>
        </w:tabs>
        <w:numPr>
          <w:ilvl w:val="0"/>
          <w:numId w:val="1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Investments are held at Fair Value net of the Fair Value of Unfunded Commitments. See Note 3 for additional detail.</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r>
        <w:rPr>
          <w:rFonts w:ascii="Times New Roman" w:cs="Times New Roman" w:eastAsia="Times New Roman" w:hAnsi="Times New Roman"/>
          <w:sz w:val="14"/>
          <w:szCs w:val="14"/>
          <w:color w:val="auto"/>
        </w:rPr>
        <w:t>.</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ind w:left="4900" w:right="4120" w:hanging="780"/>
        <w:spacing w:after="0" w:line="301" w:lineRule="auto"/>
        <w:tabs>
          <w:tab w:leader="none" w:pos="4212"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spacing w:after="0" w:line="100" w:lineRule="exact"/>
        <w:rPr>
          <w:sz w:val="20"/>
          <w:szCs w:val="20"/>
          <w:color w:val="auto"/>
        </w:rPr>
      </w:pPr>
    </w:p>
    <w:p>
      <w:pPr>
        <w:ind w:left="760" w:hanging="374"/>
        <w:spacing w:after="0"/>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Investments are non-income producing.</w:t>
      </w:r>
    </w:p>
    <w:p>
      <w:pPr>
        <w:spacing w:after="0" w:line="95" w:lineRule="exact"/>
        <w:rPr>
          <w:rFonts w:ascii="Times New Roman" w:cs="Times New Roman" w:eastAsia="Times New Roman" w:hAnsi="Times New Roman"/>
          <w:sz w:val="19"/>
          <w:szCs w:val="19"/>
          <w:color w:val="auto"/>
          <w:vertAlign w:val="superscript"/>
        </w:rPr>
      </w:pPr>
    </w:p>
    <w:p>
      <w:pPr>
        <w:ind w:left="760" w:hanging="374"/>
        <w:spacing w:after="0" w:line="221" w:lineRule="auto"/>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Credit Facility (as defined in Note 10) is secured by a perfected first priority security interest in each of the Company’s senior secured term loan investments, except for Pivot3 Holdings, Inc., Marley Spoon AG, Mojix, Inc., and The Kairn Corporation senior secured term loans.</w:t>
      </w:r>
    </w:p>
    <w:p>
      <w:pPr>
        <w:spacing w:after="0" w:line="82" w:lineRule="exact"/>
        <w:rPr>
          <w:rFonts w:ascii="Times New Roman" w:cs="Times New Roman" w:eastAsia="Times New Roman" w:hAnsi="Times New Roman"/>
          <w:sz w:val="19"/>
          <w:szCs w:val="19"/>
          <w:color w:val="auto"/>
          <w:vertAlign w:val="superscript"/>
        </w:rPr>
      </w:pPr>
    </w:p>
    <w:p>
      <w:pPr>
        <w:ind w:left="760" w:hanging="374"/>
        <w:spacing w:after="0" w:line="221" w:lineRule="auto"/>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Treasury bill with $45,000,000 par value purchased pursuant to a 0.25% reverse repurchase agreement with Goldman Sachs, dated December 31, 2021, due January 6, 2022, with a repurchase price of $44,774,963 collateralized by a 0.033% U.S. Treasury Bill due January 11, 2022 with a par value of $45,000,000 and fair value of $45,001,560.</w:t>
      </w:r>
    </w:p>
    <w:p>
      <w:pPr>
        <w:spacing w:after="0" w:line="65"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investments are domiciled in the United States, unless otherwise noted.</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16" w:lineRule="auto"/>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domiciled in Canada.</w:t>
      </w:r>
    </w:p>
    <w:p>
      <w:pPr>
        <w:spacing w:after="0" w:line="73" w:lineRule="exact"/>
        <w:rPr>
          <w:rFonts w:ascii="Times New Roman" w:cs="Times New Roman" w:eastAsia="Times New Roman" w:hAnsi="Times New Roman"/>
          <w:sz w:val="19"/>
          <w:szCs w:val="19"/>
          <w:color w:val="auto"/>
          <w:vertAlign w:val="superscript"/>
        </w:rPr>
      </w:pPr>
    </w:p>
    <w:p>
      <w:pPr>
        <w:ind w:left="760" w:hanging="374"/>
        <w:spacing w:after="0" w:line="216" w:lineRule="auto"/>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domiciled in Germany.</w:t>
      </w:r>
    </w:p>
    <w:p>
      <w:pPr>
        <w:spacing w:after="0" w:line="73" w:lineRule="exact"/>
        <w:rPr>
          <w:rFonts w:ascii="Times New Roman" w:cs="Times New Roman" w:eastAsia="Times New Roman" w:hAnsi="Times New Roman"/>
          <w:sz w:val="19"/>
          <w:szCs w:val="19"/>
          <w:color w:val="auto"/>
          <w:vertAlign w:val="superscript"/>
        </w:rPr>
      </w:pPr>
    </w:p>
    <w:p>
      <w:pPr>
        <w:ind w:left="760" w:hanging="374"/>
        <w:spacing w:after="0" w:line="216" w:lineRule="auto"/>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domiciled in the United Kingdom.</w:t>
      </w:r>
    </w:p>
    <w:p>
      <w:pPr>
        <w:spacing w:after="0" w:line="73" w:lineRule="exact"/>
        <w:rPr>
          <w:rFonts w:ascii="Times New Roman" w:cs="Times New Roman" w:eastAsia="Times New Roman" w:hAnsi="Times New Roman"/>
          <w:sz w:val="19"/>
          <w:szCs w:val="19"/>
          <w:color w:val="auto"/>
          <w:vertAlign w:val="superscript"/>
        </w:rPr>
      </w:pPr>
    </w:p>
    <w:p>
      <w:pPr>
        <w:ind w:left="760" w:hanging="374"/>
        <w:spacing w:after="0" w:line="231" w:lineRule="auto"/>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either a cash success fee payable or earnout of shares based on the consummation of certain trigger events.</w:t>
      </w:r>
    </w:p>
    <w:p>
      <w:pPr>
        <w:spacing w:after="0" w:line="82"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Control investment, as defined under the 1940 Act, in which the Company owns more than 25% of the investment’s voting securities or has greater than 50% representation on its board.</w:t>
      </w:r>
    </w:p>
    <w:p>
      <w:pPr>
        <w:spacing w:after="0" w:line="183"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publicly traded and listed on NASDAQ.</w:t>
      </w:r>
    </w:p>
    <w:p>
      <w:pPr>
        <w:spacing w:after="0" w:line="72" w:lineRule="exact"/>
        <w:rPr>
          <w:rFonts w:ascii="Times New Roman" w:cs="Times New Roman" w:eastAsia="Times New Roman" w:hAnsi="Times New Roman"/>
          <w:sz w:val="19"/>
          <w:szCs w:val="19"/>
          <w:color w:val="auto"/>
          <w:vertAlign w:val="superscript"/>
        </w:rPr>
      </w:pPr>
    </w:p>
    <w:p>
      <w:pPr>
        <w:ind w:left="760" w:hanging="374"/>
        <w:spacing w:after="0" w:line="231" w:lineRule="auto"/>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warrant count is based upon a percentage of ownership of Fidelis Cybersecurity, Inc.</w:t>
      </w:r>
    </w:p>
    <w:p>
      <w:pPr>
        <w:spacing w:after="0" w:line="82" w:lineRule="exact"/>
        <w:rPr>
          <w:rFonts w:ascii="Times New Roman" w:cs="Times New Roman" w:eastAsia="Times New Roman" w:hAnsi="Times New Roman"/>
          <w:sz w:val="19"/>
          <w:szCs w:val="19"/>
          <w:color w:val="auto"/>
          <w:vertAlign w:val="superscript"/>
        </w:rPr>
      </w:pPr>
    </w:p>
    <w:p>
      <w:pPr>
        <w:jc w:val="both"/>
        <w:ind w:left="760" w:hanging="374"/>
        <w:spacing w:after="0" w:line="227" w:lineRule="auto"/>
        <w:tabs>
          <w:tab w:leader="none" w:pos="760"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As a result of Brilliant Earth Group Inc.'s (the Public Company) IPO through an Up-C structure, the Company received a share of Class B common stock in Brilliant Earth Group, Inc. for every Class P unit it held in Brilliant Earth, LLC. On a one-to-one basis, both the Class B common stock and Class P unit can be surrendered for Class A common stock in the Public Company.</w:t>
      </w:r>
    </w:p>
    <w:p>
      <w:pPr>
        <w:spacing w:after="0" w:line="96" w:lineRule="exact"/>
        <w:rPr>
          <w:rFonts w:ascii="Times New Roman" w:cs="Times New Roman" w:eastAsia="Times New Roman" w:hAnsi="Times New Roman"/>
          <w:sz w:val="19"/>
          <w:szCs w:val="19"/>
          <w:color w:val="auto"/>
          <w:vertAlign w:val="superscript"/>
        </w:rPr>
      </w:pPr>
    </w:p>
    <w:p>
      <w:pPr>
        <w:ind w:left="340" w:right="6740" w:firstLine="46"/>
        <w:spacing w:after="0" w:line="357" w:lineRule="auto"/>
        <w:tabs>
          <w:tab w:leader="none" w:pos="765" w:val="left"/>
        </w:tabs>
        <w:numPr>
          <w:ilvl w:val="1"/>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Investment is not a “restricted security” under the Securities Act. * Value as a percentage of net assets.</w:t>
      </w:r>
    </w:p>
    <w:p>
      <w:pPr>
        <w:spacing w:after="0" w:line="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ind w:left="4900" w:right="4120" w:hanging="780"/>
        <w:spacing w:after="0" w:line="301" w:lineRule="auto"/>
        <w:tabs>
          <w:tab w:leader="none" w:pos="4212"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spacing w:after="0" w:line="13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Company classifies its investment portfolio in accordance with the requirements of the 1940 Act. Control investments are investments in which the Company owns more than 25% of the voting securities or maintains greater than 50% representation on the board. Affiliate investments are investments in which the Company owns between 5% and 25% (inclusive) of the voting securities and does not have rights to maintain greater than 50% representation on the board. The Company’s affiliate and control investments as of December 31, 2021, along with the transactions during the year ended December 31, 2021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840" w:type="dxa"/>
            <w:vAlign w:val="bottom"/>
            <w:tcBorders>
              <w:top w:val="single" w:sz="8" w:color="auto"/>
              <w:bottom w:val="single" w:sz="8" w:color="auto"/>
            </w:tcBorders>
            <w:gridSpan w:val="8"/>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For the Year Ended December 31, 2021</w:t>
            </w: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Net</w:t>
            </w:r>
          </w:p>
        </w:tc>
        <w:tc>
          <w:tcPr>
            <w:tcW w:w="220" w:type="dxa"/>
            <w:vAlign w:val="bottom"/>
          </w:tcPr>
          <w:p>
            <w:pPr>
              <w:spacing w:after="0"/>
              <w:rPr>
                <w:sz w:val="13"/>
                <w:szCs w:val="13"/>
                <w:color w:val="auto"/>
              </w:rPr>
            </w:pPr>
          </w:p>
        </w:tc>
        <w:tc>
          <w:tcPr>
            <w:tcW w:w="1100" w:type="dxa"/>
            <w:vAlign w:val="bottom"/>
            <w:gridSpan w:val="3"/>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5"/>
              </w:rPr>
              <w:t>Net Change in</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Realized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5"/>
              </w:rPr>
              <w:t>Unrealized</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Fair Value</w:t>
            </w: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3"/>
              </w:rPr>
              <w:t>as of</w:t>
            </w:r>
          </w:p>
        </w:tc>
        <w:tc>
          <w:tcPr>
            <w:tcW w:w="12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4"/>
                <w:szCs w:val="14"/>
                <w:color w:val="auto"/>
              </w:rPr>
            </w:pPr>
          </w:p>
        </w:tc>
        <w:tc>
          <w:tcPr>
            <w:tcW w:w="56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Gains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w w:val="95"/>
              </w:rPr>
              <w:t>Appreciation</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as of</w:t>
            </w:r>
          </w:p>
        </w:tc>
        <w:tc>
          <w:tcPr>
            <w:tcW w:w="0" w:type="dxa"/>
            <w:vAlign w:val="bottom"/>
          </w:tcPr>
          <w:p>
            <w:pPr>
              <w:spacing w:after="0"/>
              <w:rPr>
                <w:sz w:val="1"/>
                <w:szCs w:val="1"/>
                <w:color w:val="auto"/>
              </w:rPr>
            </w:pPr>
          </w:p>
        </w:tc>
      </w:tr>
      <w:tr>
        <w:trPr>
          <w:trHeight w:val="128"/>
        </w:trPr>
        <w:tc>
          <w:tcPr>
            <w:tcW w:w="20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Portfolio Company</w:t>
            </w:r>
            <w:r>
              <w:rPr>
                <w:rFonts w:ascii="Times New Roman" w:cs="Times New Roman" w:eastAsia="Times New Roman" w:hAnsi="Times New Roman"/>
                <w:sz w:val="16"/>
                <w:szCs w:val="16"/>
                <w:b w:val="1"/>
                <w:bCs w:val="1"/>
                <w:color w:val="auto"/>
                <w:vertAlign w:val="superscript"/>
              </w:rPr>
              <w:t>(4)</w:t>
            </w:r>
          </w:p>
        </w:tc>
        <w:tc>
          <w:tcPr>
            <w:tcW w:w="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360"/>
              <w:spacing w:after="0" w:line="128" w:lineRule="exact"/>
              <w:rPr>
                <w:sz w:val="20"/>
                <w:szCs w:val="20"/>
                <w:color w:val="auto"/>
              </w:rPr>
            </w:pPr>
            <w:r>
              <w:rPr>
                <w:rFonts w:ascii="Times New Roman" w:cs="Times New Roman" w:eastAsia="Times New Roman" w:hAnsi="Times New Roman"/>
                <w:sz w:val="13"/>
                <w:szCs w:val="13"/>
                <w:b w:val="1"/>
                <w:bCs w:val="1"/>
                <w:color w:val="auto"/>
                <w:w w:val="94"/>
              </w:rPr>
              <w:t>December 31,</w:t>
            </w:r>
          </w:p>
        </w:tc>
        <w:tc>
          <w:tcPr>
            <w:tcW w:w="120" w:type="dxa"/>
            <w:vAlign w:val="bottom"/>
          </w:tcPr>
          <w:p>
            <w:pPr>
              <w:spacing w:after="0"/>
              <w:rPr>
                <w:sz w:val="11"/>
                <w:szCs w:val="11"/>
                <w:color w:val="auto"/>
              </w:rPr>
            </w:pPr>
          </w:p>
        </w:tc>
        <w:tc>
          <w:tcPr>
            <w:tcW w:w="840" w:type="dxa"/>
            <w:vAlign w:val="bottom"/>
            <w:vMerge w:val="restart"/>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5"/>
              </w:rPr>
              <w:t>Additions</w:t>
            </w:r>
            <w:r>
              <w:rPr>
                <w:rFonts w:ascii="Times New Roman" w:cs="Times New Roman" w:eastAsia="Times New Roman" w:hAnsi="Times New Roman"/>
                <w:sz w:val="16"/>
                <w:szCs w:val="16"/>
                <w:b w:val="1"/>
                <w:bCs w:val="1"/>
                <w:color w:val="auto"/>
                <w:w w:val="95"/>
                <w:vertAlign w:val="superscript"/>
              </w:rPr>
              <w:t>(1)</w:t>
            </w:r>
          </w:p>
        </w:tc>
        <w:tc>
          <w:tcPr>
            <w:tcW w:w="240" w:type="dxa"/>
            <w:vAlign w:val="bottom"/>
          </w:tcPr>
          <w:p>
            <w:pPr>
              <w:spacing w:after="0"/>
              <w:rPr>
                <w:sz w:val="11"/>
                <w:szCs w:val="11"/>
                <w:color w:val="auto"/>
              </w:rPr>
            </w:pPr>
          </w:p>
        </w:tc>
        <w:tc>
          <w:tcPr>
            <w:tcW w:w="1040" w:type="dxa"/>
            <w:vAlign w:val="bottom"/>
            <w:gridSpan w:val="3"/>
            <w:vMerge w:val="restart"/>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9"/>
              </w:rPr>
              <w:t>Reductions</w:t>
            </w:r>
            <w:r>
              <w:rPr>
                <w:rFonts w:ascii="Times New Roman" w:cs="Times New Roman" w:eastAsia="Times New Roman" w:hAnsi="Times New Roman"/>
                <w:sz w:val="16"/>
                <w:szCs w:val="16"/>
                <w:b w:val="1"/>
                <w:bCs w:val="1"/>
                <w:color w:val="auto"/>
                <w:w w:val="99"/>
                <w:vertAlign w:val="superscript"/>
              </w:rPr>
              <w:t>(2)</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28" w:lineRule="exact"/>
              <w:rPr>
                <w:sz w:val="20"/>
                <w:szCs w:val="20"/>
                <w:color w:val="auto"/>
              </w:rPr>
            </w:pPr>
            <w:r>
              <w:rPr>
                <w:rFonts w:ascii="Times New Roman" w:cs="Times New Roman" w:eastAsia="Times New Roman" w:hAnsi="Times New Roman"/>
                <w:sz w:val="13"/>
                <w:szCs w:val="13"/>
                <w:b w:val="1"/>
                <w:bCs w:val="1"/>
                <w:color w:val="auto"/>
                <w:w w:val="97"/>
              </w:rPr>
              <w:t>December 31,</w:t>
            </w:r>
          </w:p>
        </w:tc>
        <w:tc>
          <w:tcPr>
            <w:tcW w:w="0" w:type="dxa"/>
            <w:vAlign w:val="bottom"/>
          </w:tcPr>
          <w:p>
            <w:pPr>
              <w:spacing w:after="0"/>
              <w:rPr>
                <w:sz w:val="1"/>
                <w:szCs w:val="1"/>
                <w:color w:val="auto"/>
              </w:rPr>
            </w:pPr>
          </w:p>
        </w:tc>
      </w:tr>
      <w:tr>
        <w:trPr>
          <w:trHeight w:val="189"/>
        </w:trPr>
        <w:tc>
          <w:tcPr>
            <w:tcW w:w="2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Description</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2020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(Losses)</w:t>
            </w:r>
          </w:p>
        </w:tc>
        <w:tc>
          <w:tcPr>
            <w:tcW w:w="220" w:type="dxa"/>
            <w:vAlign w:val="bottom"/>
          </w:tcPr>
          <w:p>
            <w:pPr>
              <w:spacing w:after="0"/>
              <w:rPr>
                <w:sz w:val="16"/>
                <w:szCs w:val="16"/>
                <w:color w:val="auto"/>
              </w:rPr>
            </w:pPr>
          </w:p>
        </w:tc>
        <w:tc>
          <w:tcPr>
            <w:tcW w:w="1100" w:type="dxa"/>
            <w:vAlign w:val="bottom"/>
            <w:gridSpan w:val="3"/>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(Depreciation)</w:t>
            </w:r>
          </w:p>
        </w:tc>
        <w:tc>
          <w:tcPr>
            <w:tcW w:w="100" w:type="dxa"/>
            <w:vAlign w:val="bottom"/>
          </w:tcPr>
          <w:p>
            <w:pPr>
              <w:spacing w:after="0"/>
              <w:rPr>
                <w:sz w:val="16"/>
                <w:szCs w:val="16"/>
                <w:color w:val="auto"/>
              </w:rPr>
            </w:pPr>
          </w:p>
        </w:tc>
        <w:tc>
          <w:tcPr>
            <w:tcW w:w="94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3"/>
              </w:rPr>
              <w:t>2021</w:t>
            </w:r>
            <w:r>
              <w:rPr>
                <w:rFonts w:ascii="Times New Roman" w:cs="Times New Roman" w:eastAsia="Times New Roman" w:hAnsi="Times New Roman"/>
                <w:sz w:val="16"/>
                <w:szCs w:val="16"/>
                <w:b w:val="1"/>
                <w:bCs w:val="1"/>
                <w:color w:val="auto"/>
                <w:w w:val="93"/>
                <w:vertAlign w:val="superscript"/>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120" w:type="dxa"/>
            <w:vAlign w:val="bottom"/>
            <w:shd w:val="clear" w:color="auto" w:fill="CFF0FC"/>
          </w:tcPr>
          <w:p>
            <w:pPr>
              <w:spacing w:after="0"/>
              <w:rPr>
                <w:sz w:val="13"/>
                <w:szCs w:val="13"/>
                <w:color w:val="auto"/>
              </w:rPr>
            </w:pPr>
          </w:p>
        </w:tc>
        <w:tc>
          <w:tcPr>
            <w:tcW w:w="242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Senior Secured Term Loans</w:t>
            </w:r>
          </w:p>
        </w:tc>
        <w:tc>
          <w:tcPr>
            <w:tcW w:w="1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Mojix, Inc.</w:t>
            </w:r>
          </w:p>
        </w:tc>
        <w:tc>
          <w:tcPr>
            <w:tcW w:w="120" w:type="dxa"/>
            <w:vAlign w:val="bottom"/>
            <w:shd w:val="clear" w:color="auto" w:fill="CFF0FC"/>
          </w:tcPr>
          <w:p>
            <w:pPr>
              <w:spacing w:after="0"/>
              <w:rPr>
                <w:sz w:val="9"/>
                <w:szCs w:val="9"/>
                <w:color w:val="auto"/>
              </w:rPr>
            </w:pPr>
          </w:p>
        </w:tc>
        <w:tc>
          <w:tcPr>
            <w:tcW w:w="24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LIBOR+12.00% PIK, 12.00% floor, 5% ETP,</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due 1/15/2022</w:t>
            </w:r>
            <w:r>
              <w:rPr>
                <w:rFonts w:ascii="Times New Roman" w:cs="Times New Roman" w:eastAsia="Times New Roman" w:hAnsi="Times New Roman"/>
                <w:sz w:val="16"/>
                <w:szCs w:val="16"/>
                <w:color w:val="auto"/>
                <w:vertAlign w:val="superscript"/>
              </w:rPr>
              <w:t>(4)</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4,913,150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2,654,460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7,567,610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LIBOR+12.00% PIK, 12.00% floor, 5% ETP,</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1/15/2022</w:t>
            </w:r>
            <w:r>
              <w:rPr>
                <w:rFonts w:ascii="Times New Roman" w:cs="Times New Roman" w:eastAsia="Times New Roman" w:hAnsi="Times New Roman"/>
                <w:sz w:val="16"/>
                <w:szCs w:val="16"/>
                <w:color w:val="auto"/>
                <w:vertAlign w:val="superscript"/>
              </w:rPr>
              <w:t>(4)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1,637,717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884,820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2,522,537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LIBOR+12.00% PIK, 12.00% floor, 5% ETP,</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due 1/15/2022</w:t>
            </w:r>
            <w:r>
              <w:rPr>
                <w:rFonts w:ascii="Times New Roman" w:cs="Times New Roman" w:eastAsia="Times New Roman" w:hAnsi="Times New Roman"/>
                <w:sz w:val="16"/>
                <w:szCs w:val="16"/>
                <w:color w:val="auto"/>
                <w:vertAlign w:val="superscript"/>
              </w:rPr>
              <w:t>(4)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409,016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220,981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629,997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LIBOR+12.00% PIK, 12.00% floor, 5% ETP,</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1/15/2022</w:t>
            </w:r>
            <w:r>
              <w:rPr>
                <w:rFonts w:ascii="Times New Roman" w:cs="Times New Roman" w:eastAsia="Times New Roman" w:hAnsi="Times New Roman"/>
                <w:sz w:val="16"/>
                <w:szCs w:val="16"/>
                <w:color w:val="auto"/>
                <w:vertAlign w:val="superscript"/>
              </w:rPr>
              <w:t>(4)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408,445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220,673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629,118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LIBOR+12.00% PIK, 12.00% floor, 5% ETP,</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due 1/15/2022</w:t>
            </w:r>
            <w:r>
              <w:rPr>
                <w:rFonts w:ascii="Times New Roman" w:cs="Times New Roman" w:eastAsia="Times New Roman" w:hAnsi="Times New Roman"/>
                <w:sz w:val="16"/>
                <w:szCs w:val="16"/>
                <w:color w:val="auto"/>
                <w:vertAlign w:val="superscript"/>
              </w:rPr>
              <w:t>(4)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813,382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439,451</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1,252,833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20" w:type="dxa"/>
            <w:vAlign w:val="bottom"/>
          </w:tcPr>
          <w:p>
            <w:pPr>
              <w:ind w:left="20"/>
              <w:spacing w:after="0" w:line="108" w:lineRule="exact"/>
              <w:rPr>
                <w:sz w:val="20"/>
                <w:szCs w:val="20"/>
                <w:color w:val="auto"/>
              </w:rPr>
            </w:pPr>
            <w:r>
              <w:rPr>
                <w:rFonts w:ascii="Times New Roman" w:cs="Times New Roman" w:eastAsia="Times New Roman" w:hAnsi="Times New Roman"/>
                <w:sz w:val="12"/>
                <w:szCs w:val="12"/>
                <w:color w:val="auto"/>
              </w:rPr>
              <w:t>LIBOR+12.00% PIK, 12.00% floor, 5% ETP,</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1/31/2022</w:t>
            </w:r>
            <w:r>
              <w:rPr>
                <w:rFonts w:ascii="Times New Roman" w:cs="Times New Roman" w:eastAsia="Times New Roman" w:hAnsi="Times New Roman"/>
                <w:sz w:val="16"/>
                <w:szCs w:val="16"/>
                <w:color w:val="auto"/>
                <w:vertAlign w:val="superscript"/>
              </w:rPr>
              <w:t>(4)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779,370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(210,000 )</w:t>
            </w:r>
          </w:p>
        </w:tc>
        <w:tc>
          <w:tcPr>
            <w:tcW w:w="80" w:type="dxa"/>
            <w:vAlign w:val="bottom"/>
          </w:tcPr>
          <w:p>
            <w:pPr>
              <w:spacing w:after="0"/>
              <w:rPr>
                <w:sz w:val="16"/>
                <w:szCs w:val="16"/>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438,723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1,008,093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2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2"/>
                <w:szCs w:val="12"/>
                <w:color w:val="auto"/>
              </w:rPr>
              <w:t>LIBOR+12.00% PIK, 12.00% floor, 5% ETP,</w:t>
            </w: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due 4/30/2021</w:t>
            </w:r>
            <w:r>
              <w:rPr>
                <w:rFonts w:ascii="Times New Roman" w:cs="Times New Roman" w:eastAsia="Times New Roman" w:hAnsi="Times New Roman"/>
                <w:sz w:val="16"/>
                <w:szCs w:val="16"/>
                <w:color w:val="auto"/>
                <w:vertAlign w:val="superscript"/>
              </w:rPr>
              <w:t>(4)</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(500,000 )</w:t>
            </w:r>
          </w:p>
        </w:tc>
        <w:tc>
          <w:tcPr>
            <w:tcW w:w="80" w:type="dxa"/>
            <w:vAlign w:val="bottom"/>
            <w:shd w:val="clear" w:color="auto" w:fill="CFF0FC"/>
          </w:tcPr>
          <w:p>
            <w:pPr>
              <w:spacing w:after="0"/>
              <w:rPr>
                <w:sz w:val="16"/>
                <w:szCs w:val="16"/>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4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Pivot3 Holdings, Inc.</w:t>
            </w:r>
          </w:p>
        </w:tc>
        <w:tc>
          <w:tcPr>
            <w:tcW w:w="120" w:type="dxa"/>
            <w:vAlign w:val="bottom"/>
          </w:tcPr>
          <w:p>
            <w:pPr>
              <w:spacing w:after="0"/>
              <w:rPr>
                <w:sz w:val="10"/>
                <w:szCs w:val="10"/>
                <w:color w:val="auto"/>
              </w:rPr>
            </w:pPr>
          </w:p>
        </w:tc>
        <w:tc>
          <w:tcPr>
            <w:tcW w:w="24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w w:val="95"/>
              </w:rPr>
              <w:t>LIBOR+8.50% PIK, 11.00% floor, 4.00% ETP,</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11/15/2022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12,015,832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color w:val="auto"/>
              </w:rPr>
              <w:t>(3,994,885 )</w:t>
            </w:r>
          </w:p>
        </w:tc>
        <w:tc>
          <w:tcPr>
            <w:tcW w:w="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6,628,841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14,649,788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LIBOR+8.50% PIK, 11.00% floor, due</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FF0FC"/>
          </w:tcPr>
          <w:p>
            <w:pPr>
              <w:spacing w:after="0"/>
              <w:rPr>
                <w:sz w:val="15"/>
                <w:szCs w:val="15"/>
                <w:color w:val="auto"/>
              </w:rPr>
            </w:pPr>
          </w:p>
        </w:tc>
        <w:tc>
          <w:tcPr>
            <w:tcW w:w="25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11/15/2022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569,181</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(1,080,984 )</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511,803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w w:val="95"/>
              </w:rPr>
              <w:t>LIBOR+8.50% PIK, 11.00% floor, 4.00% ETP,</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1,330,538</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(2,531,040 )</w:t>
            </w:r>
          </w:p>
        </w:tc>
        <w:tc>
          <w:tcPr>
            <w:tcW w:w="80" w:type="dxa"/>
            <w:vAlign w:val="bottom"/>
          </w:tcPr>
          <w:p>
            <w:pPr>
              <w:spacing w:after="0"/>
              <w:rPr>
                <w:sz w:val="10"/>
                <w:szCs w:val="10"/>
                <w:color w:val="auto"/>
              </w:rPr>
            </w:pPr>
          </w:p>
        </w:tc>
        <w:tc>
          <w:tcPr>
            <w:tcW w:w="56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1,200,502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due 11/15/2022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Senior Secured Term Loans</w:t>
            </w:r>
          </w:p>
        </w:tc>
        <w:tc>
          <w:tcPr>
            <w:tcW w:w="120" w:type="dxa"/>
            <w:vAlign w:val="bottom"/>
            <w:tcBorders>
              <w:bottom w:val="single" w:sz="8" w:color="CFF0FC"/>
            </w:tcBorders>
            <w:shd w:val="clear" w:color="auto" w:fill="CFF0FC"/>
          </w:tcPr>
          <w:p>
            <w:pPr>
              <w:spacing w:after="0"/>
              <w:rPr>
                <w:sz w:val="13"/>
                <w:szCs w:val="13"/>
                <w:color w:val="auto"/>
              </w:rPr>
            </w:pPr>
          </w:p>
        </w:tc>
        <w:tc>
          <w:tcPr>
            <w:tcW w:w="24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8,961,080</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14,415,551</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(8,316,909</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13,200,254</w:t>
            </w:r>
          </w:p>
        </w:tc>
        <w:tc>
          <w:tcPr>
            <w:tcW w:w="22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28,259,976</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Preferred Stocks</w:t>
            </w: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Mojix, Inc.</w:t>
            </w:r>
          </w:p>
        </w:tc>
        <w:tc>
          <w:tcPr>
            <w:tcW w:w="120" w:type="dxa"/>
            <w:vAlign w:val="bottom"/>
            <w:shd w:val="clear" w:color="auto" w:fill="CFF0FC"/>
          </w:tcPr>
          <w:p>
            <w:pPr>
              <w:spacing w:after="0"/>
              <w:rPr>
                <w:sz w:val="14"/>
                <w:szCs w:val="14"/>
                <w:color w:val="auto"/>
              </w:rPr>
            </w:pPr>
          </w:p>
        </w:tc>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A-1 Preferred Stock</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884,774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rPr>
              <w:t>(14,379 )</w:t>
            </w:r>
          </w:p>
        </w:tc>
        <w:tc>
          <w:tcPr>
            <w:tcW w:w="10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870,395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Pivot3 Holdings, Inc.</w:t>
            </w:r>
          </w:p>
        </w:tc>
        <w:tc>
          <w:tcPr>
            <w:tcW w:w="12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1 Preferred 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Preferred Stocks</w:t>
            </w:r>
          </w:p>
        </w:tc>
        <w:tc>
          <w:tcPr>
            <w:tcW w:w="120" w:type="dxa"/>
            <w:vAlign w:val="bottom"/>
            <w:tcBorders>
              <w:bottom w:val="single" w:sz="8" w:color="CFF0FC"/>
            </w:tcBorders>
            <w:shd w:val="clear" w:color="auto" w:fill="CFF0FC"/>
          </w:tcPr>
          <w:p>
            <w:pPr>
              <w:spacing w:after="0"/>
              <w:rPr>
                <w:sz w:val="13"/>
                <w:szCs w:val="13"/>
                <w:color w:val="auto"/>
              </w:rPr>
            </w:pPr>
          </w:p>
        </w:tc>
        <w:tc>
          <w:tcPr>
            <w:tcW w:w="24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884,774</w:t>
            </w:r>
          </w:p>
        </w:tc>
        <w:tc>
          <w:tcPr>
            <w:tcW w:w="24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spacing w:after="0"/>
              <w:rPr>
                <w:sz w:val="13"/>
                <w:szCs w:val="13"/>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top w:val="single" w:sz="8" w:color="auto"/>
              <w:bottom w:val="single" w:sz="8" w:color="auto"/>
            </w:tcBorders>
            <w:shd w:val="clear" w:color="auto" w:fill="CFF0FC"/>
          </w:tcPr>
          <w:p>
            <w:pPr>
              <w:spacing w:after="0"/>
              <w:rPr>
                <w:sz w:val="13"/>
                <w:szCs w:val="13"/>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(14,379</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870,395</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4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Mojix, Inc.</w:t>
            </w:r>
          </w:p>
        </w:tc>
        <w:tc>
          <w:tcPr>
            <w:tcW w:w="120" w:type="dxa"/>
            <w:vAlign w:val="bottom"/>
            <w:shd w:val="clear" w:color="auto" w:fill="CFF0FC"/>
          </w:tcPr>
          <w:p>
            <w:pPr>
              <w:spacing w:after="0"/>
              <w:rPr>
                <w:sz w:val="10"/>
                <w:szCs w:val="10"/>
                <w:color w:val="auto"/>
              </w:rPr>
            </w:pPr>
          </w:p>
        </w:tc>
        <w:tc>
          <w:tcPr>
            <w:tcW w:w="242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Warrant for Common Stock, exercise price</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2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$1.286/share, expires 12/13/2030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5"/>
                <w:szCs w:val="15"/>
                <w:color w:val="auto"/>
              </w:rPr>
            </w:pPr>
          </w:p>
        </w:tc>
        <w:tc>
          <w:tcPr>
            <w:tcW w:w="56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Warrant for Common Stock, exercise price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$2.1286/share, expires 12/13/2030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5"/>
        </w:trPr>
        <w:tc>
          <w:tcPr>
            <w:tcW w:w="20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2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color w:val="auto"/>
              </w:rPr>
              <w:t>Warrant for Common Stock, exercise price</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vMerge w:val="restart"/>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$5.57338/share, expires 12/13/2030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120" w:type="dxa"/>
            <w:vAlign w:val="bottom"/>
            <w:tcBorders>
              <w:bottom w:val="single" w:sz="8" w:color="CFF0FC"/>
            </w:tcBorders>
            <w:shd w:val="clear" w:color="auto" w:fill="CFF0FC"/>
          </w:tcPr>
          <w:p>
            <w:pPr>
              <w:spacing w:after="0"/>
              <w:rPr>
                <w:sz w:val="17"/>
                <w:szCs w:val="17"/>
                <w:color w:val="auto"/>
              </w:rPr>
            </w:pPr>
          </w:p>
        </w:tc>
        <w:tc>
          <w:tcPr>
            <w:tcW w:w="24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9,845,854</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14,415,551</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(8,316,909</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FF0FC"/>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13,185,875</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29,130,371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-1344930</wp:posOffset>
            </wp:positionV>
            <wp:extent cx="77470" cy="1111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7470" cy="11112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-1344930</wp:posOffset>
            </wp:positionV>
            <wp:extent cx="76835" cy="1111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-1344930</wp:posOffset>
            </wp:positionV>
            <wp:extent cx="68580" cy="11112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-1344930</wp:posOffset>
            </wp:positionV>
            <wp:extent cx="68580" cy="1111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-1344930</wp:posOffset>
            </wp:positionV>
            <wp:extent cx="68580" cy="11112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-1344930</wp:posOffset>
            </wp:positionV>
            <wp:extent cx="68580" cy="1111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-916940</wp:posOffset>
            </wp:positionV>
            <wp:extent cx="77470" cy="11176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470" cy="11176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-916940</wp:posOffset>
            </wp:positionV>
            <wp:extent cx="76835" cy="1117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6835" cy="11176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-916940</wp:posOffset>
            </wp:positionV>
            <wp:extent cx="68580" cy="1117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-916940</wp:posOffset>
            </wp:positionV>
            <wp:extent cx="68580" cy="11176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-916940</wp:posOffset>
            </wp:positionV>
            <wp:extent cx="68580" cy="1117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1117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11176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-248285</wp:posOffset>
            </wp:positionV>
            <wp:extent cx="77470" cy="1200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-248285</wp:posOffset>
            </wp:positionV>
            <wp:extent cx="76835" cy="1200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-248285</wp:posOffset>
            </wp:positionV>
            <wp:extent cx="68580" cy="1200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-248285</wp:posOffset>
            </wp:positionV>
            <wp:extent cx="68580" cy="1200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-248285</wp:posOffset>
            </wp:positionV>
            <wp:extent cx="68580" cy="1200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-248285</wp:posOffset>
            </wp:positionV>
            <wp:extent cx="68580" cy="1200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-24765</wp:posOffset>
            </wp:positionV>
            <wp:extent cx="7747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-7620</wp:posOffset>
            </wp:positionV>
            <wp:extent cx="774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7683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68" w:lineRule="exact"/>
        <w:rPr>
          <w:sz w:val="20"/>
          <w:szCs w:val="20"/>
          <w:color w:val="auto"/>
        </w:rPr>
      </w:pPr>
    </w:p>
    <w:p>
      <w:pPr>
        <w:ind w:left="760" w:hanging="374"/>
        <w:spacing w:after="0" w:line="228" w:lineRule="auto"/>
        <w:tabs>
          <w:tab w:leader="none" w:pos="76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additions includes increases in the basis of investments resulting from new portfolio investments, PIK interest, accretion of OID, the exchange of one or more existing investments for one or more new investments and the movement of an existing portfolio company into this category from a different category.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ind w:left="4900" w:right="4120" w:hanging="780"/>
        <w:spacing w:after="0" w:line="301" w:lineRule="auto"/>
        <w:tabs>
          <w:tab w:leader="none" w:pos="4212" w:val="left"/>
        </w:tabs>
        <w:numPr>
          <w:ilvl w:val="1"/>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spacing w:after="0" w:line="130" w:lineRule="exact"/>
        <w:rPr>
          <w:rFonts w:ascii="Times New Roman" w:cs="Times New Roman" w:eastAsia="Times New Roman" w:hAnsi="Times New Roman"/>
          <w:sz w:val="17"/>
          <w:szCs w:val="17"/>
          <w:b w:val="1"/>
          <w:bCs w:val="1"/>
          <w:color w:val="auto"/>
        </w:rPr>
      </w:pPr>
    </w:p>
    <w:p>
      <w:pPr>
        <w:ind w:left="760" w:hanging="374"/>
        <w:spacing w:after="0" w:line="230" w:lineRule="auto"/>
        <w:tabs>
          <w:tab w:leader="none" w:pos="7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81" w:lineRule="exact"/>
        <w:rPr>
          <w:rFonts w:ascii="Times New Roman" w:cs="Times New Roman" w:eastAsia="Times New Roman" w:hAnsi="Times New Roman"/>
          <w:sz w:val="19"/>
          <w:szCs w:val="19"/>
          <w:color w:val="auto"/>
          <w:vertAlign w:val="superscript"/>
        </w:rPr>
      </w:pPr>
    </w:p>
    <w:p>
      <w:pPr>
        <w:ind w:left="760" w:hanging="374"/>
        <w:spacing w:after="0" w:line="221" w:lineRule="auto"/>
        <w:tabs>
          <w:tab w:leader="none" w:pos="7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investments in the portfolio company, which as of December 31, 2021 represented 4.81% of the Company’s net assets, are restricted as to resale and were valued at fair value as determined in good faith by the Company’s Board of Directors.</w:t>
      </w:r>
    </w:p>
    <w:p>
      <w:pPr>
        <w:spacing w:after="0" w:line="52"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0"/>
          <w:numId w:val="1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For the year ended December 31, 2021, the Company earned no investment income from control investments, except for $117,340 from Pivot3 Holdings, Inc.</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notes to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ind w:left="4900" w:right="4120" w:hanging="780"/>
        <w:spacing w:after="0" w:line="301" w:lineRule="auto"/>
        <w:tabs>
          <w:tab w:leader="none" w:pos="4212"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Schedule of Investments – (continued) December 31, 2021</w:t>
      </w:r>
    </w:p>
    <w:p>
      <w:pPr>
        <w:spacing w:after="0" w:line="13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tables show the fair value of our portfolio of investments (excluding any U.S. Treasury Bills held) by geographic region and industry as of December 31,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3"/>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58"/>
        </w:trPr>
        <w:tc>
          <w:tcPr>
            <w:tcW w:w="7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center"/>
              <w:ind w:right="520"/>
              <w:spacing w:after="0" w:line="158"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680" w:type="dxa"/>
            <w:vAlign w:val="bottom"/>
          </w:tcPr>
          <w:p>
            <w:pPr>
              <w:jc w:val="center"/>
              <w:ind w:left="241"/>
              <w:spacing w:after="0" w:line="15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7"/>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8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0"/>
        </w:trPr>
        <w:tc>
          <w:tcPr>
            <w:tcW w:w="71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Western United States</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tcBorders>
              <w:top w:val="single" w:sz="8" w:color="auto"/>
            </w:tcBorders>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226,578,920</w:t>
            </w:r>
          </w:p>
        </w:tc>
        <w:tc>
          <w:tcPr>
            <w:tcW w:w="24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w:t>
            </w:r>
          </w:p>
        </w:tc>
        <w:tc>
          <w:tcPr>
            <w:tcW w:w="300" w:type="dxa"/>
            <w:vAlign w:val="bottom"/>
            <w:tcBorders>
              <w:top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Northeastern United States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170,983,403</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Central United States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75,155,555</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Southeastern United States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66,823,245</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Northwestern United States</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41,659,696</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35,687,298</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34,080,598</w:t>
            </w:r>
          </w:p>
        </w:tc>
        <w:tc>
          <w:tcPr>
            <w:tcW w:w="24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Midwestern United States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20,098,640</w:t>
            </w:r>
          </w:p>
        </w:tc>
        <w:tc>
          <w:tcPr>
            <w:tcW w:w="2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30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13,447,419</w:t>
            </w:r>
          </w:p>
        </w:tc>
        <w:tc>
          <w:tcPr>
            <w:tcW w:w="2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r>
      <w:tr>
        <w:trPr>
          <w:trHeight w:val="209"/>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684,514,774</w:t>
            </w:r>
          </w:p>
        </w:tc>
        <w:tc>
          <w:tcPr>
            <w:tcW w:w="24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575"/>
        </w:trPr>
        <w:tc>
          <w:tcPr>
            <w:tcW w:w="7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jc w:val="right"/>
              <w:ind w:right="100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58"/>
        </w:trPr>
        <w:tc>
          <w:tcPr>
            <w:tcW w:w="7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gridSpan w:val="2"/>
          </w:tcPr>
          <w:p>
            <w:pPr>
              <w:jc w:val="center"/>
              <w:ind w:right="480"/>
              <w:spacing w:after="0" w:line="158"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1680" w:type="dxa"/>
            <w:vAlign w:val="bottom"/>
          </w:tcPr>
          <w:p>
            <w:pPr>
              <w:jc w:val="center"/>
              <w:ind w:left="241"/>
              <w:spacing w:after="0" w:line="158"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7"/>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68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69"/>
        </w:trPr>
        <w:tc>
          <w:tcPr>
            <w:tcW w:w="714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Application Software</w:t>
            </w:r>
          </w:p>
        </w:tc>
        <w:tc>
          <w:tcPr>
            <w:tcW w:w="16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182,660,314</w:t>
            </w:r>
          </w:p>
        </w:tc>
        <w:tc>
          <w:tcPr>
            <w:tcW w:w="240" w:type="dxa"/>
            <w:vAlign w:val="bottom"/>
            <w:shd w:val="clear" w:color="auto" w:fill="CFF0FC"/>
          </w:tcPr>
          <w:p>
            <w:pPr>
              <w:spacing w:after="0"/>
              <w:rPr>
                <w:sz w:val="14"/>
                <w:szCs w:val="14"/>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300" w:type="dxa"/>
            <w:vAlign w:val="bottom"/>
            <w:tcBorders>
              <w:top w:val="single" w:sz="8" w:color="auto"/>
            </w:tcBorders>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Healthcare Technology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146,756,439</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7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Internet Retail</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109,560,343</w:t>
            </w:r>
          </w:p>
        </w:tc>
        <w:tc>
          <w:tcPr>
            <w:tcW w:w="24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6"/>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Internet Software &amp; Services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76,238,876</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7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Human Resource &amp; Employment Services</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72,869,269</w:t>
            </w:r>
          </w:p>
        </w:tc>
        <w:tc>
          <w:tcPr>
            <w:tcW w:w="24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Data Processing &amp; Outsourced Services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38,925,165</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7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Education Services</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20,100,640</w:t>
            </w:r>
          </w:p>
        </w:tc>
        <w:tc>
          <w:tcPr>
            <w:tcW w:w="24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Electronic Equipment &amp; Instruments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18,755,837</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7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System Software</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13,447,419</w:t>
            </w:r>
          </w:p>
        </w:tc>
        <w:tc>
          <w:tcPr>
            <w:tcW w:w="24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Technology Hardware, Storage &amp; Peripherals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2,537,654</w:t>
            </w: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73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Specialized Consumer Services</w:t>
            </w:r>
          </w:p>
        </w:tc>
        <w:tc>
          <w:tcPr>
            <w:tcW w:w="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2,477,351</w:t>
            </w:r>
          </w:p>
        </w:tc>
        <w:tc>
          <w:tcPr>
            <w:tcW w:w="240" w:type="dxa"/>
            <w:vAlign w:val="bottom"/>
            <w:shd w:val="clear" w:color="auto" w:fill="CFF0FC"/>
          </w:tcPr>
          <w:p>
            <w:pPr>
              <w:spacing w:after="0"/>
              <w:rPr>
                <w:sz w:val="15"/>
                <w:szCs w:val="15"/>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0.41</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Computer &amp; Electronics Retail</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185,467</w:t>
            </w:r>
          </w:p>
        </w:tc>
        <w:tc>
          <w:tcPr>
            <w:tcW w:w="24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r>
      <w:tr>
        <w:trPr>
          <w:trHeight w:val="209"/>
        </w:trPr>
        <w:tc>
          <w:tcPr>
            <w:tcW w:w="7300" w:type="dxa"/>
            <w:vAlign w:val="bottom"/>
            <w:tcBorders>
              <w:bottom w:val="single" w:sz="8" w:color="CFF0FC"/>
            </w:tcBorders>
            <w:gridSpan w:val="3"/>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684,514,774</w:t>
            </w:r>
          </w:p>
        </w:tc>
        <w:tc>
          <w:tcPr>
            <w:tcW w:w="24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112.92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line="155" w:lineRule="exact"/>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-2271395</wp:posOffset>
            </wp:positionV>
            <wp:extent cx="77470" cy="171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-2271395</wp:posOffset>
            </wp:positionV>
            <wp:extent cx="68580" cy="1714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768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768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-25400</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-8255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The Company was formed primarily to lend to, and selectively invest in, high growth-potential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8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Beginning October 15, 2019 and ending September 29, 2021, the Company had completed multiple closings under its second private offering (the “Second Private Offering”) and had accepted aggregate capital commitments of $181.7 million. In connection with the Second Private Offering the Company has issued 9,617,379 shares of its common stock for a total purchase price of $144.3 million. Concurrent with the IPO (as defined below), all undrawn commitments under the Second Private Offering were cancelled.</w:t>
      </w:r>
    </w:p>
    <w:p>
      <w:pPr>
        <w:spacing w:after="0" w:line="17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On March 31, 2020 and March 24, 2021, the Company had issued in aggregate 22,564 shares as an additional direct investment by Runway Growth Holdings LLC, an affiliate of RGC, at a per-share price of $15.00 for total proceeds of $0.3 million in a private offering pursuant to an exemption from registration under Regulation D of the Securities Act.</w:t>
      </w:r>
    </w:p>
    <w:p>
      <w:pPr>
        <w:spacing w:after="0" w:line="16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October 25, 2021, the Company closed its initial public offering ("IPO"), issuing 6,850,000 shares of its common stock at a public offering price of $14.60 per share. Net of underwriting fees and offering costs, the Company received net cash proceeds of $93.0 million. The Company’s common stock began trading on the Nasdaq Global Select Market under the symbol “RWAY” on October 21, 2021.</w:t>
      </w:r>
    </w:p>
    <w:p>
      <w:pPr>
        <w:spacing w:after="0" w:line="16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Since inception, the Company has issued an additional 6,647,847 shares as part of the dividend reinvestment plan. For more information, see “Note 6 – Net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jc w:val="both"/>
        <w:ind w:firstLine="749"/>
        <w:spacing w:after="0" w:line="214" w:lineRule="exact"/>
        <w:rPr>
          <w:sz w:val="20"/>
          <w:szCs w:val="20"/>
          <w:color w:val="auto"/>
        </w:rPr>
      </w:pPr>
      <w:r>
        <w:rPr>
          <w:rFonts w:ascii="Times New Roman" w:cs="Times New Roman" w:eastAsia="Times New Roman" w:hAnsi="Times New Roman"/>
          <w:sz w:val="18"/>
          <w:szCs w:val="18"/>
          <w:color w:val="auto"/>
        </w:rPr>
        <w:t>The accompanying interim unaudited financial statements of the Company are prepared on the accrual basis of accounting in conformity with U.S. Generally Accepted Accounting Principles (“U.S. GAAP”) and pursuant to the requirements for reporting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2022, including the impact of the coronavirus (“COVID-19”) pandemic thereon. The interim unaudited financial statements and notes hereto should be read in conjunction with the audited financial statements and notes thereto contained in the Company’s annual report on Form 10-K, as modified by the annual report on Form 10-K/A for the year ended December 31, 2021, filed with the SEC on March 2, 2022 and March 14, 2022, respectively.</w:t>
      </w:r>
    </w:p>
    <w:p>
      <w:pPr>
        <w:spacing w:after="0" w:line="16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Certain items in the September 30, 2021 financial statements have been reclassified to conform to the September 30, 2022 presentation with no net effect on the net increase in net assets resulting from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Cash represents deposits held at financial institutions, while cash equivalents are highly liquid investments held at financial institutions with an original maturity of three months or less at the date of acquisition. From time to time,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Debt Costs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Company records costs related to the issuance of debt obligations as deferred debt costs. These costs are deferred and amortized using the straight-line method over the stated maturity life of the obligations. Deferred debt costs associated with the Company's Credit Facility and unsecured notes are netted with the outstanding principal balance on the Company's Statement of Assets and Liabilities, unless there are no outstanding borrowings, in which case the deferred debt costs are presented as an asset. For more information, see “Note 10 –Borrowings.”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Repurchase Agreement</w:t>
      </w:r>
    </w:p>
    <w:p>
      <w:pPr>
        <w:spacing w:after="0" w:line="22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The Company has, and may in the future, enter into reverse repurchase agreements, under the terms of a Master Repurchase Agreement (the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reverse repurchase agreement of one-day duration and 102 percent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20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Company had no outstanding reverse repurchase agreements at September 30, 2022. Pursuant to a reverse repurchase agreement with Goldman Sachs which expired on January 6, 2022, the Company purchased a U.S. Treasury Bill, due January 11, 2022. The value of the related collateral that the Company received for this agreement was $45.0 million at December 31, 2021. At December 31, 2021, the repurchase liability was $44,774,963, which is reflected as “Reverse repurchase agreement” on the Statement of Assets and Liabilities.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 and Related Investment Income</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the prior period in fair value of investments that are measured at fair value as a component of net change in unrealized appreciation (depreciation) on investments on the Statements of Operations.</w:t>
      </w:r>
    </w:p>
    <w:p>
      <w:pPr>
        <w:spacing w:after="0" w:line="148"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Dividends are recorded on the applicable ex-dividend date. Interest income, if any, adjusted for amortization of market premium and accretion of market discount, is recorded on an accrual basis to the extent that the Company expects to collect such amounts. Original issue discount (“OID”),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unamortized loan origination fees, end-of-term payments, and unamortized market discounts are recorded as interest income and any prepayment penalties are recorded as fee income.</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 For the three and nine months ended September 30, 2022, approximately 4.4% and 8.8%, respectively, of the Company’s total investment income was attributable to non-cash PIK interest. For the three and nine months ended September 30, 2021, approximately 2.4% and 4.5%, respectively, of the Company’s total investment income was attributable to non-cash PIK interest.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Non-Accrual of Investments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Debt investments are placed on non-accrual status when principal, interest, and other obligations become materially past due or when there is reasonable doubt that principal, interest, and other obligations will be collected in full. At the point of non-accrual, the Company will generally cease recognizing interest income on the debt investment until all principal and interest due have been paid or the Company believes the borrower has demonstrated the ability to repay its current and future contractual obligations. Additionally, any OID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has not written off any accrued and uncollected PIK interest. As of September 30, 2022, the Company had one loan to Pivot3 Holdings, Inc., representing an aggregate principal funded of $19,172,353 at a fair value of $4,467,041, on non-accrual status, which represents 0.5% of the Company’s total investment portfolio. The non-accrual loan as of September 30, 2022 had total interest of $3,132,309 that would have been accrued into income. Had the loan not been on non-accrual status, $2,880,626 would be payable, and $251,683 would be OID. As of December 31, 2021, the Company had six loans to Mojix, Inc. and one loan to Pivot3 Holdings, Inc., representing an aggregate principal funded of $30,278,707 at a fair market value of $28,259,976, on non-accrual status, which represents 3.9% of the Company’s total investment portfolio. The non-accrual loans as of December 31, 2021 had total interest of $4,760,387 that would have been accrued into income. Had the loans not been on non-accrual status, $4,064,620 would be payable, and $695,767 would be OID.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1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The Company measures the value of its investments at fair value in accordance with ASC </w:t>
      </w:r>
      <w:r>
        <w:rPr>
          <w:rFonts w:ascii="Times New Roman" w:cs="Times New Roman" w:eastAsia="Times New Roman" w:hAnsi="Times New Roman"/>
          <w:sz w:val="18"/>
          <w:szCs w:val="18"/>
          <w:i w:val="1"/>
          <w:iCs w:val="1"/>
          <w:color w:val="auto"/>
        </w:rPr>
        <w:t>Topic 820, Fair Value Measurements and Disclosure</w:t>
      </w:r>
      <w:r>
        <w:rPr>
          <w:rFonts w:ascii="Times New Roman" w:cs="Times New Roman" w:eastAsia="Times New Roman" w:hAnsi="Times New Roman"/>
          <w:sz w:val="18"/>
          <w:szCs w:val="18"/>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6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valuation agents, is responsible for determining, in good faith, the fair value of such investments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91" w:lineRule="exact"/>
        <w:rPr>
          <w:sz w:val="20"/>
          <w:szCs w:val="20"/>
          <w:color w:val="auto"/>
        </w:rPr>
      </w:pPr>
    </w:p>
    <w:p>
      <w:pPr>
        <w:ind w:left="680" w:hanging="372"/>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quoted prices in active markets for identical assets or liabilities that are accessible at the measurement date.</w:t>
      </w:r>
    </w:p>
    <w:p>
      <w:pPr>
        <w:spacing w:after="0" w:line="171" w:lineRule="exact"/>
        <w:rPr>
          <w:rFonts w:ascii="Times New Roman" w:cs="Times New Roman" w:eastAsia="Times New Roman" w:hAnsi="Times New Roman"/>
          <w:sz w:val="18"/>
          <w:szCs w:val="18"/>
          <w:color w:val="auto"/>
        </w:rPr>
      </w:pPr>
    </w:p>
    <w:p>
      <w:pPr>
        <w:ind w:left="680" w:hanging="372"/>
        <w:spacing w:after="0" w:line="282"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48" w:lineRule="exact"/>
        <w:rPr>
          <w:rFonts w:ascii="Times New Roman" w:cs="Times New Roman" w:eastAsia="Times New Roman" w:hAnsi="Times New Roman"/>
          <w:sz w:val="18"/>
          <w:szCs w:val="18"/>
          <w:color w:val="auto"/>
        </w:rPr>
      </w:pPr>
    </w:p>
    <w:p>
      <w:pPr>
        <w:jc w:val="both"/>
        <w:ind w:left="680" w:hanging="372"/>
        <w:spacing w:after="0" w:line="250" w:lineRule="auto"/>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the Company undertakes a multi-step valuation process each quarter, as described below:</w:t>
      </w:r>
    </w:p>
    <w:p>
      <w:pPr>
        <w:spacing w:after="0" w:line="135" w:lineRule="exact"/>
        <w:rPr>
          <w:sz w:val="20"/>
          <w:szCs w:val="20"/>
          <w:color w:val="auto"/>
        </w:rPr>
      </w:pPr>
    </w:p>
    <w:p>
      <w:pPr>
        <w:ind w:left="680" w:hanging="372"/>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valuation process begins with each portfolio company investment being initially valued by RGC’s investment professionals that are responsible for the portfolio investment;</w:t>
      </w:r>
    </w:p>
    <w:p>
      <w:pPr>
        <w:spacing w:after="0" w:line="135"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RGC’s senior investment team;</w:t>
      </w:r>
    </w:p>
    <w:p>
      <w:pPr>
        <w:spacing w:after="0" w:line="184" w:lineRule="exact"/>
        <w:rPr>
          <w:rFonts w:ascii="Times New Roman" w:cs="Times New Roman" w:eastAsia="Times New Roman" w:hAnsi="Times New Roman"/>
          <w:sz w:val="18"/>
          <w:szCs w:val="18"/>
          <w:color w:val="auto"/>
        </w:rPr>
      </w:pPr>
    </w:p>
    <w:p>
      <w:pPr>
        <w:jc w:val="both"/>
        <w:ind w:left="680" w:hanging="372"/>
        <w:spacing w:after="0" w:line="250"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49" w:lineRule="exact"/>
        <w:rPr>
          <w:rFonts w:ascii="Times New Roman" w:cs="Times New Roman" w:eastAsia="Times New Roman" w:hAnsi="Times New Roman"/>
          <w:sz w:val="18"/>
          <w:szCs w:val="18"/>
          <w:color w:val="auto"/>
        </w:rPr>
      </w:pPr>
    </w:p>
    <w:p>
      <w:pPr>
        <w:ind w:left="680" w:hanging="372"/>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then reviews these preliminary valuations from RGC and the applicable independent valuation firm, if any, and makes a recommendation to the Company’s Board of Directors regarding such valuations;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680" w:right="20" w:hanging="372"/>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4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231F20"/>
        </w:rPr>
        <w:t>The Company’s investments are primarily loans made to and equity and warrants of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9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Rule 2a-5 under the 1940 Act was adopted by the SEC in December 2020 and establishes a framework for determining fair value in good faith for purposes of the 1940 Act. The Company complied with the mandatory provisions of Rule 2a-5 by the September 2022 compliance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Techniques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Debt Investments: </w:t>
      </w:r>
      <w:r>
        <w:rPr>
          <w:rFonts w:ascii="Times New Roman" w:cs="Times New Roman" w:eastAsia="Times New Roman" w:hAnsi="Times New Roman"/>
          <w:sz w:val="18"/>
          <w:szCs w:val="18"/>
          <w:color w:val="auto"/>
        </w:rPr>
        <w:t>To determine the fair value of the Company’s debt investments, the Company compares the cost basis of the debt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includes original issue discount, if any,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8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8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9"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Fair value of warrants is primarily determined using a Black Scholes option-pricing model. Privately held warrants and equity-related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are valued based on an analysis of various factors including, but not limited to, the following:</w:t>
      </w:r>
    </w:p>
    <w:p>
      <w:pPr>
        <w:spacing w:after="0" w:line="134" w:lineRule="exact"/>
        <w:rPr>
          <w:sz w:val="20"/>
          <w:szCs w:val="20"/>
          <w:color w:val="auto"/>
        </w:rPr>
      </w:pPr>
    </w:p>
    <w:p>
      <w:pPr>
        <w:jc w:val="both"/>
        <w:ind w:left="680" w:hanging="372"/>
        <w:spacing w:after="0" w:line="243"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45" w:lineRule="exact"/>
        <w:rPr>
          <w:rFonts w:ascii="Times New Roman" w:cs="Times New Roman" w:eastAsia="Times New Roman" w:hAnsi="Times New Roman"/>
          <w:sz w:val="18"/>
          <w:szCs w:val="18"/>
          <w:color w:val="auto"/>
        </w:rPr>
      </w:pPr>
    </w:p>
    <w:p>
      <w:pPr>
        <w:jc w:val="both"/>
        <w:ind w:left="680" w:hanging="372"/>
        <w:spacing w:after="0" w:line="258" w:lineRule="auto"/>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680"/>
        <w:spacing w:after="0" w:line="282" w:lineRule="auto"/>
        <w:rPr>
          <w:sz w:val="20"/>
          <w:szCs w:val="20"/>
          <w:color w:val="auto"/>
        </w:rPr>
      </w:pPr>
      <w:r>
        <w:rPr>
          <w:rFonts w:ascii="Times New Roman" w:cs="Times New Roman" w:eastAsia="Times New Roman" w:hAnsi="Times New Roman"/>
          <w:sz w:val="18"/>
          <w:szCs w:val="18"/>
          <w:color w:val="auto"/>
        </w:rPr>
        <w:t>fair value measurement of any of the Company’s portfolio investments may occur regardless of whether there is a significant increase or decrease in this unobservable input.</w:t>
      </w:r>
    </w:p>
    <w:p>
      <w:pPr>
        <w:spacing w:after="0" w:line="108" w:lineRule="exact"/>
        <w:rPr>
          <w:sz w:val="20"/>
          <w:szCs w:val="20"/>
          <w:color w:val="auto"/>
        </w:rPr>
      </w:pPr>
    </w:p>
    <w:p>
      <w:pPr>
        <w:jc w:val="both"/>
        <w:ind w:left="680" w:hanging="372"/>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50" w:lineRule="exact"/>
        <w:rPr>
          <w:rFonts w:ascii="Times New Roman" w:cs="Times New Roman" w:eastAsia="Times New Roman" w:hAnsi="Times New Roman"/>
          <w:sz w:val="18"/>
          <w:szCs w:val="18"/>
          <w:color w:val="auto"/>
        </w:rPr>
      </w:pPr>
    </w:p>
    <w:p>
      <w:pPr>
        <w:jc w:val="both"/>
        <w:ind w:left="680" w:hanging="372"/>
        <w:spacing w:after="0" w:line="250"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36" w:lineRule="exact"/>
        <w:rPr>
          <w:rFonts w:ascii="Times New Roman" w:cs="Times New Roman" w:eastAsia="Times New Roman" w:hAnsi="Times New Roman"/>
          <w:sz w:val="18"/>
          <w:szCs w:val="18"/>
          <w:color w:val="auto"/>
        </w:rPr>
      </w:pPr>
    </w:p>
    <w:p>
      <w:pPr>
        <w:jc w:val="both"/>
        <w:ind w:left="680" w:hanging="372"/>
        <w:spacing w:after="0" w:line="247"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8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8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fair value of an equity investment in a privately held company is initially the face value of the amount invested.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including cash and accrued liabilities, approximate fair value due to their short-term nature. Fair value of the Company’s Credit Facility is estimated by discounting remaining payments using applicable market rates or market quotes for similar instruments at the measurement date, if applicable. As of both September 30, 2022 and December 31, 2021, the Company believes that the carrying value of its Credit Facility approximates fair value. The 2026 Notes are carried at cost and with their longer maturity dates, fair value is estimated by discounting remaining payments using current market rates for similar instruments and considering such factors as the legal maturity date and the ability of market participants to prepay the notes. As of September 30, 2022, the Company believes that the carrying value of the 2026 Notes and 2027 Notes approximates fair value.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Classification</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The Company is a non-diversified company within the meaning of the 1940 Act. The Company classifies its investments by level of control. As defined in the 1940 Act, control investments are those where the investor has the ability or power to exercise a controlling influence over the management or policies of a company. Control is generally deemed to exist when a company or individual possesses, or has the right to acquire within 60 days or less, beneficial ownership of more than 25.0% of the voting securities of a company or maintains greater than 50% of the board representation. Affiliated investments and affiliated companies are defined by a lesser degree of influence and are deemed to exist through the possession outright, or via the right to acquire within 60 days or less, beneficial ownership between 5% and 25% (inclusive) of the voting securities and does not have rights to maintain greater than 50% of the board representation.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The Company elected to be treated as a RIC under Subchapter M of the Code beginning with its taxable year ended December 31, 2016, and has qualified and intends to continue to qualify for the tax treatment applicable to 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18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The Company accounts for income taxes in conformity with ASC Topic 740, Income Taxes ("ASC 740"). ASC 740 provides guidelines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September 30, 2022 or December 31, 2021. Although we file federal and state tax returns, our major tax jurisdiction is federal. The previous three tax year-ends and the interim tax period since then remain subject to examination by the Internal Revenue Service.</w:t>
      </w:r>
    </w:p>
    <w:p>
      <w:pPr>
        <w:spacing w:after="0" w:line="20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If the Company does not timely distribute (or is not deemed to have distributed) each calendar year the sum of (1) at least 98% of its net ordinary income (not taking into account any capital gains or losses) for each calendar year, (2) at least 98.2% of the amount by which the Company’s capital gains exceed its capital losses (adjusted for certain ordinary losses) for a one-year period generally ending on October 31 in that calendar year (unless the Company makes an election to use its taxable year) and (3) any net ordinary income and net capital gain recognized in preceding years on which the Company paid no U.S. federal income tax (the “Minimum Distribution Amount”), the Company will generally be required to pay a nondeductible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8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 Share Information</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Basic and diluted earnings per common share is calculated using the weighted-average number of common shares outstanding for the period presented. For the three and nine months ended September 30, 2022 and 2021, basic and diluted earnings per share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were the same because there were no potentially dilutive securities outstanding. Per share data is based on the weighted-average shares outstanding.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The Company generally intends to distribute, out of assets legally available for distribution, substantially all of its available earnings, on a quarterly basis, subject to the discretion of the Board of Directors. For the three and nine months ended September 30, 2022, the Company declared and paid dividends in the amount of $13,450,710 and $37,005,717, respectively, of which $12,783,588 and $26,708,902, respectively, was distributed in cash and the remainder distributed in shares to stockholders, purchased in the open market pursuant to the Company’s dividend reinvestment plan. For the three and nine months ended September 30, 2021, the Company declared dividends in the amount of $11,114,754 and $34,597,684, respectively, of which $2,713,539 and $7,602,878, respectively, was distributable in cash and the remainder distributable in shares to organization and offering costs stockholders pursuant to the Company’s dividend reinvestment plan.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Offering Costs</w:t>
      </w:r>
    </w:p>
    <w:p>
      <w:pPr>
        <w:spacing w:after="0" w:line="22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investment advisory agreement in place between the Company and RGC at the time of the Initial Private Offering,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Offering costs related to the Second Private Offering were accumulated and charged to additional paid in capital at the time of closing beginning in 2019. These offering costs related to the Second Private Offering were subject to a cap of $600,000, excluding placement agent fees which had no cap, of which the Company would bear the cost. At the completion of the Second Private Offering, the Company had accumulated and recorded $651,991 of offering costs and $186,198 in placement agent fees related to the Second Private Offering. Under the terms of the Second Private Offering, offering costs in excess of $600,000, excluding placement agent fees, were reimbursed by RGC.</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Offering costs related to the IPO were accumulated and charged to additional paid in capital at the time of closing in October 2021. We had accumulated and recorded $6,970,599 of offering costs related to the Company’s IPO. The offering costs were fully born by the Company and include underwriting fees, legal fees, and other costs pertaining to the preparation of the Company’s offering materials as well as travel-related expenses.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In March 2020, the FASB issued ASU No. 2020-04, “Reference Rate Reform (Topic 848),” which provides optional expedients and exceptions for applying U.S. GAAP to contracts, hedging 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In January 2021, the FASB issued ASU No. 2021-01, “Reference Rate Reform (Topic 848),” which expanded the scope of Topic 848 to include derivative instruments impacted by discounting transition. ASU 2020-04 and ASU 2021-01 are effective for all entities through December 31, 2024. ASU No. 2021-01 provides increased clarity as the Company continues to evaluate the transition of reference rates and is currently evaluating the impact of adopting ASU No. 2020-04 and 2021-01 on the financial statements. The Company did not utilize the optional expedients and exceptions provided in this guidance during the three and nine months ended September 30, 2022 and 2021.</w:t>
      </w:r>
    </w:p>
    <w:p>
      <w:pPr>
        <w:spacing w:after="0" w:line="20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In June 2022, the FASB issued Accounting Standards Update No. 2022-03, Fair Value Measurement of Equity Securities Subject to Contractual Sale Restrictions (“ASU 2022-03”). ASU 2022-03 clarifies the guidance when measuring the fair value of an equity security subject to contractual restrictions that prohibit the sale of the security. The amendments in ASU 2022-03 are effective for public companies for fiscal years beginning after December 15, 2023, and interim periods within those fiscal years. The Company is currently assessing the impact of ASU 2022-03 on its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Commitments and Contingencies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At September 30, 2022, the Company had $329,284,615 in unfunded loan commitments to provide debt financing to its portfolio companies. Unfunded commitments may be subject to portfolio companies achieving certain performance milestones to access unfunded availability. The balance of unfunded commitments to extend financing as of September 30, 2022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Pr>
          <w:p>
            <w:pPr>
              <w:spacing w:after="0"/>
              <w:rPr>
                <w:sz w:val="16"/>
                <w:szCs w:val="16"/>
                <w:color w:val="auto"/>
              </w:rPr>
            </w:pPr>
          </w:p>
        </w:tc>
        <w:tc>
          <w:tcPr>
            <w:tcW w:w="34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r>
      <w:tr>
        <w:trPr>
          <w:trHeight w:val="16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Allurion Technologies, Inc.</w:t>
            </w:r>
          </w:p>
        </w:tc>
        <w:tc>
          <w:tcPr>
            <w:tcW w:w="200" w:type="dxa"/>
            <w:vAlign w:val="bottom"/>
            <w:shd w:val="clear" w:color="auto" w:fill="CFF0FC"/>
          </w:tcPr>
          <w:p>
            <w:pPr>
              <w:spacing w:after="0"/>
              <w:rPr>
                <w:sz w:val="14"/>
                <w:szCs w:val="14"/>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00" w:type="dxa"/>
            <w:vAlign w:val="bottom"/>
            <w:shd w:val="clear" w:color="auto" w:fill="CFF0FC"/>
          </w:tcPr>
          <w:p>
            <w:pPr>
              <w:spacing w:after="0"/>
              <w:rPr>
                <w:sz w:val="14"/>
                <w:szCs w:val="14"/>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CloudPay,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Dtex Systems,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EBR Systems,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INRIX,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Intellisite Holdings, Inc. (dba Epic IO Technologies,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Interactions Corporation</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Kin Insurance,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Moximed,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Mustang Bio,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Revelle Aesthetics,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12,500,000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Route 92 Medical,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SetPoint Medical Corporation</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ShareThis,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Snagajob.com,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6,784,615</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Synack,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TRACON Pharmaceuticals,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VERO Biotech LLC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5"/>
                <w:szCs w:val="15"/>
                <w:color w:val="auto"/>
              </w:rPr>
            </w:pPr>
          </w:p>
        </w:tc>
      </w:tr>
      <w:tr>
        <w:trPr>
          <w:trHeight w:val="209"/>
        </w:trPr>
        <w:tc>
          <w:tcPr>
            <w:tcW w:w="55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unused commitments to extend financing</w:t>
            </w:r>
          </w:p>
        </w:tc>
        <w:tc>
          <w:tcPr>
            <w:tcW w:w="200" w:type="dxa"/>
            <w:vAlign w:val="bottom"/>
            <w:tcBorders>
              <w:bottom w:val="single" w:sz="8" w:color="CFF0FC"/>
            </w:tcBorders>
            <w:shd w:val="clear" w:color="auto" w:fill="CFF0FC"/>
          </w:tcPr>
          <w:p>
            <w:pPr>
              <w:spacing w:after="0"/>
              <w:rPr>
                <w:sz w:val="18"/>
                <w:szCs w:val="18"/>
                <w:color w:val="auto"/>
              </w:rPr>
            </w:pPr>
          </w:p>
        </w:tc>
        <w:tc>
          <w:tcPr>
            <w:tcW w:w="34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329,284,615</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At December 31, 2021, the Company had $186,984,615 in unfunded loan commitments to provide debt financing to its portfolio companies. Unfunded commitments may be subject to portfolio companies achieving certain performance milestones to access unfunded availability. The balance of unfunded commitments to extend financing as of December 31, 2021 was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Pr>
          <w:p>
            <w:pPr>
              <w:spacing w:after="0"/>
              <w:rPr>
                <w:sz w:val="16"/>
                <w:szCs w:val="16"/>
                <w:color w:val="auto"/>
              </w:rPr>
            </w:pPr>
          </w:p>
        </w:tc>
        <w:tc>
          <w:tcPr>
            <w:tcW w:w="316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16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Allurion Technologies, Inc.</w:t>
            </w:r>
          </w:p>
        </w:tc>
        <w:tc>
          <w:tcPr>
            <w:tcW w:w="200" w:type="dxa"/>
            <w:vAlign w:val="bottom"/>
            <w:shd w:val="clear" w:color="auto" w:fill="CFF0FC"/>
          </w:tcPr>
          <w:p>
            <w:pPr>
              <w:spacing w:after="0"/>
              <w:rPr>
                <w:sz w:val="14"/>
                <w:szCs w:val="14"/>
                <w:color w:val="auto"/>
              </w:rPr>
            </w:pP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00" w:type="dxa"/>
            <w:vAlign w:val="bottom"/>
            <w:shd w:val="clear" w:color="auto" w:fill="CFF0FC"/>
          </w:tcPr>
          <w:p>
            <w:pPr>
              <w:spacing w:after="0"/>
              <w:rPr>
                <w:sz w:val="14"/>
                <w:szCs w:val="14"/>
                <w:color w:val="auto"/>
              </w:rPr>
            </w:pPr>
          </w:p>
        </w:tc>
      </w:tr>
      <w:tr>
        <w:trPr>
          <w:trHeight w:val="17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CloudPay, Inc.</w:t>
            </w:r>
          </w:p>
        </w:tc>
        <w:tc>
          <w:tcPr>
            <w:tcW w:w="200" w:type="dxa"/>
            <w:vAlign w:val="bottom"/>
          </w:tcPr>
          <w:p>
            <w:pPr>
              <w:spacing w:after="0"/>
              <w:rPr>
                <w:sz w:val="15"/>
                <w:szCs w:val="15"/>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5"/>
                <w:szCs w:val="15"/>
                <w:color w:val="auto"/>
              </w:rPr>
            </w:pPr>
          </w:p>
        </w:tc>
      </w:tr>
      <w:tr>
        <w:trPr>
          <w:trHeight w:val="175"/>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CrossRoads Extremity Systems, LLC</w:t>
            </w:r>
          </w:p>
        </w:tc>
        <w:tc>
          <w:tcPr>
            <w:tcW w:w="200" w:type="dxa"/>
            <w:vAlign w:val="bottom"/>
            <w:shd w:val="clear" w:color="auto" w:fill="CFF0FC"/>
          </w:tcPr>
          <w:p>
            <w:pPr>
              <w:spacing w:after="0"/>
              <w:rPr>
                <w:sz w:val="15"/>
                <w:szCs w:val="15"/>
                <w:color w:val="auto"/>
              </w:rPr>
            </w:pP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7,500,000</w:t>
            </w:r>
          </w:p>
        </w:tc>
        <w:tc>
          <w:tcPr>
            <w:tcW w:w="100" w:type="dxa"/>
            <w:vAlign w:val="bottom"/>
            <w:shd w:val="clear" w:color="auto" w:fill="CFF0FC"/>
          </w:tcPr>
          <w:p>
            <w:pPr>
              <w:spacing w:after="0"/>
              <w:rPr>
                <w:sz w:val="15"/>
                <w:szCs w:val="15"/>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Dtex Systems, Inc.</w:t>
            </w:r>
          </w:p>
        </w:tc>
        <w:tc>
          <w:tcPr>
            <w:tcW w:w="200" w:type="dxa"/>
            <w:vAlign w:val="bottom"/>
          </w:tcPr>
          <w:p>
            <w:pPr>
              <w:spacing w:after="0"/>
              <w:rPr>
                <w:sz w:val="15"/>
                <w:szCs w:val="15"/>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00" w:type="dxa"/>
            <w:vAlign w:val="bottom"/>
          </w:tcPr>
          <w:p>
            <w:pPr>
              <w:spacing w:after="0"/>
              <w:rPr>
                <w:sz w:val="15"/>
                <w:szCs w:val="15"/>
                <w:color w:val="auto"/>
              </w:rPr>
            </w:pPr>
          </w:p>
        </w:tc>
      </w:tr>
      <w:tr>
        <w:trPr>
          <w:trHeight w:val="175"/>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Gynesonics, Inc.</w:t>
            </w:r>
          </w:p>
        </w:tc>
        <w:tc>
          <w:tcPr>
            <w:tcW w:w="200" w:type="dxa"/>
            <w:vAlign w:val="bottom"/>
            <w:shd w:val="clear" w:color="auto" w:fill="CFF0FC"/>
          </w:tcPr>
          <w:p>
            <w:pPr>
              <w:spacing w:after="0"/>
              <w:rPr>
                <w:sz w:val="15"/>
                <w:szCs w:val="15"/>
                <w:color w:val="auto"/>
              </w:rPr>
            </w:pP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100" w:type="dxa"/>
            <w:vAlign w:val="bottom"/>
            <w:shd w:val="clear" w:color="auto" w:fill="CFF0FC"/>
          </w:tcPr>
          <w:p>
            <w:pPr>
              <w:spacing w:after="0"/>
              <w:rPr>
                <w:sz w:val="15"/>
                <w:szCs w:val="15"/>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INRIX, Inc.</w:t>
            </w:r>
          </w:p>
        </w:tc>
        <w:tc>
          <w:tcPr>
            <w:tcW w:w="200" w:type="dxa"/>
            <w:vAlign w:val="bottom"/>
          </w:tcPr>
          <w:p>
            <w:pPr>
              <w:spacing w:after="0"/>
              <w:rPr>
                <w:sz w:val="15"/>
                <w:szCs w:val="15"/>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5"/>
                <w:szCs w:val="15"/>
                <w:color w:val="auto"/>
              </w:rPr>
            </w:pPr>
          </w:p>
        </w:tc>
      </w:tr>
      <w:tr>
        <w:trPr>
          <w:trHeight w:val="175"/>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Intellisite Holdings, Inc. (dba Epic IO Technologies, Inc.)</w:t>
            </w:r>
          </w:p>
        </w:tc>
        <w:tc>
          <w:tcPr>
            <w:tcW w:w="200" w:type="dxa"/>
            <w:vAlign w:val="bottom"/>
            <w:shd w:val="clear" w:color="auto" w:fill="CFF0FC"/>
          </w:tcPr>
          <w:p>
            <w:pPr>
              <w:spacing w:after="0"/>
              <w:rPr>
                <w:sz w:val="15"/>
                <w:szCs w:val="15"/>
                <w:color w:val="auto"/>
              </w:rPr>
            </w:pP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11,000,000</w:t>
            </w:r>
          </w:p>
        </w:tc>
        <w:tc>
          <w:tcPr>
            <w:tcW w:w="100" w:type="dxa"/>
            <w:vAlign w:val="bottom"/>
            <w:shd w:val="clear" w:color="auto" w:fill="CFF0FC"/>
          </w:tcPr>
          <w:p>
            <w:pPr>
              <w:spacing w:after="0"/>
              <w:rPr>
                <w:sz w:val="15"/>
                <w:szCs w:val="15"/>
                <w:color w:val="auto"/>
              </w:rPr>
            </w:pPr>
          </w:p>
        </w:tc>
      </w:tr>
      <w:tr>
        <w:trPr>
          <w:trHeight w:val="176"/>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Marley Spoon AG</w:t>
            </w:r>
          </w:p>
        </w:tc>
        <w:tc>
          <w:tcPr>
            <w:tcW w:w="200" w:type="dxa"/>
            <w:vAlign w:val="bottom"/>
          </w:tcPr>
          <w:p>
            <w:pPr>
              <w:spacing w:after="0"/>
              <w:rPr>
                <w:sz w:val="15"/>
                <w:szCs w:val="15"/>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11,700,000</w:t>
            </w:r>
          </w:p>
        </w:tc>
        <w:tc>
          <w:tcPr>
            <w:tcW w:w="100" w:type="dxa"/>
            <w:vAlign w:val="bottom"/>
          </w:tcPr>
          <w:p>
            <w:pPr>
              <w:spacing w:after="0"/>
              <w:rPr>
                <w:sz w:val="15"/>
                <w:szCs w:val="15"/>
                <w:color w:val="auto"/>
              </w:rPr>
            </w:pPr>
          </w:p>
        </w:tc>
      </w:tr>
      <w:tr>
        <w:trPr>
          <w:trHeight w:val="175"/>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Route 92 Medical, Inc.</w:t>
            </w:r>
          </w:p>
        </w:tc>
        <w:tc>
          <w:tcPr>
            <w:tcW w:w="200" w:type="dxa"/>
            <w:vAlign w:val="bottom"/>
            <w:shd w:val="clear" w:color="auto" w:fill="CFF0FC"/>
          </w:tcPr>
          <w:p>
            <w:pPr>
              <w:spacing w:after="0"/>
              <w:rPr>
                <w:sz w:val="15"/>
                <w:szCs w:val="15"/>
                <w:color w:val="auto"/>
              </w:rPr>
            </w:pP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42,000,000</w:t>
            </w:r>
          </w:p>
        </w:tc>
        <w:tc>
          <w:tcPr>
            <w:tcW w:w="100" w:type="dxa"/>
            <w:vAlign w:val="bottom"/>
            <w:shd w:val="clear" w:color="auto" w:fill="CFF0FC"/>
          </w:tcPr>
          <w:p>
            <w:pPr>
              <w:spacing w:after="0"/>
              <w:rPr>
                <w:sz w:val="15"/>
                <w:szCs w:val="15"/>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SetPoint Medical Corporation</w:t>
            </w:r>
          </w:p>
        </w:tc>
        <w:tc>
          <w:tcPr>
            <w:tcW w:w="200" w:type="dxa"/>
            <w:vAlign w:val="bottom"/>
          </w:tcPr>
          <w:p>
            <w:pPr>
              <w:spacing w:after="0"/>
              <w:rPr>
                <w:sz w:val="15"/>
                <w:szCs w:val="15"/>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tcPr>
          <w:p>
            <w:pPr>
              <w:spacing w:after="0"/>
              <w:rPr>
                <w:sz w:val="15"/>
                <w:szCs w:val="15"/>
                <w:color w:val="auto"/>
              </w:rPr>
            </w:pPr>
          </w:p>
        </w:tc>
      </w:tr>
      <w:tr>
        <w:trPr>
          <w:trHeight w:val="175"/>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ShareThis, Inc.</w:t>
            </w:r>
          </w:p>
        </w:tc>
        <w:tc>
          <w:tcPr>
            <w:tcW w:w="200" w:type="dxa"/>
            <w:vAlign w:val="bottom"/>
            <w:shd w:val="clear" w:color="auto" w:fill="CFF0FC"/>
          </w:tcPr>
          <w:p>
            <w:pPr>
              <w:spacing w:after="0"/>
              <w:rPr>
                <w:sz w:val="15"/>
                <w:szCs w:val="15"/>
                <w:color w:val="auto"/>
              </w:rPr>
            </w:pPr>
          </w:p>
        </w:tc>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shd w:val="clear" w:color="auto" w:fill="CFF0FC"/>
          </w:tcPr>
          <w:p>
            <w:pPr>
              <w:spacing w:after="0"/>
              <w:rPr>
                <w:sz w:val="15"/>
                <w:szCs w:val="15"/>
                <w:color w:val="auto"/>
              </w:rPr>
            </w:pPr>
          </w:p>
        </w:tc>
      </w:tr>
      <w:tr>
        <w:trPr>
          <w:trHeight w:val="175"/>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Snagajob.com, Inc.</w:t>
            </w:r>
          </w:p>
        </w:tc>
        <w:tc>
          <w:tcPr>
            <w:tcW w:w="200" w:type="dxa"/>
            <w:vAlign w:val="bottom"/>
          </w:tcPr>
          <w:p>
            <w:pPr>
              <w:spacing w:after="0"/>
              <w:rPr>
                <w:sz w:val="15"/>
                <w:szCs w:val="15"/>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6,784,615</w:t>
            </w:r>
          </w:p>
        </w:tc>
        <w:tc>
          <w:tcPr>
            <w:tcW w:w="100" w:type="dxa"/>
            <w:vAlign w:val="bottom"/>
          </w:tcPr>
          <w:p>
            <w:pPr>
              <w:spacing w:after="0"/>
              <w:rPr>
                <w:sz w:val="15"/>
                <w:szCs w:val="15"/>
                <w:color w:val="auto"/>
              </w:rPr>
            </w:pPr>
          </w:p>
        </w:tc>
      </w:tr>
      <w:tr>
        <w:trPr>
          <w:trHeight w:val="175"/>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VERO Biotech LLC</w:t>
            </w:r>
          </w:p>
        </w:tc>
        <w:tc>
          <w:tcPr>
            <w:tcW w:w="200" w:type="dxa"/>
            <w:vAlign w:val="bottom"/>
            <w:tcBorders>
              <w:bottom w:val="single" w:sz="8" w:color="CFF0FC"/>
            </w:tcBorders>
            <w:shd w:val="clear" w:color="auto" w:fill="CFF0FC"/>
          </w:tcPr>
          <w:p>
            <w:pPr>
              <w:spacing w:after="0"/>
              <w:rPr>
                <w:sz w:val="15"/>
                <w:szCs w:val="15"/>
                <w:color w:val="auto"/>
              </w:rPr>
            </w:pPr>
          </w:p>
        </w:tc>
        <w:tc>
          <w:tcPr>
            <w:tcW w:w="3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unused commitments to extend financing</w:t>
            </w:r>
          </w:p>
        </w:tc>
        <w:tc>
          <w:tcPr>
            <w:tcW w:w="2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40" w:type="dxa"/>
            <w:vAlign w:val="bottom"/>
            <w:gridSpan w:val="2"/>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186,984,615</w:t>
            </w:r>
          </w:p>
        </w:tc>
        <w:tc>
          <w:tcPr>
            <w:tcW w:w="100" w:type="dxa"/>
            <w:vAlign w:val="bottom"/>
          </w:tcPr>
          <w:p>
            <w:pPr>
              <w:spacing w:after="0"/>
              <w:rPr>
                <w:sz w:val="14"/>
                <w:szCs w:val="14"/>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Company’s management believes that its available cash balances and availability under the Credit Facility provides sufficient funds to cover its unfunded commitments as of September 30, 2022. The Company has evaluated the expected net future cash flows related to unfunded commitments and determined the fair value to be zero as of September 30, 2022 and December 31, 2021.</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any such legal proceedings cannot be predicted with certainty, the Company does not expect that any such proceedings will have a material effect upon its business, financial condition or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February 24, 2022, the Board of Directors approved a repurchase program (the “Repurchase Program”) under which the Company may repurchase up to $25 million of its outstanding common stock. Under the Repurchase Program, purchases may be made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management’s discretion from time to time in open-market transactions, in accordance with all applicable securities laws and regulations. Unless extended by the Board of Directors, the repurchase program will terminate 12 months from the date it was approved. As of September 30, 2022, 744,756 shares of our common stock were repurchased under the Repurchase Program for an aggregate repurchase price of $9,301,933.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Concentration of Credit Risk</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The Company’s management monitors the financial condition of those financial institutions and does not currently anticipate any losses from these counterparties.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Increase in Net Assets Resulting from Operations per Common Share</w:t>
      </w:r>
    </w:p>
    <w:p>
      <w:pPr>
        <w:spacing w:after="0" w:line="21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following information sets forth the computation of basic income per common share for the three and nine months ended September 30, 2022 and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40" w:type="dxa"/>
            <w:vAlign w:val="bottom"/>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4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187"/>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increase in net assets resulting from operations</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11,721,773</w:t>
            </w:r>
          </w:p>
        </w:tc>
        <w:tc>
          <w:tcPr>
            <w:tcW w:w="280" w:type="dxa"/>
            <w:vAlign w:val="bottom"/>
            <w:shd w:val="clear" w:color="auto" w:fill="CFF0FC"/>
          </w:tcPr>
          <w:p>
            <w:pPr>
              <w:spacing w:after="0"/>
              <w:rPr>
                <w:sz w:val="14"/>
                <w:szCs w:val="14"/>
                <w:color w:val="auto"/>
              </w:rPr>
            </w:pPr>
          </w:p>
        </w:tc>
        <w:tc>
          <w:tcPr>
            <w:tcW w:w="380" w:type="dxa"/>
            <w:vAlign w:val="bottom"/>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10,231,052</w:t>
            </w:r>
          </w:p>
        </w:tc>
        <w:tc>
          <w:tcPr>
            <w:tcW w:w="280" w:type="dxa"/>
            <w:vAlign w:val="bottom"/>
            <w:shd w:val="clear" w:color="auto" w:fill="CFF0FC"/>
          </w:tcPr>
          <w:p>
            <w:pPr>
              <w:spacing w:after="0"/>
              <w:rPr>
                <w:sz w:val="14"/>
                <w:szCs w:val="14"/>
                <w:color w:val="auto"/>
              </w:rPr>
            </w:pP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13,757,530</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26,313,723</w:t>
            </w:r>
          </w:p>
        </w:tc>
        <w:tc>
          <w:tcPr>
            <w:tcW w:w="100" w:type="dxa"/>
            <w:vAlign w:val="bottom"/>
            <w:shd w:val="clear" w:color="auto" w:fill="CFF0FC"/>
          </w:tcPr>
          <w:p>
            <w:pPr>
              <w:spacing w:after="0"/>
              <w:rPr>
                <w:sz w:val="14"/>
                <w:szCs w:val="14"/>
                <w:color w:val="auto"/>
              </w:rPr>
            </w:pPr>
          </w:p>
        </w:tc>
      </w:tr>
      <w:tr>
        <w:trPr>
          <w:trHeight w:val="176"/>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for the period</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40,774,154</w:t>
            </w: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33,160,481</w:t>
            </w: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41,119,467</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32,360,107</w:t>
            </w:r>
          </w:p>
        </w:tc>
        <w:tc>
          <w:tcPr>
            <w:tcW w:w="100" w:type="dxa"/>
            <w:vAlign w:val="bottom"/>
            <w:shd w:val="clear" w:color="auto" w:fill="CFF0FC"/>
          </w:tcPr>
          <w:p>
            <w:pPr>
              <w:spacing w:after="0"/>
              <w:rPr>
                <w:sz w:val="15"/>
                <w:szCs w:val="15"/>
                <w:color w:val="auto"/>
              </w:rPr>
            </w:pPr>
          </w:p>
        </w:tc>
      </w:tr>
      <w:tr>
        <w:trPr>
          <w:trHeight w:val="176"/>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40,774,154</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33,160,481</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41,119,467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32,360,107</w:t>
            </w:r>
          </w:p>
        </w:tc>
        <w:tc>
          <w:tcPr>
            <w:tcW w:w="100" w:type="dxa"/>
            <w:vAlign w:val="bottom"/>
          </w:tcPr>
          <w:p>
            <w:pPr>
              <w:spacing w:after="0"/>
              <w:rPr>
                <w:sz w:val="15"/>
                <w:szCs w:val="15"/>
                <w:color w:val="auto"/>
              </w:rPr>
            </w:pPr>
          </w:p>
        </w:tc>
      </w:tr>
      <w:tr>
        <w:trPr>
          <w:trHeight w:val="176"/>
        </w:trPr>
        <w:tc>
          <w:tcPr>
            <w:tcW w:w="42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b w:val="1"/>
                <w:bCs w:val="1"/>
                <w:color w:val="auto"/>
              </w:rPr>
              <w:t>Per Share Data</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4"/>
                <w:szCs w:val="14"/>
                <w:b w:val="1"/>
                <w:bCs w:val="1"/>
                <w:color w:val="auto"/>
              </w:rPr>
              <w:t>:</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 income (loss) per common share</w:t>
            </w: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4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Basic</w:t>
            </w:r>
          </w:p>
        </w:tc>
        <w:tc>
          <w:tcPr>
            <w:tcW w:w="3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66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6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62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100" w:type="dxa"/>
            <w:vAlign w:val="bottom"/>
            <w:shd w:val="clear" w:color="auto" w:fill="CFF0FC"/>
          </w:tcPr>
          <w:p>
            <w:pPr>
              <w:spacing w:after="0"/>
              <w:rPr>
                <w:sz w:val="15"/>
                <w:szCs w:val="15"/>
                <w:color w:val="auto"/>
              </w:rPr>
            </w:pPr>
          </w:p>
        </w:tc>
      </w:tr>
      <w:tr>
        <w:trPr>
          <w:trHeight w:val="188"/>
        </w:trPr>
        <w:tc>
          <w:tcPr>
            <w:tcW w:w="42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66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6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6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0.81</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90309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7" w:lineRule="exact"/>
        <w:rPr>
          <w:sz w:val="20"/>
          <w:szCs w:val="20"/>
          <w:color w:val="auto"/>
        </w:rPr>
      </w:pPr>
    </w:p>
    <w:p>
      <w:pPr>
        <w:ind w:left="760" w:hanging="374"/>
        <w:spacing w:after="0"/>
        <w:tabs>
          <w:tab w:leader="none" w:pos="760" w:val="left"/>
        </w:tabs>
        <w:numPr>
          <w:ilvl w:val="0"/>
          <w:numId w:val="2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Per share data is based on average weighted shares outstanding.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Net Assets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the authority to issue 100,000,000 shares of common stock, $0.01 par value per share.</w:t>
      </w:r>
    </w:p>
    <w:p>
      <w:pPr>
        <w:spacing w:after="0" w:line="21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18"/>
          <w:szCs w:val="18"/>
          <w:color w:val="auto"/>
        </w:rPr>
        <w:t>On October 25, 2021, the Company closed its IPO, issuing 6,850,000 shares of its common stock at a public offering price of $14.60 per share. Net of underwriting fees and offering costs, the Company received net cash proceeds of approximately $93.0 million. The Company’s common stock began trading on the Nasdaq Global Select Market under the symbol “RWAY” on October 21, 2021.</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Prior to October 25, 2021, the Company entered into subscription agreements (the “Subscription Agreements”) with investors providing for the private placement of the Company’s common shares. Under the terms of the Subscription Agreements, investors were required to fund drawdowns to purchase the Company’s common shares up to the amount of their respective capital commitment on an as-needed basis each time the Company delivered a drawdown notice to its investors.</w:t>
      </w:r>
    </w:p>
    <w:p>
      <w:pPr>
        <w:spacing w:after="0" w:line="191"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In connection with the Initial Private Offering, the Company issued 18,241,157 shares of our common stock to stockholders for a total purchase price of $275,000,000. Between June 14, 2019 and September 29, 2021, the Company accepted $181,673,500 in capital commitments under its Second Private Offering. The Company had issued 9,617,379 shares of common stock for aggregate proceeds of $144,260,683 under the Second Private Offering. Concurrent with the IPO, all undrawn commitments under the Second Private Offering were cancelled.</w:t>
      </w:r>
    </w:p>
    <w:p>
      <w:pPr>
        <w:spacing w:after="0" w:line="19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On March 31, 2020 and March 24, 2021, the Company had issued in aggregate 22,564 shares as an additional direct investment by Runway Growth Holdings LLC, an affiliate of RGC, at $15.00 per share for total proceeds of $338,453 in a private offering pursuant to an exemption from registration under Regulation D of the Securities Act.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2022, the Company repurchased 331,264 shares for an aggregate purchase price of $4,022,696 in connection with its Repurchase Program and no shares were issued in connection with the reinvestment of dividends. The following table summarizes capital activity during the three months ended September 30, 2022: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6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14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1240" w:type="dxa"/>
            <w:vAlign w:val="bottom"/>
            <w:gridSpan w:val="2"/>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1"/>
                <w:szCs w:val="11"/>
                <w:color w:val="auto"/>
              </w:rPr>
            </w:pPr>
          </w:p>
        </w:tc>
        <w:tc>
          <w:tcPr>
            <w:tcW w:w="114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88"/>
              <w:spacing w:after="0" w:line="131" w:lineRule="exact"/>
              <w:rPr>
                <w:sz w:val="20"/>
                <w:szCs w:val="20"/>
                <w:color w:val="auto"/>
              </w:rPr>
            </w:pPr>
            <w:r>
              <w:rPr>
                <w:rFonts w:ascii="Times New Roman" w:cs="Times New Roman" w:eastAsia="Times New Roman" w:hAnsi="Times New Roman"/>
                <w:sz w:val="14"/>
                <w:szCs w:val="14"/>
                <w:b w:val="1"/>
                <w:bCs w:val="1"/>
                <w:color w:val="auto"/>
                <w:w w:val="99"/>
              </w:rPr>
              <w:t>(Losses)</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41,380,614</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413,806</w:t>
            </w:r>
          </w:p>
        </w:tc>
        <w:tc>
          <w:tcPr>
            <w:tcW w:w="24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(413,492</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(5,279,237</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606,063,671</w:t>
            </w: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(21,786,236</w:t>
            </w:r>
          </w:p>
        </w:tc>
        <w:tc>
          <w:tcPr>
            <w:tcW w:w="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579,412,004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Reinvestment of dividends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treasury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(331,264 )</w:t>
            </w:r>
          </w:p>
        </w:tc>
        <w:tc>
          <w:tcPr>
            <w:tcW w:w="180" w:type="dxa"/>
            <w:vAlign w:val="bottom"/>
          </w:tcPr>
          <w:p>
            <w:pPr>
              <w:spacing w:after="0"/>
              <w:rPr>
                <w:sz w:val="15"/>
                <w:szCs w:val="15"/>
                <w:color w:val="auto"/>
              </w:rPr>
            </w:pPr>
          </w:p>
        </w:tc>
        <w:tc>
          <w:tcPr>
            <w:tcW w:w="11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(4,022,696 )</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(4,022,696 )</w:t>
            </w:r>
          </w:p>
        </w:tc>
        <w:tc>
          <w:tcPr>
            <w:tcW w:w="0" w:type="dxa"/>
            <w:vAlign w:val="bottom"/>
          </w:tcPr>
          <w:p>
            <w:pPr>
              <w:spacing w:after="0"/>
              <w:rPr>
                <w:sz w:val="1"/>
                <w:szCs w:val="1"/>
                <w:color w:val="auto"/>
              </w:rPr>
            </w:pPr>
          </w:p>
        </w:tc>
      </w:tr>
      <w:tr>
        <w:trPr>
          <w:trHeight w:val="175"/>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Offering costs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investment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14,496,949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14,496,949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realized gain (loss) on</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406,917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406,917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0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change in unrealized appreciation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(3,182,093 )</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(3,182,093 )</w:t>
            </w:r>
          </w:p>
        </w:tc>
        <w:tc>
          <w:tcPr>
            <w:tcW w:w="0" w:type="dxa"/>
            <w:vAlign w:val="bottom"/>
          </w:tcPr>
          <w:p>
            <w:pPr>
              <w:spacing w:after="0"/>
              <w:rPr>
                <w:sz w:val="1"/>
                <w:szCs w:val="1"/>
                <w:color w:val="auto"/>
              </w:rPr>
            </w:pPr>
          </w:p>
        </w:tc>
      </w:tr>
      <w:tr>
        <w:trPr>
          <w:trHeight w:val="185"/>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on investments</w:t>
            </w: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(13,450,710 )</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(13,450,710 )</w:t>
            </w:r>
          </w:p>
        </w:tc>
        <w:tc>
          <w:tcPr>
            <w:tcW w:w="0" w:type="dxa"/>
            <w:vAlign w:val="bottom"/>
          </w:tcPr>
          <w:p>
            <w:pPr>
              <w:spacing w:after="0"/>
              <w:rPr>
                <w:sz w:val="1"/>
                <w:szCs w:val="1"/>
                <w:color w:val="auto"/>
              </w:rPr>
            </w:pPr>
          </w:p>
        </w:tc>
      </w:tr>
      <w:tr>
        <w:trPr>
          <w:trHeight w:val="139"/>
        </w:trPr>
        <w:tc>
          <w:tcPr>
            <w:tcW w:w="24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Tax reconciliation of stockholders'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4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in accordance with US GAAP</w:t>
            </w: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end of period</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41,380,614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413,806</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(744,756</w:t>
            </w:r>
          </w:p>
        </w:tc>
        <w:tc>
          <w:tcPr>
            <w:tcW w:w="240" w:type="dxa"/>
            <w:vAlign w:val="bottom"/>
            <w:tcBorders>
              <w:bottom w:val="single" w:sz="8" w:color="CFF0FC"/>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(9,301,933</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606,063,671</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(23,515,173</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573,660,371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-25400</wp:posOffset>
            </wp:positionV>
            <wp:extent cx="7747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-7620</wp:posOffset>
            </wp:positionV>
            <wp:extent cx="7747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-25400</wp:posOffset>
            </wp:positionV>
            <wp:extent cx="7683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7683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-25400</wp:posOffset>
            </wp:positionV>
            <wp:extent cx="7683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-7620</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7747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774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-25400</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repurchased 744,756 shares for an aggregate purchase price of $9,301,933 in connection with its Repurchase Program and no shares were issued in connection with the reinvestment of dividends. The following table summarizes capital activity during the nine months ended September 30, 2022: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6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14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2460" w:type="dxa"/>
            <w:vAlign w:val="bottom"/>
          </w:tcPr>
          <w:p>
            <w:pPr>
              <w:spacing w:after="0"/>
              <w:rPr>
                <w:sz w:val="11"/>
                <w:szCs w:val="11"/>
                <w:color w:val="auto"/>
              </w:rPr>
            </w:pP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10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vMerge w:val="restart"/>
          </w:tcPr>
          <w:p>
            <w:pPr>
              <w:spacing w:after="0"/>
              <w:rPr>
                <w:sz w:val="11"/>
                <w:szCs w:val="11"/>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88"/>
              <w:spacing w:after="0" w:line="131" w:lineRule="exact"/>
              <w:rPr>
                <w:sz w:val="20"/>
                <w:szCs w:val="20"/>
                <w:color w:val="auto"/>
              </w:rPr>
            </w:pPr>
            <w:r>
              <w:rPr>
                <w:rFonts w:ascii="Times New Roman" w:cs="Times New Roman" w:eastAsia="Times New Roman" w:hAnsi="Times New Roman"/>
                <w:sz w:val="14"/>
                <w:szCs w:val="14"/>
                <w:b w:val="1"/>
                <w:bCs w:val="1"/>
                <w:color w:val="auto"/>
                <w:w w:val="99"/>
              </w:rPr>
              <w:t>(Losses)</w:t>
            </w:r>
          </w:p>
        </w:tc>
        <w:tc>
          <w:tcPr>
            <w:tcW w:w="140" w:type="dxa"/>
            <w:vAlign w:val="bottom"/>
          </w:tcPr>
          <w:p>
            <w:pPr>
              <w:spacing w:after="0"/>
              <w:rPr>
                <w:sz w:val="11"/>
                <w:szCs w:val="11"/>
                <w:color w:val="auto"/>
              </w:rPr>
            </w:pPr>
          </w:p>
        </w:tc>
        <w:tc>
          <w:tcPr>
            <w:tcW w:w="92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460" w:type="dxa"/>
            <w:vAlign w:val="bottom"/>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41,380,614</w:t>
            </w:r>
          </w:p>
        </w:tc>
        <w:tc>
          <w:tcPr>
            <w:tcW w:w="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413,806</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606,047,671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(266,986 )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606,194,491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Reinvestment of dividends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treasury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(744,756 )</w:t>
            </w:r>
          </w:p>
        </w:tc>
        <w:tc>
          <w:tcPr>
            <w:tcW w:w="200" w:type="dxa"/>
            <w:vAlign w:val="bottom"/>
          </w:tcPr>
          <w:p>
            <w:pPr>
              <w:spacing w:after="0"/>
              <w:rPr>
                <w:sz w:val="18"/>
                <w:szCs w:val="18"/>
                <w:color w:val="auto"/>
              </w:rPr>
            </w:pPr>
          </w:p>
        </w:tc>
        <w:tc>
          <w:tcPr>
            <w:tcW w:w="11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(9,301,933 )</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(9,301,933 )</w:t>
            </w: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Offering costs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investment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12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41,435,416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41,435,416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2460" w:type="dxa"/>
            <w:vAlign w:val="bottom"/>
            <w:shd w:val="clear" w:color="auto" w:fill="CFF0FC"/>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realized gain (loss) on</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40" w:type="dxa"/>
            <w:vAlign w:val="bottom"/>
            <w:gridSpan w:val="2"/>
            <w:vMerge w:val="restart"/>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939,377</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939,377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investments</w:t>
            </w:r>
          </w:p>
        </w:tc>
        <w:tc>
          <w:tcPr>
            <w:tcW w:w="9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4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4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Net change in unrealized appreciation</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(28,617,263 )</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(28,617,263 )</w:t>
            </w:r>
          </w:p>
        </w:tc>
        <w:tc>
          <w:tcPr>
            <w:tcW w:w="0" w:type="dxa"/>
            <w:vAlign w:val="bottom"/>
          </w:tcPr>
          <w:p>
            <w:pPr>
              <w:spacing w:after="0"/>
              <w:rPr>
                <w:sz w:val="1"/>
                <w:szCs w:val="1"/>
                <w:color w:val="auto"/>
              </w:rPr>
            </w:pPr>
          </w:p>
        </w:tc>
      </w:tr>
      <w:tr>
        <w:trPr>
          <w:trHeight w:val="185"/>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on investments</w:t>
            </w:r>
          </w:p>
        </w:tc>
        <w:tc>
          <w:tcPr>
            <w:tcW w:w="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(37,005,717 )</w:t>
            </w: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(37,005,717 )</w:t>
            </w:r>
          </w:p>
        </w:tc>
        <w:tc>
          <w:tcPr>
            <w:tcW w:w="0" w:type="dxa"/>
            <w:vAlign w:val="bottom"/>
          </w:tcPr>
          <w:p>
            <w:pPr>
              <w:spacing w:after="0"/>
              <w:rPr>
                <w:sz w:val="1"/>
                <w:szCs w:val="1"/>
                <w:color w:val="auto"/>
              </w:rPr>
            </w:pPr>
          </w:p>
        </w:tc>
      </w:tr>
      <w:tr>
        <w:trPr>
          <w:trHeight w:val="139"/>
        </w:trPr>
        <w:tc>
          <w:tcPr>
            <w:tcW w:w="2460" w:type="dxa"/>
            <w:vAlign w:val="bottom"/>
          </w:tcPr>
          <w:p>
            <w:pPr>
              <w:ind w:left="120"/>
              <w:spacing w:after="0" w:line="139" w:lineRule="exact"/>
              <w:rPr>
                <w:sz w:val="20"/>
                <w:szCs w:val="20"/>
                <w:color w:val="auto"/>
              </w:rPr>
            </w:pPr>
            <w:r>
              <w:rPr>
                <w:rFonts w:ascii="Times New Roman" w:cs="Times New Roman" w:eastAsia="Times New Roman" w:hAnsi="Times New Roman"/>
                <w:sz w:val="14"/>
                <w:szCs w:val="14"/>
                <w:color w:val="auto"/>
              </w:rPr>
              <w:t>Tax reconciliation of stockholders'</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4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equity in accordance with US GAAP</w:t>
            </w: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end of period</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41,380,614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413,806</w:t>
            </w:r>
          </w:p>
        </w:tc>
        <w:tc>
          <w:tcPr>
            <w:tcW w:w="24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(744,756</w:t>
            </w:r>
          </w:p>
        </w:tc>
        <w:tc>
          <w:tcPr>
            <w:tcW w:w="240" w:type="dxa"/>
            <w:vAlign w:val="bottom"/>
            <w:tcBorders>
              <w:bottom w:val="single" w:sz="8" w:color="CFF0FC"/>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0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(9,301,933</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606,063,671</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(23,515,173</w:t>
            </w:r>
          </w:p>
        </w:tc>
        <w:tc>
          <w:tcPr>
            <w:tcW w:w="220" w:type="dxa"/>
            <w:vAlign w:val="bottom"/>
            <w:tcBorders>
              <w:bottom w:val="single" w:sz="8" w:color="CFF0FC"/>
            </w:tcBorders>
            <w:shd w:val="clear" w:color="auto" w:fill="CFF0FC"/>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573,660,371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-24765</wp:posOffset>
            </wp:positionV>
            <wp:extent cx="774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-8255</wp:posOffset>
            </wp:positionV>
            <wp:extent cx="77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-24765</wp:posOffset>
            </wp:positionV>
            <wp:extent cx="7683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-8255</wp:posOffset>
            </wp:positionV>
            <wp:extent cx="768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-24765</wp:posOffset>
            </wp:positionV>
            <wp:extent cx="7683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-8255</wp:posOffset>
            </wp:positionV>
            <wp:extent cx="7683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7747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-8255</wp:posOffset>
            </wp:positionV>
            <wp:extent cx="685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-8255</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2021, the Company issued 575,032 shares for $8,401,215 in connection with the reinvestment of dividends. The following table summarizes capital activity during the three months ended September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14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9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1"/>
                <w:szCs w:val="11"/>
                <w:color w:val="auto"/>
              </w:rPr>
            </w:pPr>
          </w:p>
        </w:tc>
        <w:tc>
          <w:tcPr>
            <w:tcW w:w="13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1"/>
                <w:szCs w:val="11"/>
                <w:color w:val="auto"/>
              </w:rPr>
            </w:pPr>
          </w:p>
        </w:tc>
        <w:tc>
          <w:tcPr>
            <w:tcW w:w="1200" w:type="dxa"/>
            <w:vAlign w:val="bottom"/>
            <w:gridSpan w:val="2"/>
          </w:tcPr>
          <w:p>
            <w:pPr>
              <w:jc w:val="right"/>
              <w:ind w:right="488"/>
              <w:spacing w:after="0" w:line="131"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32,690,454</w:t>
            </w: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326,904</w:t>
            </w:r>
          </w:p>
        </w:tc>
        <w:tc>
          <w:tcPr>
            <w:tcW w:w="2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485,755,211</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(8,343,018</w:t>
            </w:r>
          </w:p>
        </w:tc>
        <w:tc>
          <w:tcPr>
            <w:tcW w:w="2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477,739,097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1,265,128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18,964,266</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18,976,917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Reinvestment of dividends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575,032</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5,751</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8,395,464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8,401,215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Offering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(32,542 )</w:t>
            </w:r>
          </w:p>
        </w:tc>
        <w:tc>
          <w:tcPr>
            <w:tcW w:w="12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(32,542 )</w:t>
            </w:r>
          </w:p>
        </w:tc>
        <w:tc>
          <w:tcPr>
            <w:tcW w:w="0" w:type="dxa"/>
            <w:vAlign w:val="bottom"/>
          </w:tcPr>
          <w:p>
            <w:pPr>
              <w:spacing w:after="0"/>
              <w:rPr>
                <w:sz w:val="1"/>
                <w:szCs w:val="1"/>
                <w:color w:val="auto"/>
              </w:rPr>
            </w:pPr>
          </w:p>
        </w:tc>
      </w:tr>
      <w:tr>
        <w:trPr>
          <w:trHeight w:val="175"/>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10,741,124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10,741,124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718,310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718,310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(1,228,382 )</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(1,228,382 )</w:t>
            </w:r>
          </w:p>
        </w:tc>
        <w:tc>
          <w:tcPr>
            <w:tcW w:w="0" w:type="dxa"/>
            <w:vAlign w:val="bottom"/>
          </w:tcPr>
          <w:p>
            <w:pPr>
              <w:spacing w:after="0"/>
              <w:rPr>
                <w:sz w:val="1"/>
                <w:szCs w:val="1"/>
                <w:color w:val="auto"/>
              </w:rPr>
            </w:pPr>
          </w:p>
        </w:tc>
      </w:tr>
      <w:tr>
        <w:trPr>
          <w:trHeight w:val="175"/>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(11,114,754 )</w:t>
            </w:r>
          </w:p>
        </w:tc>
        <w:tc>
          <w:tcPr>
            <w:tcW w:w="1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(11,114,754 )</w:t>
            </w:r>
          </w:p>
        </w:tc>
        <w:tc>
          <w:tcPr>
            <w:tcW w:w="0" w:type="dxa"/>
            <w:vAlign w:val="bottom"/>
          </w:tcPr>
          <w:p>
            <w:pPr>
              <w:spacing w:after="0"/>
              <w:rPr>
                <w:sz w:val="1"/>
                <w:szCs w:val="1"/>
                <w:color w:val="auto"/>
              </w:rPr>
            </w:pPr>
          </w:p>
        </w:tc>
      </w:tr>
      <w:tr>
        <w:trPr>
          <w:trHeight w:val="175"/>
        </w:trPr>
        <w:tc>
          <w:tcPr>
            <w:tcW w:w="4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Tax reconciliation of stockholders' equity in accordance with U.S. GAAP</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end of period</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34,530,614</w:t>
            </w:r>
          </w:p>
        </w:tc>
        <w:tc>
          <w:tcPr>
            <w:tcW w:w="48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345,306</w:t>
            </w:r>
          </w:p>
        </w:tc>
        <w:tc>
          <w:tcPr>
            <w:tcW w:w="44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513,082,399</w:t>
            </w:r>
          </w:p>
        </w:tc>
        <w:tc>
          <w:tcPr>
            <w:tcW w:w="24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(9,226,720 )</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504,200,985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-144780</wp:posOffset>
            </wp:positionV>
            <wp:extent cx="77470" cy="1454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-144780</wp:posOffset>
            </wp:positionV>
            <wp:extent cx="77470" cy="1454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-144780</wp:posOffset>
            </wp:positionV>
            <wp:extent cx="68580" cy="1454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-144780</wp:posOffset>
            </wp:positionV>
            <wp:extent cx="68580" cy="1454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the Company issued 1,830,974 shares for $26,994,806 in connection with the reinvestment of dividends. The following table summarizes capital activity during the nine months ended September 30, 2021: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80" w:type="dxa"/>
            <w:vAlign w:val="bottom"/>
          </w:tcPr>
          <w:p>
            <w:pPr>
              <w:spacing w:after="0"/>
              <w:rPr>
                <w:sz w:val="16"/>
                <w:szCs w:val="16"/>
                <w:color w:val="auto"/>
              </w:rPr>
            </w:pPr>
          </w:p>
        </w:tc>
        <w:tc>
          <w:tcPr>
            <w:tcW w:w="236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200" w:type="dxa"/>
            <w:vAlign w:val="bottom"/>
            <w:gridSpan w:val="2"/>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Distributable</w:t>
            </w:r>
          </w:p>
        </w:tc>
        <w:tc>
          <w:tcPr>
            <w:tcW w:w="140" w:type="dxa"/>
            <w:vAlign w:val="bottom"/>
          </w:tcPr>
          <w:p>
            <w:pPr>
              <w:spacing w:after="0"/>
              <w:rPr>
                <w:sz w:val="16"/>
                <w:szCs w:val="16"/>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9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1"/>
                <w:szCs w:val="11"/>
                <w:color w:val="auto"/>
              </w:rPr>
            </w:pPr>
          </w:p>
        </w:tc>
        <w:tc>
          <w:tcPr>
            <w:tcW w:w="13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1"/>
                <w:szCs w:val="11"/>
                <w:color w:val="auto"/>
              </w:rPr>
            </w:pPr>
          </w:p>
        </w:tc>
        <w:tc>
          <w:tcPr>
            <w:tcW w:w="1200" w:type="dxa"/>
            <w:vAlign w:val="bottom"/>
            <w:gridSpan w:val="2"/>
          </w:tcPr>
          <w:p>
            <w:pPr>
              <w:jc w:val="right"/>
              <w:ind w:right="488"/>
              <w:spacing w:after="0" w:line="131" w:lineRule="exact"/>
              <w:rPr>
                <w:sz w:val="20"/>
                <w:szCs w:val="20"/>
                <w:color w:val="auto"/>
              </w:rPr>
            </w:pPr>
            <w:r>
              <w:rPr>
                <w:rFonts w:ascii="Times New Roman" w:cs="Times New Roman" w:eastAsia="Times New Roman" w:hAnsi="Times New Roman"/>
                <w:sz w:val="14"/>
                <w:szCs w:val="14"/>
                <w:b w:val="1"/>
                <w:bCs w:val="1"/>
                <w:color w:val="auto"/>
              </w:rPr>
              <w:t>(Losses)</w:t>
            </w:r>
          </w:p>
        </w:tc>
        <w:tc>
          <w:tcPr>
            <w:tcW w:w="140" w:type="dxa"/>
            <w:vAlign w:val="bottom"/>
          </w:tcPr>
          <w:p>
            <w:pPr>
              <w:spacing w:after="0"/>
              <w:rPr>
                <w:sz w:val="11"/>
                <w:szCs w:val="11"/>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Net Assets</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31,414,051</w:t>
            </w: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314,140</w:t>
            </w:r>
          </w:p>
        </w:tc>
        <w:tc>
          <w:tcPr>
            <w:tcW w:w="28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466,872,304</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(942,759</w:t>
            </w:r>
          </w:p>
        </w:tc>
        <w:tc>
          <w:tcPr>
            <w:tcW w:w="2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466,243,685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1,285,589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12,856</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19,270,972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19,283,828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Reinvestment of dividends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1,830,974</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18,310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26,976,496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26,994,806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Offering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(37,373 )</w:t>
            </w:r>
          </w:p>
        </w:tc>
        <w:tc>
          <w:tcPr>
            <w:tcW w:w="120" w:type="dxa"/>
            <w:vAlign w:val="bottom"/>
          </w:tcPr>
          <w:p>
            <w:pPr>
              <w:spacing w:after="0"/>
              <w:rPr>
                <w:sz w:val="15"/>
                <w:szCs w:val="15"/>
                <w:color w:val="auto"/>
              </w:rPr>
            </w:pPr>
          </w:p>
        </w:tc>
        <w:tc>
          <w:tcPr>
            <w:tcW w:w="1200" w:type="dxa"/>
            <w:vAlign w:val="bottom"/>
            <w:gridSpan w:val="2"/>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(37,373 )</w:t>
            </w:r>
          </w:p>
        </w:tc>
        <w:tc>
          <w:tcPr>
            <w:tcW w:w="0" w:type="dxa"/>
            <w:vAlign w:val="bottom"/>
          </w:tcPr>
          <w:p>
            <w:pPr>
              <w:spacing w:after="0"/>
              <w:rPr>
                <w:sz w:val="1"/>
                <w:szCs w:val="1"/>
                <w:color w:val="auto"/>
              </w:rPr>
            </w:pPr>
          </w:p>
        </w:tc>
      </w:tr>
      <w:tr>
        <w:trPr>
          <w:trHeight w:val="175"/>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investment income</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33,563,330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33,563,330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realized gain (loss) on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(4,076,766 )</w:t>
            </w:r>
          </w:p>
        </w:tc>
        <w:tc>
          <w:tcPr>
            <w:tcW w:w="1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(4,076,766 )</w:t>
            </w:r>
          </w:p>
        </w:tc>
        <w:tc>
          <w:tcPr>
            <w:tcW w:w="0" w:type="dxa"/>
            <w:vAlign w:val="bottom"/>
          </w:tcPr>
          <w:p>
            <w:pPr>
              <w:spacing w:after="0"/>
              <w:rPr>
                <w:sz w:val="1"/>
                <w:szCs w:val="1"/>
                <w:color w:val="auto"/>
              </w:rPr>
            </w:pPr>
          </w:p>
        </w:tc>
      </w:tr>
      <w:tr>
        <w:trPr>
          <w:trHeight w:val="176"/>
        </w:trPr>
        <w:tc>
          <w:tcPr>
            <w:tcW w:w="4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(3,172,841 )</w:t>
            </w:r>
          </w:p>
        </w:tc>
        <w:tc>
          <w:tcPr>
            <w:tcW w:w="14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(3,172,841 )</w:t>
            </w:r>
          </w:p>
        </w:tc>
        <w:tc>
          <w:tcPr>
            <w:tcW w:w="0" w:type="dxa"/>
            <w:vAlign w:val="bottom"/>
          </w:tcPr>
          <w:p>
            <w:pPr>
              <w:spacing w:after="0"/>
              <w:rPr>
                <w:sz w:val="1"/>
                <w:szCs w:val="1"/>
                <w:color w:val="auto"/>
              </w:rPr>
            </w:pPr>
          </w:p>
        </w:tc>
      </w:tr>
      <w:tr>
        <w:trPr>
          <w:trHeight w:val="175"/>
        </w:trPr>
        <w:tc>
          <w:tcPr>
            <w:tcW w:w="4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Dividends declared</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(34,597,684 )</w:t>
            </w:r>
          </w:p>
        </w:tc>
        <w:tc>
          <w:tcPr>
            <w:tcW w:w="140" w:type="dxa"/>
            <w:vAlign w:val="bottom"/>
          </w:tcPr>
          <w:p>
            <w:pPr>
              <w:spacing w:after="0"/>
              <w:rPr>
                <w:sz w:val="15"/>
                <w:szCs w:val="15"/>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(34,597,684 )</w:t>
            </w:r>
          </w:p>
        </w:tc>
        <w:tc>
          <w:tcPr>
            <w:tcW w:w="0" w:type="dxa"/>
            <w:vAlign w:val="bottom"/>
          </w:tcPr>
          <w:p>
            <w:pPr>
              <w:spacing w:after="0"/>
              <w:rPr>
                <w:sz w:val="1"/>
                <w:szCs w:val="1"/>
                <w:color w:val="auto"/>
              </w:rPr>
            </w:pPr>
          </w:p>
        </w:tc>
      </w:tr>
      <w:tr>
        <w:trPr>
          <w:trHeight w:val="176"/>
        </w:trPr>
        <w:tc>
          <w:tcPr>
            <w:tcW w:w="4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Tax reconciliation of stockholders' equity in accordance with U.S. GAAP</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7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Balance, end of period</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34,530,614</w:t>
            </w:r>
          </w:p>
        </w:tc>
        <w:tc>
          <w:tcPr>
            <w:tcW w:w="480" w:type="dxa"/>
            <w:vAlign w:val="bottom"/>
            <w:gridSpan w:val="2"/>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345,306</w:t>
            </w:r>
          </w:p>
        </w:tc>
        <w:tc>
          <w:tcPr>
            <w:tcW w:w="440" w:type="dxa"/>
            <w:vAlign w:val="bottom"/>
            <w:gridSpan w:val="2"/>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513,082,399</w:t>
            </w:r>
          </w:p>
        </w:tc>
        <w:tc>
          <w:tcPr>
            <w:tcW w:w="24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rPr>
              <w:t>(9,226,720 )</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504,200,985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-144780</wp:posOffset>
            </wp:positionV>
            <wp:extent cx="77470" cy="1454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-144780</wp:posOffset>
            </wp:positionV>
            <wp:extent cx="77470" cy="1454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-144780</wp:posOffset>
            </wp:positionV>
            <wp:extent cx="68580" cy="1454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-144780</wp:posOffset>
            </wp:positionV>
            <wp:extent cx="68580" cy="1454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shares of common stock issued, the price per share and the proceeds raised, from inception through September 30, 2022, are detailed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8, 2015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22, 2016</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333,333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April 19, 2017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June 26, 2017</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12, 2017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2,666,667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December 22, 2017</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31, 2018</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70,563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1,045,570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31, 2018</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117,582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1,754,244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27, 2018</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1,997,337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November 15, 2018</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3,055,498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January 14, 2019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4,344,964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March 26,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4,942,168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21, 2019</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374,783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5,670,467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May 24, 2019</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3,232,189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July 16, 2019</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464,986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7,035,236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26,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7,088,143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15, 2019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1,666,667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November 12,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 2019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3,333,333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December 23,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7,073,650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March 20, 2020</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575,132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8,385,423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March 31, 2020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20, 2020</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529,020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7,538,541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6, 2020</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550,639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7,934,712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15, 2020</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3,333,333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November 12, 2020</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593,692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8,584,772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gridSpan w:val="3"/>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March 19, 2021</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618,815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9,183,220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March 24, 2021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13, 2021</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637,127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9,410,371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12, 2021</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8,401,215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29, 2021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1,265,128</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18,976,917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7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October 25, 2021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100,010,000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0" w:type="dxa"/>
            <w:vAlign w:val="bottom"/>
            <w:tcBorders>
              <w:bottom w:val="single" w:sz="8" w:color="CFF0FC"/>
            </w:tcBorders>
            <w:shd w:val="clear" w:color="auto" w:fill="CFF0FC"/>
          </w:tcPr>
          <w:p>
            <w:pPr>
              <w:spacing w:after="0"/>
              <w:rPr>
                <w:sz w:val="18"/>
                <w:szCs w:val="18"/>
                <w:color w:val="auto"/>
              </w:rPr>
            </w:pPr>
          </w:p>
        </w:tc>
        <w:tc>
          <w:tcPr>
            <w:tcW w:w="37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41,380,614</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617,386,489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37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0" w:type="dxa"/>
            <w:vAlign w:val="bottom"/>
          </w:tcPr>
          <w:p>
            <w:pPr>
              <w:ind w:left="400"/>
              <w:spacing w:after="0"/>
              <w:rPr>
                <w:sz w:val="20"/>
                <w:szCs w:val="20"/>
                <w:color w:val="auto"/>
              </w:rPr>
            </w:pPr>
            <w:r>
              <w:rPr>
                <w:rFonts w:ascii="Times New Roman" w:cs="Times New Roman" w:eastAsia="Times New Roman" w:hAnsi="Times New Roman"/>
                <w:sz w:val="10"/>
                <w:szCs w:val="10"/>
                <w:color w:val="auto"/>
              </w:rPr>
              <w:t>(1)</w:t>
            </w:r>
          </w:p>
        </w:tc>
        <w:tc>
          <w:tcPr>
            <w:tcW w:w="6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Shares were issued as part of the dividend reinvestment plan.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600" w:type="dxa"/>
            <w:vAlign w:val="bottom"/>
          </w:tcPr>
          <w:p>
            <w:pPr>
              <w:spacing w:after="0"/>
              <w:rPr>
                <w:sz w:val="7"/>
                <w:szCs w:val="7"/>
                <w:color w:val="auto"/>
              </w:rPr>
            </w:pPr>
          </w:p>
        </w:tc>
        <w:tc>
          <w:tcPr>
            <w:tcW w:w="6120" w:type="dxa"/>
            <w:vAlign w:val="bottom"/>
            <w:gridSpan w:val="2"/>
            <w:vMerge w:val="continue"/>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-387350</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-370205</wp:posOffset>
            </wp:positionV>
            <wp:extent cx="7683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-387350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-370205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Related Party Agreements and Transactions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Advisory Agreement</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Agreement”). On August 3, 2017, the Board of Directors approved certain amendments to the Prior Agreement (the “First Amended and Restated Advisory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advisory agreement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Agreement to include certain revisions to the management and incentive fee calculation mechanisms and clarify language relating to liquidity events. Under the terms of the Advisory Agreement, RGC:</w:t>
      </w:r>
    </w:p>
    <w:p>
      <w:pPr>
        <w:spacing w:after="0" w:line="139" w:lineRule="exact"/>
        <w:rPr>
          <w:sz w:val="20"/>
          <w:szCs w:val="20"/>
          <w:color w:val="auto"/>
        </w:rPr>
      </w:pPr>
    </w:p>
    <w:p>
      <w:pPr>
        <w:ind w:left="660" w:right="20" w:hanging="371"/>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composition of the Company’s portfolio, the nature and timing of the changes to the portfolio and the manner of implementing such changes;</w:t>
      </w:r>
    </w:p>
    <w:p>
      <w:pPr>
        <w:spacing w:after="0" w:line="135"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identifies, evaluates and negotiates the structure of the investments the Company makes;</w:t>
      </w:r>
    </w:p>
    <w:p>
      <w:pPr>
        <w:spacing w:after="0" w:line="184"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executes, closes and monitors the investments the Company makes;</w:t>
      </w:r>
    </w:p>
    <w:p>
      <w:pPr>
        <w:spacing w:after="0" w:line="171"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determines the securities and other assets that the Company will purchase, retain or sell;</w:t>
      </w:r>
    </w:p>
    <w:p>
      <w:pPr>
        <w:spacing w:after="0" w:line="184" w:lineRule="exact"/>
        <w:rPr>
          <w:rFonts w:ascii="Times New Roman" w:cs="Times New Roman" w:eastAsia="Times New Roman" w:hAnsi="Times New Roman"/>
          <w:sz w:val="18"/>
          <w:szCs w:val="18"/>
          <w:color w:val="auto"/>
        </w:rPr>
      </w:pPr>
    </w:p>
    <w:p>
      <w:pPr>
        <w:ind w:left="680" w:hanging="372"/>
        <w:spacing w:after="0"/>
        <w:tabs>
          <w:tab w:leader="none" w:pos="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performs due diligence on prospective investments; and</w:t>
      </w:r>
    </w:p>
    <w:p>
      <w:pPr>
        <w:spacing w:after="0" w:line="184" w:lineRule="exact"/>
        <w:rPr>
          <w:rFonts w:ascii="Times New Roman" w:cs="Times New Roman" w:eastAsia="Times New Roman" w:hAnsi="Times New Roman"/>
          <w:sz w:val="18"/>
          <w:szCs w:val="18"/>
          <w:color w:val="auto"/>
        </w:rPr>
      </w:pPr>
    </w:p>
    <w:p>
      <w:pPr>
        <w:ind w:left="680" w:right="20" w:hanging="372"/>
        <w:spacing w:after="0" w:line="266" w:lineRule="auto"/>
        <w:tabs>
          <w:tab w:leader="none" w:pos="6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Company with other such investment advisory, research and related services as the Company may, from time to time, reasonably require for the investment of its funds.</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Base Management Fee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base management fee is payable on the first day of each calendar quarter.</w:t>
      </w:r>
    </w:p>
    <w:p>
      <w:pPr>
        <w:spacing w:after="0" w:line="21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The base management fee will be an amount equal to 0.40% (1.60% annualized) of the Company’s average daily Gross Assets (defined below) during the most recently completed calendar quarter for so long as the aggregate amount of Gross Assets of the Company as of the end of the most recently completed calendar quarter is equal or greater than $500,000,000 but less than $1,000,000,000. For purposes of the Advisory Agreement, “Gross Assets” is defined as the Company’s gross assets, including assets purchased with borrowed funds or other forms of leverage, as well as any PIK interest, as of the end of the most recently completed fiscal quarter. If the aggregate amount of the Company’s Gross Assets as of the end of the most recently completed calendar quarter is less than $500,000,000 the base management fee will be an amount equal to 0.4375% (1.75%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RGC earned base management fees of $3,065,581 and $8,487,820, respectively, for the three and nine months ended September 30, 2022, and $2,301,656 and $6,647,207, respectively, for the three and nine months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Incentive Fee</w:t>
      </w:r>
    </w:p>
    <w:p>
      <w:pPr>
        <w:spacing w:after="0" w:line="21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90"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Under the investment-income component (the “Income Incentive Fee”), the Company pays RGC each quarter an incentive fee with respect to the Company’s Pre-Incentive Fee net investment income. The Income Incentive Fee is calculated and payable quarterly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agreement with the Administrator (the “Administration Agreement”), and any dividends paid on any issued and outstanding preferred stock, but excluding the incentive fee). Pre-Incentive Fee net investment income includes, in the case of investments with a deferred interest feature (such as OID,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8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w:t>
      </w:r>
    </w:p>
    <w:p>
      <w:pPr>
        <w:spacing w:after="0" w:line="3" w:lineRule="exact"/>
        <w:rPr>
          <w:sz w:val="20"/>
          <w:szCs w:val="20"/>
          <w:color w:val="auto"/>
        </w:rPr>
      </w:pPr>
    </w:p>
    <w:p>
      <w:pPr>
        <w:jc w:val="both"/>
        <w:ind w:firstLine="8"/>
        <w:spacing w:after="0" w:line="241" w:lineRule="auto"/>
        <w:tabs>
          <w:tab w:leader="none" w:pos="2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8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18"/>
          <w:szCs w:val="18"/>
          <w:color w:val="auto"/>
        </w:rPr>
        <w:t>Prior to the consummation of the IPO,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For the foregoing purpose, the Company’s “aggregate cumulative realized capital gains” will not include any unrealized appreciation. If such amount is negative, then no Capital Gains Fee will be payable for such year.</w:t>
      </w:r>
    </w:p>
    <w:p>
      <w:pPr>
        <w:spacing w:after="0" w:line="18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RGC earned incentive fees of $3,625,686 and $$8,590,821, respectively, for the three and nine months ended September 30, 2022; $3,208,431 and $7,293,008, respectively, of the incentive fees for the three and nine months ended September 30, 2022 were earned, payable in cash, and $417,255 and $1,297,812, respectively, of the incentive fees for the three and nine months ended September 30, 2022 were accrued and generated from deferred interest (i.e., PIK interest and certain discount accretion) and are not payable pending receipt of cash by the Company. RGC earned incentive fees for the three and nine months ended September 30, 2021 of $2,686,475 and $6,498,482, respectively; $2,171,245 and $5,140,115, respectively, of the incentive fees for the three and nine months ended September 30, 2021 were earned, payable in cash, and $515,230 and $1,358,367, respectively, of the incentive fees for the three and nine months ended September 30, 2021 were accrued and deferred (i.e., PIK interest and certain discount accretion) and are not</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payable pending receipt of cash by the Company. Both currently payable in cash, $2,972,186 and $2,493,508, and deferred incentive fees, $4,216,780 and $3,516,742, are included in accrued incentive fees on the Statements of Assets and Liabilities as of September 30, 2022 and December 31, 2021, respectively.</w:t>
      </w:r>
    </w:p>
    <w:p>
      <w:pPr>
        <w:spacing w:after="0" w:line="169"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Advisory Agreement. As of each of September 30, 2022 and December 31, 2021, there was no capital gains incentive fee accrued, earned or payable to RGC under the Advisory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Spin-Off Incentive Fee</w:t>
      </w:r>
    </w:p>
    <w:p>
      <w:pPr>
        <w:spacing w:after="0" w:line="21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The Income Incentive Fee is payable in connection with a Public Fund Spin-Off, including the IPO, as follows. The Income Incentive Fee is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 (x)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net investment income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20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Capital Gains Fee is payable in respect of the exchanged shares of the Company’s common stock in connection with the Public Fund Spin-Off and is calculated as of the date of the completion of the Public Fund Spin-Off as if such date were a calendar year-end for purposes of calculating and paying the Capital Gains Fee.</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No Income Incentive Fee or Capital Gains Fee is payable in connection with the Public Fund Spin-Off unless, on the date of the completion of the Public Fund Spin-Off, the sum of the Company’s (i) Pre-Incentive Fee net investment income and (ii) realized capital gains less realized capital losses and unrealized capital depreciation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w:t>
      </w:r>
    </w:p>
    <w:p>
      <w:pPr>
        <w:spacing w:after="0" w:line="177"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The Company reimbursed the Administrator $258,195 and $820,586, respectively, during the three and nine months ended September 30, 2022. As of September 30, 2022, the Company had accrued a net payable to the Administrator of $261,180. Of the total amount reimbursed and accrued during the three and nine months ended September 30, 2022, $212,533 and $707,609, respectively, was related to overhead allocation expense. The Company reimbursed the Administrator $261,630 and $741,012 during the three and nine months ended September 30, 2021. As of September 30, 2021, the Company accrued a net payable to the Administrator of $227,038. Of the total amount reimbursed and accrued during the three and nine months ended September 30, 2021, $206,167 and $643,606, respectively, was related to overhead allocation expense. As of December 31, 2021, the Company had accrued a net payable to the Administrator of $221,243. Administration fees, which include fees payable by the Administrator to third-party service providers who provide additional administration services for the Company, were $161,245 and $497,896, respectively, for the three and nine months ended September 30, 2022. Administration fees, which include fees payable by the Administrator to third-party service providers who</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provide additional administration services for the Company, were $179,500 and $420,360, respectively, for the three and nine months ended September 30, 2021.</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 the Company’s investment adviser. Other than with respect to this limited license, the Company has no legal right to the “Runway Growth Finance” name.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Oaktree Strategic Relationship</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In connection with the strategic relationship, OCM purchased an aggregate of 14,571,334 shares of our common stock for an aggregate purchase price of $219.3 million in our Initial Private Offering and our Second Private Offering. As of September 30, 2022, OCM owns 21,129,668 shares of our common stock or approximately 52% of our outstanding shares. OCM has granted a proxy to us pursuant to which the shares held by OCM will be voted in the same proportion as our other stockholders vote their shares.</w:t>
      </w:r>
    </w:p>
    <w:p>
      <w:pPr>
        <w:spacing w:after="0" w:line="17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In connection with OCM’s commitment, the Company entered into a stockholder agreement, dated December 15, 2016, with OCM, pursuant to which OCM has a right to nominate a member of the Company’s Board of Directors for election for so long as OCM holds shares of the Company’s common stock in an amount equal to, in the aggregate, at least one-third (33%) of OCM’s initial $125 million capital commitment. Brian Laibow, Co-Head of North America &amp; Managing Director Opportunities Funds, serves on the Company’s Board of Directors as OCM’s director nominee and is considered an interested director. OCM also holds a minority interest in RGC and has the right to appoint a member of RGC’s board of managers and a member of RGC’s investment committee. Brian Laibow is OCM’s appointee to RGC’s board of managers and investment committee. OCM also purchased additional equity in RGC in connection with its commitment to the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Company’s assets and liabilities recorded at fair value have been categorized based upon a fair value hierarchy in accordance with ASC Topic 820. See Note 2 for discussion of the Company’s valuation policies.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measured at fair value as of September 30,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respectively: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As of September 30, 2022 (Unaudited)</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62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14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496,498</w:t>
            </w:r>
          </w:p>
        </w:tc>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1,413,356</w:t>
            </w:r>
          </w:p>
        </w:tc>
        <w:tc>
          <w:tcPr>
            <w:tcW w:w="6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1,228,197</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3,138,051</w:t>
            </w:r>
          </w:p>
        </w:tc>
        <w:tc>
          <w:tcPr>
            <w:tcW w:w="100" w:type="dxa"/>
            <w:vAlign w:val="bottom"/>
          </w:tcPr>
          <w:p>
            <w:pPr>
              <w:spacing w:after="0"/>
              <w:rPr>
                <w:sz w:val="15"/>
                <w:szCs w:val="15"/>
                <w:color w:val="auto"/>
              </w:rPr>
            </w:pPr>
          </w:p>
        </w:tc>
      </w:tr>
      <w:tr>
        <w:trPr>
          <w:trHeight w:val="175"/>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1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862,527,989</w:t>
            </w:r>
          </w:p>
        </w:tc>
        <w:tc>
          <w:tcPr>
            <w:tcW w:w="3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862,527,989</w:t>
            </w:r>
          </w:p>
        </w:tc>
        <w:tc>
          <w:tcPr>
            <w:tcW w:w="100" w:type="dxa"/>
            <w:vAlign w:val="bottom"/>
            <w:shd w:val="clear" w:color="auto" w:fill="CFF0FC"/>
          </w:tcPr>
          <w:p>
            <w:pPr>
              <w:spacing w:after="0"/>
              <w:rPr>
                <w:sz w:val="15"/>
                <w:szCs w:val="15"/>
                <w:color w:val="auto"/>
              </w:rPr>
            </w:pPr>
          </w:p>
        </w:tc>
      </w:tr>
      <w:tr>
        <w:trPr>
          <w:trHeight w:val="175"/>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1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13,403,245</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13,403,245</w:t>
            </w:r>
          </w:p>
        </w:tc>
        <w:tc>
          <w:tcPr>
            <w:tcW w:w="100" w:type="dxa"/>
            <w:vAlign w:val="bottom"/>
          </w:tcPr>
          <w:p>
            <w:pPr>
              <w:spacing w:after="0"/>
              <w:rPr>
                <w:sz w:val="15"/>
                <w:szCs w:val="15"/>
                <w:color w:val="auto"/>
              </w:rPr>
            </w:pPr>
          </w:p>
        </w:tc>
      </w:tr>
      <w:tr>
        <w:trPr>
          <w:trHeight w:val="17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1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12,327,868</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384,685</w:t>
            </w:r>
          </w:p>
        </w:tc>
        <w:tc>
          <w:tcPr>
            <w:tcW w:w="3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12,712,553</w:t>
            </w:r>
          </w:p>
        </w:tc>
        <w:tc>
          <w:tcPr>
            <w:tcW w:w="100" w:type="dxa"/>
            <w:vAlign w:val="bottom"/>
            <w:shd w:val="clear" w:color="auto" w:fill="CFF0FC"/>
          </w:tcPr>
          <w:p>
            <w:pPr>
              <w:spacing w:after="0"/>
              <w:rPr>
                <w:sz w:val="15"/>
                <w:szCs w:val="15"/>
                <w:color w:val="auto"/>
              </w:rPr>
            </w:pPr>
          </w:p>
        </w:tc>
      </w:tr>
      <w:tr>
        <w:trPr>
          <w:trHeight w:val="175"/>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66,950</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18,320,157</w:t>
            </w: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18,387,107</w:t>
            </w:r>
          </w:p>
        </w:tc>
        <w:tc>
          <w:tcPr>
            <w:tcW w:w="100" w:type="dxa"/>
            <w:vAlign w:val="bottom"/>
          </w:tcPr>
          <w:p>
            <w:pPr>
              <w:spacing w:after="0"/>
              <w:rPr>
                <w:sz w:val="15"/>
                <w:szCs w:val="15"/>
                <w:color w:val="auto"/>
              </w:rPr>
            </w:pPr>
          </w:p>
        </w:tc>
      </w:tr>
      <w:tr>
        <w:trPr>
          <w:trHeight w:val="169"/>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12,824,366</w:t>
            </w:r>
          </w:p>
        </w:tc>
        <w:tc>
          <w:tcPr>
            <w:tcW w:w="3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1,480,306</w:t>
            </w:r>
          </w:p>
        </w:tc>
        <w:tc>
          <w:tcPr>
            <w:tcW w:w="32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895,864,273</w:t>
            </w:r>
          </w:p>
        </w:tc>
        <w:tc>
          <w:tcPr>
            <w:tcW w:w="32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910,168,945</w:t>
            </w:r>
          </w:p>
        </w:tc>
        <w:tc>
          <w:tcPr>
            <w:tcW w:w="100" w:type="dxa"/>
            <w:vAlign w:val="bottom"/>
            <w:shd w:val="clear" w:color="auto" w:fill="CFF0FC"/>
          </w:tcPr>
          <w:p>
            <w:pPr>
              <w:spacing w:after="0"/>
              <w:rPr>
                <w:sz w:val="14"/>
                <w:szCs w:val="14"/>
                <w:color w:val="auto"/>
              </w:rPr>
            </w:pPr>
          </w:p>
        </w:tc>
      </w:tr>
      <w:tr>
        <w:trPr>
          <w:trHeight w:val="169"/>
        </w:trPr>
        <w:tc>
          <w:tcPr>
            <w:tcW w:w="3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1140" w:type="dxa"/>
            <w:vAlign w:val="bottom"/>
            <w:tcBorders>
              <w:bottom w:val="single" w:sz="8" w:color="auto"/>
            </w:tcBorders>
          </w:tcPr>
          <w:p>
            <w:pPr>
              <w:jc w:val="right"/>
              <w:ind w:right="9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12,824,366</w:t>
            </w:r>
          </w:p>
        </w:tc>
        <w:tc>
          <w:tcPr>
            <w:tcW w:w="34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1,480,306</w:t>
            </w:r>
          </w:p>
        </w:tc>
        <w:tc>
          <w:tcPr>
            <w:tcW w:w="32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895,864,273</w:t>
            </w:r>
          </w:p>
        </w:tc>
        <w:tc>
          <w:tcPr>
            <w:tcW w:w="320" w:type="dxa"/>
            <w:vAlign w:val="bottom"/>
          </w:tcPr>
          <w:p>
            <w:pPr>
              <w:spacing w:after="0"/>
              <w:rPr>
                <w:sz w:val="14"/>
                <w:szCs w:val="14"/>
                <w:color w:val="auto"/>
              </w:rPr>
            </w:pPr>
          </w:p>
        </w:tc>
        <w:tc>
          <w:tcPr>
            <w:tcW w:w="38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910,168,945</w:t>
            </w:r>
          </w:p>
        </w:tc>
        <w:tc>
          <w:tcPr>
            <w:tcW w:w="100" w:type="dxa"/>
            <w:vAlign w:val="bottom"/>
          </w:tcPr>
          <w:p>
            <w:pPr>
              <w:spacing w:after="0"/>
              <w:rPr>
                <w:sz w:val="14"/>
                <w:szCs w:val="14"/>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2,559,932</w:t>
            </w:r>
          </w:p>
        </w:tc>
        <w:tc>
          <w:tcPr>
            <w:tcW w:w="6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8,903,933</w:t>
            </w:r>
          </w:p>
        </w:tc>
        <w:tc>
          <w:tcPr>
            <w:tcW w:w="94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11,463,865</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623,053,646</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623,053,646</w:t>
            </w:r>
          </w:p>
        </w:tc>
        <w:tc>
          <w:tcPr>
            <w:tcW w:w="100" w:type="dxa"/>
            <w:vAlign w:val="bottom"/>
            <w:shd w:val="clear" w:color="auto" w:fill="CFF0FC"/>
          </w:tcPr>
          <w:p>
            <w:pPr>
              <w:spacing w:after="0"/>
              <w:rPr>
                <w:sz w:val="15"/>
                <w:szCs w:val="15"/>
                <w:color w:val="auto"/>
              </w:rPr>
            </w:pPr>
          </w:p>
        </w:tc>
      </w:tr>
      <w:tr>
        <w:trPr>
          <w:trHeight w:val="175"/>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12,872,588</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12,872,588</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15,704,705</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1,332,420</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17,037,125</w:t>
            </w:r>
          </w:p>
        </w:tc>
        <w:tc>
          <w:tcPr>
            <w:tcW w:w="100" w:type="dxa"/>
            <w:vAlign w:val="bottom"/>
            <w:shd w:val="clear" w:color="auto" w:fill="CFF0FC"/>
          </w:tcPr>
          <w:p>
            <w:pPr>
              <w:spacing w:after="0"/>
              <w:rPr>
                <w:sz w:val="15"/>
                <w:szCs w:val="15"/>
                <w:color w:val="auto"/>
              </w:rPr>
            </w:pPr>
          </w:p>
        </w:tc>
      </w:tr>
      <w:tr>
        <w:trPr>
          <w:trHeight w:val="175"/>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20,087,550</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20,087,550</w:t>
            </w:r>
          </w:p>
        </w:tc>
        <w:tc>
          <w:tcPr>
            <w:tcW w:w="100" w:type="dxa"/>
            <w:vAlign w:val="bottom"/>
          </w:tcPr>
          <w:p>
            <w:pPr>
              <w:spacing w:after="0"/>
              <w:rPr>
                <w:sz w:val="15"/>
                <w:szCs w:val="15"/>
                <w:color w:val="auto"/>
              </w:rPr>
            </w:pPr>
          </w:p>
        </w:tc>
      </w:tr>
      <w:tr>
        <w:trPr>
          <w:trHeight w:val="169"/>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36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18,264,637</w:t>
            </w:r>
          </w:p>
        </w:tc>
        <w:tc>
          <w:tcPr>
            <w:tcW w:w="3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8,903,933</w:t>
            </w:r>
          </w:p>
        </w:tc>
        <w:tc>
          <w:tcPr>
            <w:tcW w:w="34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657,346,204</w:t>
            </w:r>
          </w:p>
        </w:tc>
        <w:tc>
          <w:tcPr>
            <w:tcW w:w="3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684,514,774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Bill</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45,001,500</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45,001,500</w:t>
            </w:r>
          </w:p>
        </w:tc>
        <w:tc>
          <w:tcPr>
            <w:tcW w:w="100" w:type="dxa"/>
            <w:vAlign w:val="bottom"/>
          </w:tcPr>
          <w:p>
            <w:pPr>
              <w:spacing w:after="0"/>
              <w:rPr>
                <w:sz w:val="14"/>
                <w:szCs w:val="14"/>
                <w:color w:val="auto"/>
              </w:rPr>
            </w:pPr>
          </w:p>
        </w:tc>
      </w:tr>
      <w:tr>
        <w:trPr>
          <w:trHeight w:val="209"/>
        </w:trPr>
        <w:tc>
          <w:tcPr>
            <w:tcW w:w="33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63,266,137</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8,903,933</w:t>
            </w:r>
          </w:p>
        </w:tc>
        <w:tc>
          <w:tcPr>
            <w:tcW w:w="3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657,346,204</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729,516,274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-264795</wp:posOffset>
            </wp:positionV>
            <wp:extent cx="76835" cy="1289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-264795</wp:posOffset>
            </wp:positionV>
            <wp:extent cx="77470" cy="1289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-264795</wp:posOffset>
            </wp:positionV>
            <wp:extent cx="68580" cy="1289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768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774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-24765</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recognizes transfers into and out of the levels indicated above at the end of each reporting period. During the period ended September 30, 2022, the Company had common stock investments with restrictions lifted, resulting in an asset transfer out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Level 2 and into Level 1 at the fair value of $5,421,235. During the year ended December 31, 2021, the Company had warrant investments converted to common stock investments, resulting in an asset transfer out of Level 3 and into Level 2 at the fair value of $15,305,039.</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rollforward of Level 3 assets measured at fair value as of September 30, 2022:</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3"/>
                <w:szCs w:val="13"/>
                <w:color w:val="auto"/>
              </w:rPr>
            </w:pPr>
          </w:p>
        </w:tc>
        <w:tc>
          <w:tcPr>
            <w:tcW w:w="15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Senior Secured</w:t>
            </w:r>
          </w:p>
        </w:tc>
        <w:tc>
          <w:tcPr>
            <w:tcW w:w="148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Second Lien Term</w:t>
            </w:r>
          </w:p>
        </w:tc>
        <w:tc>
          <w:tcPr>
            <w:tcW w:w="180" w:type="dxa"/>
            <w:vAlign w:val="bottom"/>
          </w:tcPr>
          <w:p>
            <w:pPr>
              <w:spacing w:after="0"/>
              <w:rPr>
                <w:sz w:val="13"/>
                <w:szCs w:val="13"/>
                <w:color w:val="auto"/>
              </w:rPr>
            </w:pPr>
          </w:p>
        </w:tc>
        <w:tc>
          <w:tcPr>
            <w:tcW w:w="11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60" w:type="dxa"/>
            <w:vAlign w:val="bottom"/>
          </w:tcPr>
          <w:p>
            <w:pPr>
              <w:spacing w:after="0"/>
              <w:rPr>
                <w:sz w:val="13"/>
                <w:szCs w:val="13"/>
                <w:color w:val="auto"/>
              </w:rPr>
            </w:pPr>
          </w:p>
        </w:tc>
        <w:tc>
          <w:tcPr>
            <w:tcW w:w="10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260" w:type="dxa"/>
            <w:vAlign w:val="bottom"/>
          </w:tcPr>
          <w:p>
            <w:pPr>
              <w:spacing w:after="0"/>
              <w:rPr>
                <w:sz w:val="16"/>
                <w:szCs w:val="16"/>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Fair value at December 31, 2021</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1,332,420</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623,053,646</w:t>
            </w:r>
          </w:p>
        </w:tc>
        <w:tc>
          <w:tcPr>
            <w:tcW w:w="2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12,872,588</w:t>
            </w:r>
          </w:p>
        </w:tc>
        <w:tc>
          <w:tcPr>
            <w:tcW w:w="20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20,087,550</w:t>
            </w:r>
          </w:p>
        </w:tc>
        <w:tc>
          <w:tcPr>
            <w:tcW w:w="22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657,346,204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fixed income</w:t>
            </w:r>
          </w:p>
        </w:tc>
        <w:tc>
          <w:tcPr>
            <w:tcW w:w="160" w:type="dxa"/>
            <w:vAlign w:val="bottom"/>
          </w:tcPr>
          <w:p>
            <w:pPr>
              <w:spacing w:after="0"/>
              <w:rPr>
                <w:sz w:val="12"/>
                <w:szCs w:val="12"/>
                <w:color w:val="auto"/>
              </w:rPr>
            </w:pPr>
          </w:p>
        </w:tc>
        <w:tc>
          <w:tcPr>
            <w:tcW w:w="1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5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4,488,454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88,280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4,576,734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or accretion of discounts</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6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Purchases of investments</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4,551,235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391,506,142</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490,100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2,489,851</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399,037,328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Sales or repayments of</w:t>
            </w: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line="203" w:lineRule="exact"/>
              <w:rPr>
                <w:sz w:val="20"/>
                <w:szCs w:val="20"/>
                <w:color w:val="auto"/>
              </w:rPr>
            </w:pPr>
            <w:r>
              <w:rPr>
                <w:rFonts w:ascii="Times New Roman" w:cs="Times New Roman" w:eastAsia="Times New Roman" w:hAnsi="Times New Roman"/>
                <w:sz w:val="14"/>
                <w:szCs w:val="14"/>
                <w:color w:val="auto"/>
              </w:rPr>
              <w:t>investments</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(800,000 )</w:t>
            </w:r>
          </w:p>
        </w:tc>
        <w:tc>
          <w:tcPr>
            <w:tcW w:w="160" w:type="dxa"/>
            <w:vAlign w:val="bottom"/>
          </w:tcPr>
          <w:p>
            <w:pPr>
              <w:spacing w:after="0"/>
              <w:rPr>
                <w:sz w:val="17"/>
                <w:szCs w:val="17"/>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(143,170,836 )</w:t>
            </w:r>
          </w:p>
        </w:tc>
        <w:tc>
          <w:tcPr>
            <w:tcW w:w="2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(1,508,601 )</w:t>
            </w:r>
          </w:p>
        </w:tc>
        <w:tc>
          <w:tcPr>
            <w:tcW w:w="2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(145,479,437 )</w:t>
            </w:r>
          </w:p>
        </w:tc>
        <w:tc>
          <w:tcPr>
            <w:tcW w:w="0" w:type="dxa"/>
            <w:vAlign w:val="bottom"/>
          </w:tcPr>
          <w:p>
            <w:pPr>
              <w:spacing w:after="0"/>
              <w:rPr>
                <w:sz w:val="1"/>
                <w:szCs w:val="1"/>
                <w:color w:val="auto"/>
              </w:rPr>
            </w:pPr>
          </w:p>
        </w:tc>
      </w:tr>
      <w:tr>
        <w:trPr>
          <w:trHeight w:val="176"/>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Transfers out of Level 3</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(2,238,726 )</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(2,238,726 )</w:t>
            </w: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(loss)</w:t>
            </w:r>
          </w:p>
        </w:tc>
        <w:tc>
          <w:tcPr>
            <w:tcW w:w="16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(850,754 )</w:t>
            </w: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(850,754 )</w:t>
            </w:r>
          </w:p>
        </w:tc>
        <w:tc>
          <w:tcPr>
            <w:tcW w:w="0" w:type="dxa"/>
            <w:vAlign w:val="bottom"/>
          </w:tcPr>
          <w:p>
            <w:pPr>
              <w:spacing w:after="0"/>
              <w:rPr>
                <w:sz w:val="1"/>
                <w:szCs w:val="1"/>
                <w:color w:val="auto"/>
              </w:rPr>
            </w:pPr>
          </w:p>
        </w:tc>
      </w:tr>
      <w:tr>
        <w:trPr>
          <w:trHeight w:val="139"/>
        </w:trPr>
        <w:tc>
          <w:tcPr>
            <w:tcW w:w="226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unrealized appreciation</w:t>
            </w:r>
          </w:p>
        </w:tc>
        <w:tc>
          <w:tcPr>
            <w:tcW w:w="160" w:type="dxa"/>
            <w:vAlign w:val="bottom"/>
            <w:shd w:val="clear" w:color="auto" w:fill="CFF0FC"/>
          </w:tcPr>
          <w:p>
            <w:pPr>
              <w:spacing w:after="0"/>
              <w:rPr>
                <w:sz w:val="12"/>
                <w:szCs w:val="12"/>
                <w:color w:val="auto"/>
              </w:rPr>
            </w:pPr>
          </w:p>
        </w:tc>
        <w:tc>
          <w:tcPr>
            <w:tcW w:w="15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(147,735 )</w:t>
            </w:r>
          </w:p>
        </w:tc>
        <w:tc>
          <w:tcPr>
            <w:tcW w:w="160" w:type="dxa"/>
            <w:vAlign w:val="bottom"/>
            <w:shd w:val="clear" w:color="auto" w:fill="CFF0FC"/>
          </w:tcPr>
          <w:p>
            <w:pPr>
              <w:spacing w:after="0"/>
              <w:rPr>
                <w:sz w:val="12"/>
                <w:szCs w:val="12"/>
                <w:color w:val="auto"/>
              </w:rPr>
            </w:pPr>
          </w:p>
        </w:tc>
        <w:tc>
          <w:tcPr>
            <w:tcW w:w="15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(3,323,038 )</w:t>
            </w:r>
          </w:p>
        </w:tc>
        <w:tc>
          <w:tcPr>
            <w:tcW w:w="120" w:type="dxa"/>
            <w:vAlign w:val="bottom"/>
            <w:shd w:val="clear" w:color="auto" w:fill="CFF0FC"/>
          </w:tcPr>
          <w:p>
            <w:pPr>
              <w:spacing w:after="0"/>
              <w:rPr>
                <w:sz w:val="12"/>
                <w:szCs w:val="12"/>
                <w:color w:val="auto"/>
              </w:rPr>
            </w:pPr>
          </w:p>
        </w:tc>
        <w:tc>
          <w:tcPr>
            <w:tcW w:w="1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(13,349,417 )</w:t>
            </w:r>
          </w:p>
        </w:tc>
        <w:tc>
          <w:tcPr>
            <w:tcW w:w="260" w:type="dxa"/>
            <w:vAlign w:val="bottom"/>
            <w:shd w:val="clear" w:color="auto" w:fill="CFF0FC"/>
          </w:tcPr>
          <w:p>
            <w:pPr>
              <w:spacing w:after="0"/>
              <w:rPr>
                <w:sz w:val="12"/>
                <w:szCs w:val="12"/>
                <w:color w:val="auto"/>
              </w:rPr>
            </w:pP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(47,723 )</w:t>
            </w:r>
          </w:p>
        </w:tc>
        <w:tc>
          <w:tcPr>
            <w:tcW w:w="18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340,837</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(16,527,076 )</w:t>
            </w:r>
          </w:p>
        </w:tc>
        <w:tc>
          <w:tcPr>
            <w:tcW w:w="0" w:type="dxa"/>
            <w:vAlign w:val="bottom"/>
          </w:tcPr>
          <w:p>
            <w:pPr>
              <w:spacing w:after="0"/>
              <w:rPr>
                <w:sz w:val="1"/>
                <w:szCs w:val="1"/>
                <w:color w:val="auto"/>
              </w:rPr>
            </w:pPr>
          </w:p>
        </w:tc>
      </w:tr>
      <w:tr>
        <w:trPr>
          <w:trHeight w:val="171"/>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6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Fair value at September 30, 2022</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384,685</w:t>
            </w:r>
          </w:p>
        </w:tc>
        <w:tc>
          <w:tcPr>
            <w:tcW w:w="24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1,228,197</w:t>
            </w:r>
          </w:p>
        </w:tc>
        <w:tc>
          <w:tcPr>
            <w:tcW w:w="24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862,527,989</w:t>
            </w: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13,403,245</w:t>
            </w: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18,320,157</w:t>
            </w:r>
          </w:p>
        </w:tc>
        <w:tc>
          <w:tcPr>
            <w:tcW w:w="22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895,864,273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6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Change in unrealized appreciation</w:t>
            </w:r>
          </w:p>
        </w:tc>
        <w:tc>
          <w:tcPr>
            <w:tcW w:w="16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on Level 3</w:t>
            </w: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investments still held as of</w:t>
            </w: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(77,340 )</w:t>
            </w: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(3,323,038 )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(12,453,978 )</w:t>
            </w:r>
          </w:p>
        </w:tc>
        <w:tc>
          <w:tcPr>
            <w:tcW w:w="26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(47,723 )</w:t>
            </w:r>
          </w:p>
        </w:tc>
        <w:tc>
          <w:tcPr>
            <w:tcW w:w="18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(1,812,833 )</w:t>
            </w:r>
          </w:p>
        </w:tc>
        <w:tc>
          <w:tcPr>
            <w:tcW w:w="260" w:type="dxa"/>
            <w:vAlign w:val="bottom"/>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(17,714,912 )</w:t>
            </w:r>
          </w:p>
        </w:tc>
        <w:tc>
          <w:tcPr>
            <w:tcW w:w="0" w:type="dxa"/>
            <w:vAlign w:val="bottom"/>
          </w:tcPr>
          <w:p>
            <w:pPr>
              <w:spacing w:after="0"/>
              <w:rPr>
                <w:sz w:val="1"/>
                <w:szCs w:val="1"/>
                <w:color w:val="auto"/>
              </w:rPr>
            </w:pPr>
          </w:p>
        </w:tc>
      </w:tr>
      <w:tr>
        <w:trPr>
          <w:trHeight w:val="164"/>
        </w:trPr>
        <w:tc>
          <w:tcPr>
            <w:tcW w:w="2260" w:type="dxa"/>
            <w:vAlign w:val="bottom"/>
            <w:shd w:val="clear" w:color="auto" w:fill="CFF0FC"/>
          </w:tcPr>
          <w:p>
            <w:pPr>
              <w:ind w:left="20"/>
              <w:spacing w:after="0" w:line="125" w:lineRule="exact"/>
              <w:rPr>
                <w:sz w:val="20"/>
                <w:szCs w:val="20"/>
                <w:color w:val="auto"/>
              </w:rPr>
            </w:pPr>
            <w:r>
              <w:rPr>
                <w:rFonts w:ascii="Times New Roman" w:cs="Times New Roman" w:eastAsia="Times New Roman" w:hAnsi="Times New Roman"/>
                <w:sz w:val="14"/>
                <w:szCs w:val="14"/>
                <w:color w:val="auto"/>
              </w:rPr>
              <w:t>September 30, 2022</w:t>
            </w:r>
          </w:p>
        </w:tc>
        <w:tc>
          <w:tcPr>
            <w:tcW w:w="160" w:type="dxa"/>
            <w:vAlign w:val="bottom"/>
            <w:vMerge w:val="continue"/>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160" w:type="dxa"/>
            <w:vAlign w:val="bottom"/>
            <w:vMerge w:val="continue"/>
            <w:shd w:val="clear" w:color="auto" w:fill="CFF0FC"/>
          </w:tcPr>
          <w:p>
            <w:pPr>
              <w:spacing w:after="0"/>
              <w:rPr>
                <w:sz w:val="14"/>
                <w:szCs w:val="14"/>
                <w:color w:val="auto"/>
              </w:rPr>
            </w:pPr>
          </w:p>
        </w:tc>
        <w:tc>
          <w:tcPr>
            <w:tcW w:w="150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380" w:type="dxa"/>
            <w:vAlign w:val="bottom"/>
            <w:gridSpan w:val="2"/>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1180" w:type="dxa"/>
            <w:vAlign w:val="bottom"/>
            <w:gridSpan w:val="2"/>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-548005</wp:posOffset>
            </wp:positionV>
            <wp:extent cx="76835" cy="1454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-548005</wp:posOffset>
            </wp:positionV>
            <wp:extent cx="77470" cy="1454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-548005</wp:posOffset>
            </wp:positionV>
            <wp:extent cx="68580" cy="1454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-548005</wp:posOffset>
            </wp:positionV>
            <wp:extent cx="68580" cy="1454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-548005</wp:posOffset>
            </wp:positionV>
            <wp:extent cx="68580" cy="1454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1454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-24765</wp:posOffset>
            </wp:positionV>
            <wp:extent cx="768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-7620</wp:posOffset>
            </wp:positionV>
            <wp:extent cx="7683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-24765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3" w:lineRule="exact"/>
        <w:rPr>
          <w:sz w:val="20"/>
          <w:szCs w:val="20"/>
          <w:color w:val="auto"/>
        </w:rPr>
      </w:pPr>
    </w:p>
    <w:p>
      <w:pPr>
        <w:ind w:left="760" w:hanging="374"/>
        <w:spacing w:after="0"/>
        <w:tabs>
          <w:tab w:leader="none" w:pos="760" w:val="left"/>
        </w:tabs>
        <w:numPr>
          <w:ilvl w:val="0"/>
          <w:numId w:val="2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Includes PIK interest, net of reorganization and restructuring of investments.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presents a rollforward of Level 3 assets measured at fair value as of September 30,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80" w:type="dxa"/>
            <w:vAlign w:val="bottom"/>
          </w:tcPr>
          <w:p>
            <w:pPr>
              <w:spacing w:after="0"/>
              <w:rPr>
                <w:sz w:val="13"/>
                <w:szCs w:val="13"/>
                <w:color w:val="auto"/>
              </w:rPr>
            </w:pPr>
          </w:p>
        </w:tc>
        <w:tc>
          <w:tcPr>
            <w:tcW w:w="15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Senior Secured</w:t>
            </w:r>
          </w:p>
        </w:tc>
        <w:tc>
          <w:tcPr>
            <w:tcW w:w="140" w:type="dxa"/>
            <w:vAlign w:val="bottom"/>
          </w:tcPr>
          <w:p>
            <w:pPr>
              <w:spacing w:after="0"/>
              <w:rPr>
                <w:sz w:val="13"/>
                <w:szCs w:val="13"/>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Second Lien Term</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320" w:type="dxa"/>
            <w:vAlign w:val="bottom"/>
          </w:tcPr>
          <w:p>
            <w:pPr>
              <w:spacing w:after="0"/>
              <w:rPr>
                <w:sz w:val="13"/>
                <w:szCs w:val="13"/>
                <w:color w:val="auto"/>
              </w:rPr>
            </w:pPr>
          </w:p>
        </w:tc>
        <w:tc>
          <w:tcPr>
            <w:tcW w:w="12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Term Loans</w:t>
            </w:r>
          </w:p>
        </w:tc>
        <w:tc>
          <w:tcPr>
            <w:tcW w:w="140" w:type="dxa"/>
            <w:vAlign w:val="bottom"/>
          </w:tcPr>
          <w:p>
            <w:pPr>
              <w:spacing w:after="0"/>
              <w:rPr>
                <w:sz w:val="16"/>
                <w:szCs w:val="16"/>
                <w:color w:val="auto"/>
              </w:rPr>
            </w:pPr>
          </w:p>
        </w:tc>
        <w:tc>
          <w:tcPr>
            <w:tcW w:w="13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Fair value at December 31, 2020</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1,336,268</w:t>
            </w:r>
          </w:p>
        </w:tc>
        <w:tc>
          <w:tcPr>
            <w:tcW w:w="2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501,964,657</w:t>
            </w:r>
          </w:p>
        </w:tc>
        <w:tc>
          <w:tcPr>
            <w:tcW w:w="2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FF0FC"/>
          </w:tcPr>
          <w:p>
            <w:pPr>
              <w:ind w:left="120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33,008,672</w:t>
            </w:r>
          </w:p>
        </w:tc>
        <w:tc>
          <w:tcPr>
            <w:tcW w:w="26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536,309,597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Amortization of fixed income premiums or</w:t>
            </w:r>
          </w:p>
        </w:tc>
        <w:tc>
          <w:tcPr>
            <w:tcW w:w="160" w:type="dxa"/>
            <w:vAlign w:val="bottom"/>
          </w:tcPr>
          <w:p>
            <w:pPr>
              <w:spacing w:after="0"/>
              <w:rPr>
                <w:sz w:val="12"/>
                <w:szCs w:val="12"/>
                <w:color w:val="auto"/>
              </w:rPr>
            </w:pPr>
          </w:p>
        </w:tc>
        <w:tc>
          <w:tcPr>
            <w:tcW w:w="15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5,541,082</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restart"/>
          </w:tcPr>
          <w:p>
            <w:pPr>
              <w:ind w:left="120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5,541,082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accretion of discounts</w:t>
            </w: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Purchases of investments</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2,000,000</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233,311,709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475,074</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235,786,783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Sales or repayments of investments</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5"/>
                <w:szCs w:val="15"/>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(202,045,467 )</w:t>
            </w:r>
          </w:p>
        </w:tc>
        <w:tc>
          <w:tcPr>
            <w:tcW w:w="140" w:type="dxa"/>
            <w:vAlign w:val="bottom"/>
          </w:tcPr>
          <w:p>
            <w:pPr>
              <w:spacing w:after="0"/>
              <w:rPr>
                <w:sz w:val="15"/>
                <w:szCs w:val="15"/>
                <w:color w:val="auto"/>
              </w:rPr>
            </w:pPr>
          </w:p>
        </w:tc>
        <w:tc>
          <w:tcPr>
            <w:tcW w:w="1360" w:type="dxa"/>
            <w:vAlign w:val="bottom"/>
          </w:tcPr>
          <w:p>
            <w:pPr>
              <w:ind w:left="120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(86,834 )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(202,132,301 )</w:t>
            </w:r>
          </w:p>
        </w:tc>
        <w:tc>
          <w:tcPr>
            <w:tcW w:w="0" w:type="dxa"/>
            <w:vAlign w:val="bottom"/>
          </w:tcPr>
          <w:p>
            <w:pPr>
              <w:spacing w:after="0"/>
              <w:rPr>
                <w:sz w:val="1"/>
                <w:szCs w:val="1"/>
                <w:color w:val="auto"/>
              </w:rPr>
            </w:pPr>
          </w:p>
        </w:tc>
      </w:tr>
      <w:tr>
        <w:trPr>
          <w:trHeight w:val="175"/>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Transfers out of Level 3</w:t>
            </w:r>
          </w:p>
        </w:tc>
        <w:tc>
          <w:tcPr>
            <w:tcW w:w="16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36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(15,305,039 )</w:t>
            </w:r>
          </w:p>
        </w:tc>
        <w:tc>
          <w:tcPr>
            <w:tcW w:w="32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(15,305,039 )</w:t>
            </w:r>
          </w:p>
        </w:tc>
        <w:tc>
          <w:tcPr>
            <w:tcW w:w="0" w:type="dxa"/>
            <w:vAlign w:val="bottom"/>
          </w:tcPr>
          <w:p>
            <w:pPr>
              <w:spacing w:after="0"/>
              <w:rPr>
                <w:sz w:val="1"/>
                <w:szCs w:val="1"/>
                <w:color w:val="auto"/>
              </w:rPr>
            </w:pPr>
          </w:p>
        </w:tc>
      </w:tr>
      <w:tr>
        <w:trPr>
          <w:trHeight w:val="175"/>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Realized gain (loss)</w:t>
            </w:r>
          </w:p>
        </w:tc>
        <w:tc>
          <w:tcPr>
            <w:tcW w:w="160" w:type="dxa"/>
            <w:vAlign w:val="bottom"/>
          </w:tcPr>
          <w:p>
            <w:pPr>
              <w:spacing w:after="0"/>
              <w:rPr>
                <w:sz w:val="15"/>
                <w:szCs w:val="15"/>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360" w:type="dxa"/>
            <w:vAlign w:val="bottom"/>
          </w:tcPr>
          <w:p>
            <w:pPr>
              <w:ind w:left="120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(418,037 )</w:t>
            </w:r>
          </w:p>
        </w:tc>
        <w:tc>
          <w:tcPr>
            <w:tcW w:w="32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(418,037 )</w:t>
            </w:r>
          </w:p>
        </w:tc>
        <w:tc>
          <w:tcPr>
            <w:tcW w:w="0" w:type="dxa"/>
            <w:vAlign w:val="bottom"/>
          </w:tcPr>
          <w:p>
            <w:pPr>
              <w:spacing w:after="0"/>
              <w:rPr>
                <w:sz w:val="1"/>
                <w:szCs w:val="1"/>
                <w:color w:val="auto"/>
              </w:rPr>
            </w:pPr>
          </w:p>
        </w:tc>
      </w:tr>
      <w:tr>
        <w:trPr>
          <w:trHeight w:val="139"/>
        </w:trPr>
        <w:tc>
          <w:tcPr>
            <w:tcW w:w="28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Change in unrealized appreciation</w:t>
            </w:r>
          </w:p>
        </w:tc>
        <w:tc>
          <w:tcPr>
            <w:tcW w:w="160" w:type="dxa"/>
            <w:vAlign w:val="bottom"/>
            <w:shd w:val="clear" w:color="auto" w:fill="CFF0FC"/>
          </w:tcPr>
          <w:p>
            <w:pPr>
              <w:spacing w:after="0"/>
              <w:rPr>
                <w:sz w:val="12"/>
                <w:szCs w:val="12"/>
                <w:color w:val="auto"/>
              </w:rPr>
            </w:pPr>
          </w:p>
        </w:tc>
        <w:tc>
          <w:tcPr>
            <w:tcW w:w="15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(2,258,653 )</w:t>
            </w:r>
          </w:p>
        </w:tc>
        <w:tc>
          <w:tcPr>
            <w:tcW w:w="180" w:type="dxa"/>
            <w:vAlign w:val="bottom"/>
            <w:shd w:val="clear" w:color="auto" w:fill="CFF0FC"/>
          </w:tcPr>
          <w:p>
            <w:pPr>
              <w:spacing w:after="0"/>
              <w:rPr>
                <w:sz w:val="12"/>
                <w:szCs w:val="12"/>
                <w:color w:val="auto"/>
              </w:rPr>
            </w:pPr>
          </w:p>
        </w:tc>
        <w:tc>
          <w:tcPr>
            <w:tcW w:w="15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(7,166,257 )</w:t>
            </w:r>
          </w:p>
        </w:tc>
        <w:tc>
          <w:tcPr>
            <w:tcW w:w="14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ind w:left="120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3,076,220</w:t>
            </w: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(6,348,690 )</w:t>
            </w: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160" w:type="dxa"/>
            <w:vAlign w:val="bottom"/>
            <w:shd w:val="clear" w:color="auto" w:fill="CFF0FC"/>
          </w:tcPr>
          <w:p>
            <w:pPr>
              <w:spacing w:after="0"/>
              <w:rPr>
                <w:sz w:val="14"/>
                <w:szCs w:val="14"/>
                <w:color w:val="auto"/>
              </w:rPr>
            </w:pPr>
          </w:p>
        </w:tc>
        <w:tc>
          <w:tcPr>
            <w:tcW w:w="158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3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00" w:type="dxa"/>
            <w:vAlign w:val="bottom"/>
            <w:tcBorders>
              <w:top w:val="single" w:sz="8" w:color="CFF0FC"/>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rPr>
              <w:t>Fair value at September 30, 2021</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1,077,615</w:t>
            </w:r>
          </w:p>
        </w:tc>
        <w:tc>
          <w:tcPr>
            <w:tcW w:w="280" w:type="dxa"/>
            <w:vAlign w:val="bottom"/>
            <w:tcBorders>
              <w:top w:val="single" w:sz="8" w:color="CFF0FC"/>
            </w:tcBorders>
          </w:tcPr>
          <w:p>
            <w:pPr>
              <w:spacing w:after="0"/>
              <w:rPr>
                <w:sz w:val="14"/>
                <w:szCs w:val="14"/>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531,605,724</w:t>
            </w:r>
          </w:p>
        </w:tc>
        <w:tc>
          <w:tcPr>
            <w:tcW w:w="28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tcPr>
          <w:p>
            <w:pPr>
              <w:ind w:left="120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top w:val="single" w:sz="8" w:color="CFF0FC"/>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20,750,056</w:t>
            </w:r>
          </w:p>
        </w:tc>
        <w:tc>
          <w:tcPr>
            <w:tcW w:w="260" w:type="dxa"/>
            <w:vAlign w:val="bottom"/>
            <w:tcBorders>
              <w:top w:val="single" w:sz="8" w:color="CFF0FC"/>
            </w:tcBorders>
          </w:tcPr>
          <w:p>
            <w:pPr>
              <w:spacing w:after="0"/>
              <w:rPr>
                <w:sz w:val="14"/>
                <w:szCs w:val="14"/>
                <w:color w:val="auto"/>
              </w:rPr>
            </w:pP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553,433,395</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800" w:type="dxa"/>
            <w:vAlign w:val="bottom"/>
            <w:shd w:val="clear" w:color="auto" w:fill="CFF0FC"/>
          </w:tcPr>
          <w:p>
            <w:pPr>
              <w:ind w:left="20"/>
              <w:spacing w:after="0" w:line="120" w:lineRule="exact"/>
              <w:rPr>
                <w:sz w:val="20"/>
                <w:szCs w:val="20"/>
                <w:color w:val="auto"/>
              </w:rPr>
            </w:pPr>
            <w:r>
              <w:rPr>
                <w:rFonts w:ascii="Times New Roman" w:cs="Times New Roman" w:eastAsia="Times New Roman" w:hAnsi="Times New Roman"/>
                <w:sz w:val="13"/>
                <w:szCs w:val="13"/>
                <w:color w:val="auto"/>
              </w:rPr>
              <w:t>Change in unrealized appreciation</w:t>
            </w:r>
          </w:p>
        </w:tc>
        <w:tc>
          <w:tcPr>
            <w:tcW w:w="16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3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on Level 3 investments still</w:t>
            </w:r>
          </w:p>
        </w:tc>
        <w:tc>
          <w:tcPr>
            <w:tcW w:w="16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(258,653 )</w:t>
            </w:r>
          </w:p>
        </w:tc>
        <w:tc>
          <w:tcPr>
            <w:tcW w:w="1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(7,090,189 )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vMerge w:val="restart"/>
            <w:shd w:val="clear" w:color="auto" w:fill="CFF0FC"/>
          </w:tcPr>
          <w:p>
            <w:pPr>
              <w:ind w:left="1200"/>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(12,249,072 )</w:t>
            </w:r>
          </w:p>
        </w:tc>
        <w:tc>
          <w:tcPr>
            <w:tcW w:w="320" w:type="dxa"/>
            <w:vAlign w:val="bottom"/>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(19,597,914 )</w:t>
            </w:r>
          </w:p>
        </w:tc>
        <w:tc>
          <w:tcPr>
            <w:tcW w:w="0" w:type="dxa"/>
            <w:vAlign w:val="bottom"/>
          </w:tcPr>
          <w:p>
            <w:pPr>
              <w:spacing w:after="0"/>
              <w:rPr>
                <w:sz w:val="1"/>
                <w:szCs w:val="1"/>
                <w:color w:val="auto"/>
              </w:rPr>
            </w:pPr>
          </w:p>
        </w:tc>
      </w:tr>
      <w:tr>
        <w:trPr>
          <w:trHeight w:val="178"/>
        </w:trPr>
        <w:tc>
          <w:tcPr>
            <w:tcW w:w="2800" w:type="dxa"/>
            <w:vAlign w:val="bottom"/>
            <w:shd w:val="clear" w:color="auto" w:fill="CFF0FC"/>
          </w:tcPr>
          <w:p>
            <w:pPr>
              <w:ind w:left="20"/>
              <w:spacing w:after="0" w:line="158" w:lineRule="exact"/>
              <w:rPr>
                <w:sz w:val="20"/>
                <w:szCs w:val="20"/>
                <w:color w:val="auto"/>
              </w:rPr>
            </w:pPr>
            <w:r>
              <w:rPr>
                <w:rFonts w:ascii="Times New Roman" w:cs="Times New Roman" w:eastAsia="Times New Roman" w:hAnsi="Times New Roman"/>
                <w:sz w:val="14"/>
                <w:szCs w:val="14"/>
                <w:color w:val="auto"/>
              </w:rPr>
              <w:t>held as of September 30, 2021</w:t>
            </w:r>
          </w:p>
        </w:tc>
        <w:tc>
          <w:tcPr>
            <w:tcW w:w="160" w:type="dxa"/>
            <w:vAlign w:val="bottom"/>
            <w:vMerge w:val="continue"/>
            <w:shd w:val="clear" w:color="auto" w:fill="CFF0FC"/>
          </w:tcPr>
          <w:p>
            <w:pPr>
              <w:spacing w:after="0"/>
              <w:rPr>
                <w:sz w:val="15"/>
                <w:szCs w:val="15"/>
                <w:color w:val="auto"/>
              </w:rPr>
            </w:pPr>
          </w:p>
        </w:tc>
        <w:tc>
          <w:tcPr>
            <w:tcW w:w="1580" w:type="dxa"/>
            <w:vAlign w:val="bottom"/>
            <w:gridSpan w:val="2"/>
            <w:vMerge w:val="continue"/>
            <w:shd w:val="clear" w:color="auto" w:fill="CFF0FC"/>
          </w:tcPr>
          <w:p>
            <w:pPr>
              <w:spacing w:after="0"/>
              <w:rPr>
                <w:sz w:val="15"/>
                <w:szCs w:val="15"/>
                <w:color w:val="auto"/>
              </w:rPr>
            </w:pPr>
          </w:p>
        </w:tc>
        <w:tc>
          <w:tcPr>
            <w:tcW w:w="180" w:type="dxa"/>
            <w:vAlign w:val="bottom"/>
            <w:vMerge w:val="continue"/>
            <w:shd w:val="clear" w:color="auto" w:fill="CFF0FC"/>
          </w:tcPr>
          <w:p>
            <w:pPr>
              <w:spacing w:after="0"/>
              <w:rPr>
                <w:sz w:val="15"/>
                <w:szCs w:val="15"/>
                <w:color w:val="auto"/>
              </w:rPr>
            </w:pPr>
          </w:p>
        </w:tc>
        <w:tc>
          <w:tcPr>
            <w:tcW w:w="1560" w:type="dxa"/>
            <w:vAlign w:val="bottom"/>
            <w:gridSpan w:val="2"/>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1360" w:type="dxa"/>
            <w:vAlign w:val="bottom"/>
            <w:vMerge w:val="continue"/>
            <w:shd w:val="clear" w:color="auto" w:fill="CFF0FC"/>
          </w:tcPr>
          <w:p>
            <w:pPr>
              <w:spacing w:after="0"/>
              <w:rPr>
                <w:sz w:val="15"/>
                <w:szCs w:val="15"/>
                <w:color w:val="auto"/>
              </w:rPr>
            </w:pPr>
          </w:p>
        </w:tc>
        <w:tc>
          <w:tcPr>
            <w:tcW w:w="500" w:type="dxa"/>
            <w:vAlign w:val="bottom"/>
            <w:gridSpan w:val="2"/>
            <w:vMerge w:val="continue"/>
            <w:shd w:val="clear" w:color="auto" w:fill="CFF0FC"/>
          </w:tcPr>
          <w:p>
            <w:pPr>
              <w:spacing w:after="0"/>
              <w:rPr>
                <w:sz w:val="15"/>
                <w:szCs w:val="15"/>
                <w:color w:val="auto"/>
              </w:rPr>
            </w:pPr>
          </w:p>
        </w:tc>
        <w:tc>
          <w:tcPr>
            <w:tcW w:w="1440" w:type="dxa"/>
            <w:vAlign w:val="bottom"/>
            <w:gridSpan w:val="2"/>
            <w:vMerge w:val="continue"/>
            <w:shd w:val="clear" w:color="auto" w:fill="CFF0FC"/>
          </w:tcPr>
          <w:p>
            <w:pPr>
              <w:spacing w:after="0"/>
              <w:rPr>
                <w:sz w:val="15"/>
                <w:szCs w:val="15"/>
                <w:color w:val="auto"/>
              </w:rPr>
            </w:pPr>
          </w:p>
        </w:tc>
        <w:tc>
          <w:tcPr>
            <w:tcW w:w="320" w:type="dxa"/>
            <w:vAlign w:val="bottom"/>
            <w:vMerge w:val="continue"/>
            <w:shd w:val="clear" w:color="auto" w:fill="CFF0FC"/>
          </w:tcPr>
          <w:p>
            <w:pPr>
              <w:spacing w:after="0"/>
              <w:rPr>
                <w:sz w:val="15"/>
                <w:szCs w:val="15"/>
                <w:color w:val="auto"/>
              </w:rPr>
            </w:pPr>
          </w:p>
        </w:tc>
        <w:tc>
          <w:tcPr>
            <w:tcW w:w="120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-453390</wp:posOffset>
            </wp:positionV>
            <wp:extent cx="76835" cy="1454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-453390</wp:posOffset>
            </wp:positionV>
            <wp:extent cx="76835" cy="1454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-453390</wp:posOffset>
            </wp:positionV>
            <wp:extent cx="68580" cy="1454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8580" cy="1454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1454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-25400</wp:posOffset>
            </wp:positionV>
            <wp:extent cx="7683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-8255</wp:posOffset>
            </wp:positionV>
            <wp:extent cx="768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-25400</wp:posOffset>
            </wp:positionV>
            <wp:extent cx="7683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-8255</wp:posOffset>
            </wp:positionV>
            <wp:extent cx="7683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-8255</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40" w:lineRule="exact"/>
        <w:rPr>
          <w:sz w:val="20"/>
          <w:szCs w:val="20"/>
          <w:color w:val="auto"/>
        </w:rPr>
      </w:pPr>
    </w:p>
    <w:p>
      <w:pPr>
        <w:ind w:left="760" w:hanging="374"/>
        <w:spacing w:after="0"/>
        <w:tabs>
          <w:tab w:leader="none" w:pos="76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Includes PIK interest, net of reorganization and restructuring of investments.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as of September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6"/>
                <w:szCs w:val="16"/>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133"/>
        </w:trPr>
        <w:tc>
          <w:tcPr>
            <w:tcW w:w="26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440" w:type="dxa"/>
            <w:vAlign w:val="bottom"/>
            <w:gridSpan w:val="2"/>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1,228,197</w:t>
            </w:r>
          </w:p>
        </w:tc>
        <w:tc>
          <w:tcPr>
            <w:tcW w:w="280" w:type="dxa"/>
            <w:vAlign w:val="bottom"/>
            <w:shd w:val="clear" w:color="auto" w:fill="CFF0FC"/>
          </w:tcPr>
          <w:p>
            <w:pPr>
              <w:spacing w:after="0"/>
              <w:rPr>
                <w:sz w:val="11"/>
                <w:szCs w:val="11"/>
                <w:color w:val="auto"/>
              </w:rPr>
            </w:pPr>
          </w:p>
        </w:tc>
        <w:tc>
          <w:tcPr>
            <w:tcW w:w="2100" w:type="dxa"/>
            <w:vAlign w:val="bottom"/>
            <w:shd w:val="clear" w:color="auto" w:fill="CFF0FC"/>
          </w:tcPr>
          <w:p>
            <w:pPr>
              <w:jc w:val="center"/>
              <w:spacing w:after="0" w:line="133"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shd w:val="clear" w:color="auto" w:fill="CFF0FC"/>
          </w:tcPr>
          <w:p>
            <w:pPr>
              <w:spacing w:after="0"/>
              <w:rPr>
                <w:sz w:val="11"/>
                <w:szCs w:val="11"/>
                <w:color w:val="auto"/>
              </w:rPr>
            </w:pPr>
          </w:p>
        </w:tc>
        <w:tc>
          <w:tcPr>
            <w:tcW w:w="2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340" w:type="dxa"/>
            <w:vAlign w:val="bottom"/>
            <w:vMerge w:val="restart"/>
            <w:shd w:val="clear" w:color="auto" w:fill="CFF0FC"/>
          </w:tcPr>
          <w:p>
            <w:pPr>
              <w:jc w:val="center"/>
              <w:ind w:right="688"/>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5"/>
        </w:trPr>
        <w:tc>
          <w:tcPr>
            <w:tcW w:w="2620" w:type="dxa"/>
            <w:vAlign w:val="bottom"/>
            <w:vMerge w:val="continue"/>
            <w:shd w:val="clear" w:color="auto" w:fill="CFF0FC"/>
          </w:tcPr>
          <w:p>
            <w:pPr>
              <w:spacing w:after="0"/>
              <w:rPr>
                <w:sz w:val="16"/>
                <w:szCs w:val="16"/>
                <w:color w:val="auto"/>
              </w:rPr>
            </w:pPr>
          </w:p>
        </w:tc>
        <w:tc>
          <w:tcPr>
            <w:tcW w:w="440" w:type="dxa"/>
            <w:vAlign w:val="bottom"/>
            <w:gridSpan w:val="2"/>
            <w:vMerge w:val="continue"/>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shd w:val="clear" w:color="auto" w:fill="CFF0FC"/>
          </w:tcPr>
          <w:p>
            <w:pPr>
              <w:spacing w:after="0"/>
              <w:rPr>
                <w:sz w:val="16"/>
                <w:szCs w:val="16"/>
                <w:color w:val="auto"/>
              </w:rPr>
            </w:pPr>
          </w:p>
        </w:tc>
        <w:tc>
          <w:tcPr>
            <w:tcW w:w="21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Preferred Stock</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384,685</w:t>
            </w:r>
          </w:p>
        </w:tc>
        <w:tc>
          <w:tcPr>
            <w:tcW w:w="280" w:type="dxa"/>
            <w:vAlign w:val="bottom"/>
          </w:tcPr>
          <w:p>
            <w:pPr>
              <w:spacing w:after="0"/>
              <w:rPr>
                <w:sz w:val="12"/>
                <w:szCs w:val="12"/>
                <w:color w:val="auto"/>
              </w:rPr>
            </w:pPr>
          </w:p>
        </w:tc>
        <w:tc>
          <w:tcPr>
            <w:tcW w:w="210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tcPr>
          <w:p>
            <w:pPr>
              <w:spacing w:after="0"/>
              <w:rPr>
                <w:sz w:val="12"/>
                <w:szCs w:val="12"/>
                <w:color w:val="auto"/>
              </w:rPr>
            </w:pPr>
          </w:p>
        </w:tc>
        <w:tc>
          <w:tcPr>
            <w:tcW w:w="2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40" w:type="dxa"/>
            <w:vAlign w:val="bottom"/>
            <w:vMerge w:val="restart"/>
          </w:tcPr>
          <w:p>
            <w:pPr>
              <w:jc w:val="center"/>
              <w:ind w:right="688"/>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5"/>
        </w:trPr>
        <w:tc>
          <w:tcPr>
            <w:tcW w:w="2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tcPr>
          <w:p>
            <w:pPr>
              <w:spacing w:after="0"/>
              <w:rPr>
                <w:sz w:val="16"/>
                <w:szCs w:val="16"/>
                <w:color w:val="auto"/>
              </w:rPr>
            </w:pPr>
          </w:p>
        </w:tc>
        <w:tc>
          <w:tcPr>
            <w:tcW w:w="2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Senior Secured Term Loans</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841,360,595</w:t>
            </w: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34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- 25.0% (14.4%)</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Market approach</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- 19.3% (12.7%)</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21,167,394</w:t>
            </w: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134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- 40.0% (38.9%)</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Second Lien Term Loans</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13,403,245</w:t>
            </w:r>
          </w:p>
        </w:tc>
        <w:tc>
          <w:tcPr>
            <w:tcW w:w="2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- 15.7% (15.7%)</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9"/>
                <w:szCs w:val="19"/>
                <w:color w:val="auto"/>
                <w:vertAlign w:val="superscript"/>
              </w:rPr>
              <w:t>(2)</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11,436,828</w:t>
            </w: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260" w:type="dxa"/>
            <w:vAlign w:val="bottom"/>
            <w:gridSpan w:val="3"/>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rPr>
              <w:t>2.4% - 4.3% (3.5%)</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3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- 98.7% (45.0%)</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shd w:val="clear" w:color="auto" w:fill="CFF0FC"/>
          </w:tcPr>
          <w:p>
            <w:pPr>
              <w:spacing w:after="0"/>
              <w:rPr>
                <w:sz w:val="15"/>
                <w:szCs w:val="15"/>
                <w:color w:val="auto"/>
              </w:rPr>
            </w:pPr>
          </w:p>
        </w:tc>
        <w:tc>
          <w:tcPr>
            <w:tcW w:w="21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0.3 - 5.0 (2.1 years)</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Pr>
          <w:p>
            <w:pPr>
              <w:spacing w:after="0"/>
              <w:rPr>
                <w:sz w:val="15"/>
                <w:szCs w:val="15"/>
                <w:color w:val="auto"/>
              </w:rPr>
            </w:pPr>
          </w:p>
        </w:tc>
        <w:tc>
          <w:tcPr>
            <w:tcW w:w="210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1.45x - 176.14x (6.16x)</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6,883,329</w:t>
            </w: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340" w:type="dxa"/>
            <w:vAlign w:val="bottom"/>
            <w:shd w:val="clear" w:color="auto" w:fill="CFF0FC"/>
          </w:tcPr>
          <w:p>
            <w:pPr>
              <w:jc w:val="right"/>
              <w:ind w:right="308"/>
              <w:spacing w:after="0"/>
              <w:rPr>
                <w:sz w:val="20"/>
                <w:szCs w:val="20"/>
                <w:color w:val="auto"/>
              </w:rPr>
            </w:pPr>
            <w:r>
              <w:rPr>
                <w:rFonts w:ascii="Times New Roman" w:cs="Times New Roman" w:eastAsia="Times New Roman" w:hAnsi="Times New Roman"/>
                <w:sz w:val="14"/>
                <w:szCs w:val="14"/>
                <w:color w:val="auto"/>
              </w:rPr>
              <w:t>- 40.0% (32.4%)</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2.73x -</w:t>
            </w:r>
          </w:p>
        </w:tc>
        <w:tc>
          <w:tcPr>
            <w:tcW w:w="13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204.18x (12.59x)</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 Level 3 Investments</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895,864,273</w:t>
            </w:r>
          </w:p>
        </w:tc>
        <w:tc>
          <w:tcPr>
            <w:tcW w:w="280" w:type="dxa"/>
            <w:vAlign w:val="bottom"/>
            <w:tcBorders>
              <w:bottom w:val="single" w:sz="8" w:color="CFF0FC"/>
            </w:tcBorders>
            <w:shd w:val="clear" w:color="auto" w:fill="CFF0FC"/>
          </w:tcPr>
          <w:p>
            <w:pPr>
              <w:spacing w:after="0"/>
              <w:rPr>
                <w:sz w:val="18"/>
                <w:szCs w:val="18"/>
                <w:color w:val="auto"/>
              </w:rPr>
            </w:pPr>
          </w:p>
        </w:tc>
        <w:tc>
          <w:tcPr>
            <w:tcW w:w="2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1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9900" w:type="dxa"/>
            <w:vAlign w:val="bottom"/>
            <w:gridSpan w:val="10"/>
          </w:tcPr>
          <w:p>
            <w:pPr>
              <w:ind w:left="76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as of December 31, 2021: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-299720</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2739390</wp:posOffset>
            </wp:positionH>
            <wp:positionV relativeFrom="paragraph">
              <wp:posOffset>-282575</wp:posOffset>
            </wp:positionV>
            <wp:extent cx="768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8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6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60" w:type="dxa"/>
            <w:vAlign w:val="bottom"/>
          </w:tcPr>
          <w:p>
            <w:pPr>
              <w:spacing w:after="0"/>
              <w:rPr>
                <w:sz w:val="16"/>
                <w:szCs w:val="16"/>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Range (Weighted Average)</w:t>
            </w:r>
          </w:p>
        </w:tc>
        <w:tc>
          <w:tcPr>
            <w:tcW w:w="0" w:type="dxa"/>
            <w:vAlign w:val="bottom"/>
          </w:tcPr>
          <w:p>
            <w:pPr>
              <w:spacing w:after="0"/>
              <w:rPr>
                <w:sz w:val="1"/>
                <w:szCs w:val="1"/>
                <w:color w:val="auto"/>
              </w:rPr>
            </w:pPr>
          </w:p>
        </w:tc>
      </w:tr>
      <w:tr>
        <w:trPr>
          <w:trHeight w:val="133"/>
        </w:trPr>
        <w:tc>
          <w:tcPr>
            <w:tcW w:w="26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Preferred Stock</w:t>
            </w:r>
          </w:p>
        </w:tc>
        <w:tc>
          <w:tcPr>
            <w:tcW w:w="4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1,332,420</w:t>
            </w:r>
          </w:p>
        </w:tc>
        <w:tc>
          <w:tcPr>
            <w:tcW w:w="280" w:type="dxa"/>
            <w:vAlign w:val="bottom"/>
            <w:shd w:val="clear" w:color="auto" w:fill="CFF0FC"/>
          </w:tcPr>
          <w:p>
            <w:pPr>
              <w:spacing w:after="0"/>
              <w:rPr>
                <w:sz w:val="11"/>
                <w:szCs w:val="11"/>
                <w:color w:val="auto"/>
              </w:rPr>
            </w:pPr>
          </w:p>
        </w:tc>
        <w:tc>
          <w:tcPr>
            <w:tcW w:w="2100" w:type="dxa"/>
            <w:vAlign w:val="bottom"/>
            <w:shd w:val="clear" w:color="auto" w:fill="CFF0FC"/>
          </w:tcPr>
          <w:p>
            <w:pPr>
              <w:jc w:val="center"/>
              <w:spacing w:after="0" w:line="133" w:lineRule="exact"/>
              <w:rPr>
                <w:sz w:val="20"/>
                <w:szCs w:val="20"/>
                <w:color w:val="auto"/>
              </w:rPr>
            </w:pPr>
            <w:r>
              <w:rPr>
                <w:rFonts w:ascii="Times New Roman" w:cs="Times New Roman" w:eastAsia="Times New Roman" w:hAnsi="Times New Roman"/>
                <w:sz w:val="14"/>
                <w:szCs w:val="14"/>
                <w:color w:val="auto"/>
              </w:rPr>
              <w:t>Recent private market and merger</w:t>
            </w:r>
          </w:p>
        </w:tc>
        <w:tc>
          <w:tcPr>
            <w:tcW w:w="160" w:type="dxa"/>
            <w:vAlign w:val="bottom"/>
            <w:shd w:val="clear" w:color="auto" w:fill="CFF0FC"/>
          </w:tcPr>
          <w:p>
            <w:pPr>
              <w:spacing w:after="0"/>
              <w:rPr>
                <w:sz w:val="11"/>
                <w:szCs w:val="11"/>
                <w:color w:val="auto"/>
              </w:rPr>
            </w:pPr>
          </w:p>
        </w:tc>
        <w:tc>
          <w:tcPr>
            <w:tcW w:w="212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N/A</w:t>
            </w:r>
          </w:p>
        </w:tc>
        <w:tc>
          <w:tcPr>
            <w:tcW w:w="160" w:type="dxa"/>
            <w:vAlign w:val="bottom"/>
            <w:shd w:val="clear" w:color="auto" w:fill="CFF0FC"/>
          </w:tcPr>
          <w:p>
            <w:pPr>
              <w:spacing w:after="0"/>
              <w:rPr>
                <w:sz w:val="11"/>
                <w:szCs w:val="11"/>
                <w:color w:val="auto"/>
              </w:rPr>
            </w:pPr>
          </w:p>
        </w:tc>
        <w:tc>
          <w:tcPr>
            <w:tcW w:w="210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5"/>
        </w:trPr>
        <w:tc>
          <w:tcPr>
            <w:tcW w:w="2620" w:type="dxa"/>
            <w:vAlign w:val="bottom"/>
            <w:shd w:val="clear" w:color="auto" w:fill="CFF0FC"/>
          </w:tcPr>
          <w:p>
            <w:pPr>
              <w:spacing w:after="0"/>
              <w:rPr>
                <w:sz w:val="16"/>
                <w:szCs w:val="16"/>
                <w:color w:val="auto"/>
              </w:rPr>
            </w:pPr>
          </w:p>
        </w:tc>
        <w:tc>
          <w:tcPr>
            <w:tcW w:w="440" w:type="dxa"/>
            <w:vAlign w:val="bottom"/>
            <w:gridSpan w:val="2"/>
            <w:vMerge w:val="continue"/>
            <w:shd w:val="clear" w:color="auto" w:fill="CFF0FC"/>
          </w:tcPr>
          <w:p>
            <w:pPr>
              <w:spacing w:after="0"/>
              <w:rPr>
                <w:sz w:val="16"/>
                <w:szCs w:val="16"/>
                <w:color w:val="auto"/>
              </w:rPr>
            </w:pPr>
          </w:p>
        </w:tc>
        <w:tc>
          <w:tcPr>
            <w:tcW w:w="1260" w:type="dxa"/>
            <w:vAlign w:val="bottom"/>
            <w:vMerge w:val="continue"/>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and acquisition transaction prices</w:t>
            </w:r>
          </w:p>
        </w:tc>
        <w:tc>
          <w:tcPr>
            <w:tcW w:w="160" w:type="dxa"/>
            <w:vAlign w:val="bottom"/>
            <w:shd w:val="clear" w:color="auto" w:fill="CFF0FC"/>
          </w:tcPr>
          <w:p>
            <w:pPr>
              <w:spacing w:after="0"/>
              <w:rPr>
                <w:sz w:val="16"/>
                <w:szCs w:val="16"/>
                <w:color w:val="auto"/>
              </w:rPr>
            </w:pPr>
          </w:p>
        </w:tc>
        <w:tc>
          <w:tcPr>
            <w:tcW w:w="2120" w:type="dxa"/>
            <w:vAlign w:val="bottom"/>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1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Senior Secured Term Loans</w:t>
            </w:r>
            <w:r>
              <w:rPr>
                <w:rFonts w:ascii="Times New Roman" w:cs="Times New Roman" w:eastAsia="Times New Roman" w:hAnsi="Times New Roman"/>
                <w:sz w:val="19"/>
                <w:szCs w:val="19"/>
                <w:color w:val="auto"/>
                <w:vertAlign w:val="superscript"/>
              </w:rPr>
              <w:t>(1)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594,793,670</w:t>
            </w:r>
          </w:p>
        </w:tc>
        <w:tc>
          <w:tcPr>
            <w:tcW w:w="2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2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6.2% - 71.2% (12.9%)</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Market approach</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Origination yield</w:t>
            </w:r>
          </w:p>
        </w:tc>
        <w:tc>
          <w:tcPr>
            <w:tcW w:w="22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5.1% - 100.1% (11.8%)</w:t>
            </w: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28,259,976</w:t>
            </w:r>
          </w:p>
        </w:tc>
        <w:tc>
          <w:tcPr>
            <w:tcW w:w="2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2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16.3% - 25.0% (20.8%)</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Second Lien Term Loans</w:t>
            </w:r>
            <w:r>
              <w:rPr>
                <w:rFonts w:ascii="Times New Roman" w:cs="Times New Roman" w:eastAsia="Times New Roman" w:hAnsi="Times New Roman"/>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12,872,588</w:t>
            </w: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Discounted Cash Flow analysis</w:t>
            </w: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2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12.2% - 12.2% (12.2%)</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Warrants</w:t>
            </w:r>
            <w:r>
              <w:rPr>
                <w:rFonts w:ascii="Times New Roman" w:cs="Times New Roman" w:eastAsia="Times New Roman" w:hAnsi="Times New Roman"/>
                <w:sz w:val="19"/>
                <w:szCs w:val="19"/>
                <w:color w:val="auto"/>
                <w:vertAlign w:val="superscript"/>
              </w:rPr>
              <w:t>(2)</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13,132,780</w:t>
            </w:r>
          </w:p>
        </w:tc>
        <w:tc>
          <w:tcPr>
            <w:tcW w:w="2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Option pricing model</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Risk-free interest rate</w:t>
            </w:r>
          </w:p>
        </w:tc>
        <w:tc>
          <w:tcPr>
            <w:tcW w:w="22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0.1% - 1.2% (0.5%)</w:t>
            </w: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Average industry volatility</w:t>
            </w:r>
          </w:p>
        </w:tc>
        <w:tc>
          <w:tcPr>
            <w:tcW w:w="22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20.0% - 75.0% (39.6%)</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Estimated time to exit</w:t>
            </w:r>
          </w:p>
        </w:tc>
        <w:tc>
          <w:tcPr>
            <w:tcW w:w="16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0.5 - 5.7 (2.0 yrs)</w:t>
            </w: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shd w:val="clear" w:color="auto" w:fill="CFF0FC"/>
          </w:tcPr>
          <w:p>
            <w:pPr>
              <w:spacing w:after="0"/>
              <w:rPr>
                <w:sz w:val="15"/>
                <w:szCs w:val="15"/>
                <w:color w:val="auto"/>
              </w:rPr>
            </w:pPr>
          </w:p>
        </w:tc>
        <w:tc>
          <w:tcPr>
            <w:tcW w:w="2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0.00x - 13.46x (6.16x)</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6,954,770</w:t>
            </w:r>
          </w:p>
        </w:tc>
        <w:tc>
          <w:tcPr>
            <w:tcW w:w="280" w:type="dxa"/>
            <w:vAlign w:val="bottom"/>
          </w:tcPr>
          <w:p>
            <w:pPr>
              <w:spacing w:after="0"/>
              <w:rPr>
                <w:sz w:val="15"/>
                <w:szCs w:val="15"/>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PWERM</w:t>
            </w:r>
          </w:p>
        </w:tc>
        <w:tc>
          <w:tcPr>
            <w:tcW w:w="160" w:type="dxa"/>
            <w:vAlign w:val="bottom"/>
          </w:tcPr>
          <w:p>
            <w:pPr>
              <w:spacing w:after="0"/>
              <w:rPr>
                <w:sz w:val="15"/>
                <w:szCs w:val="15"/>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Discount rate</w:t>
            </w:r>
          </w:p>
        </w:tc>
        <w:tc>
          <w:tcPr>
            <w:tcW w:w="22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30.0% - 46.0% (36.0%)</w:t>
            </w:r>
          </w:p>
        </w:tc>
        <w:tc>
          <w:tcPr>
            <w:tcW w:w="0" w:type="dxa"/>
            <w:vAlign w:val="bottom"/>
          </w:tcPr>
          <w:p>
            <w:pPr>
              <w:spacing w:after="0"/>
              <w:rPr>
                <w:sz w:val="1"/>
                <w:szCs w:val="1"/>
                <w:color w:val="auto"/>
              </w:rPr>
            </w:pPr>
          </w:p>
        </w:tc>
      </w:tr>
      <w:tr>
        <w:trPr>
          <w:trHeight w:val="175"/>
        </w:trPr>
        <w:tc>
          <w:tcPr>
            <w:tcW w:w="26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1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Revenue multiples</w:t>
            </w:r>
          </w:p>
        </w:tc>
        <w:tc>
          <w:tcPr>
            <w:tcW w:w="160" w:type="dxa"/>
            <w:vAlign w:val="bottom"/>
            <w:tcBorders>
              <w:bottom w:val="single" w:sz="8" w:color="CFF0FC"/>
            </w:tcBorders>
            <w:shd w:val="clear" w:color="auto" w:fill="CFF0FC"/>
          </w:tcPr>
          <w:p>
            <w:pPr>
              <w:spacing w:after="0"/>
              <w:rPr>
                <w:sz w:val="15"/>
                <w:szCs w:val="15"/>
                <w:color w:val="auto"/>
              </w:rPr>
            </w:pPr>
          </w:p>
        </w:tc>
        <w:tc>
          <w:tcPr>
            <w:tcW w:w="21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2.94x - 123.71x (9.53x)</w:t>
            </w:r>
          </w:p>
        </w:tc>
        <w:tc>
          <w:tcPr>
            <w:tcW w:w="0" w:type="dxa"/>
            <w:vAlign w:val="bottom"/>
          </w:tcPr>
          <w:p>
            <w:pPr>
              <w:spacing w:after="0"/>
              <w:rPr>
                <w:sz w:val="1"/>
                <w:szCs w:val="1"/>
                <w:color w:val="auto"/>
              </w:rPr>
            </w:pPr>
          </w:p>
        </w:tc>
      </w:tr>
      <w:tr>
        <w:trPr>
          <w:trHeight w:val="169"/>
        </w:trPr>
        <w:tc>
          <w:tcPr>
            <w:tcW w:w="2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Level 3 Investments</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657,346,204</w:t>
            </w:r>
          </w:p>
        </w:tc>
        <w:tc>
          <w:tcPr>
            <w:tcW w:w="2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-144780</wp:posOffset>
            </wp:positionV>
            <wp:extent cx="76835" cy="1454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308" w:lineRule="exact"/>
        <w:rPr>
          <w:sz w:val="20"/>
          <w:szCs w:val="20"/>
          <w:color w:val="auto"/>
        </w:rPr>
      </w:pPr>
    </w:p>
    <w:p>
      <w:pPr>
        <w:jc w:val="both"/>
        <w:ind w:left="760" w:hanging="374"/>
        <w:spacing w:after="0" w:line="236" w:lineRule="auto"/>
        <w:tabs>
          <w:tab w:leader="none" w:pos="7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83" w:lineRule="exact"/>
        <w:rPr>
          <w:rFonts w:ascii="Times New Roman" w:cs="Times New Roman" w:eastAsia="Times New Roman" w:hAnsi="Times New Roman"/>
          <w:sz w:val="19"/>
          <w:szCs w:val="19"/>
          <w:color w:val="auto"/>
          <w:vertAlign w:val="superscript"/>
        </w:rPr>
      </w:pPr>
    </w:p>
    <w:p>
      <w:pPr>
        <w:jc w:val="both"/>
        <w:ind w:left="760" w:hanging="374"/>
        <w:spacing w:after="0" w:line="237" w:lineRule="auto"/>
        <w:tabs>
          <w:tab w:leader="none" w:pos="760" w:val="left"/>
        </w:tabs>
        <w:numPr>
          <w:ilvl w:val="0"/>
          <w:numId w:val="2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September 30, 2022 and the year ended December 31, 2021.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and nine months ended September 30, 2022, the Company had a net realized gain/(loss) of $(583,365) and $(850,754), respectively, and a net change in unrealized appreciation/(depreciation) of $181,741 and $340,837, respectively, from its investments in warrants. For the three and nine months ended September 30, 2021, the Company had a net realized gain/(loss) of $72,371 and $(418,037), respectively, and a net change in unrealized depreciation of $2,463,752 and $3,076,220, respectively, from its investments in warrants. Realized gain/(loss) from warrants is included in Realized gain/(loss) on non-control/non-affiliate investments, including U.S. Treasury Bills on the Statement of Operations. Net change in unrealized appreciation/(depreciation) from investments in warrants is included in Net Change in unrealized appreciation (depreciation) on non-control/non-affiliate investments, including U.S. Treasury Bills.</w:t>
      </w:r>
    </w:p>
    <w:p>
      <w:pPr>
        <w:spacing w:after="0" w:line="185"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Borrowings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the Company's borrowings as of September 30, 2022 and December 31,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2"/>
                <w:szCs w:val="12"/>
                <w:color w:val="auto"/>
              </w:rPr>
            </w:pPr>
          </w:p>
        </w:tc>
        <w:tc>
          <w:tcPr>
            <w:tcW w:w="1280" w:type="dxa"/>
            <w:vAlign w:val="bottom"/>
            <w:gridSpan w:val="3"/>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2"/>
                <w:szCs w:val="12"/>
                <w:color w:val="auto"/>
              </w:rPr>
            </w:pPr>
          </w:p>
        </w:tc>
        <w:tc>
          <w:tcPr>
            <w:tcW w:w="1220" w:type="dxa"/>
            <w:vAlign w:val="bottom"/>
            <w:gridSpan w:val="3"/>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12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508"/>
              <w:spacing w:after="0" w:line="189"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9"/>
                <w:szCs w:val="19"/>
                <w:b w:val="1"/>
                <w:bCs w:val="1"/>
                <w:color w:val="auto"/>
                <w:vertAlign w:val="superscript"/>
              </w:rPr>
              <w:t>(1)</w:t>
            </w:r>
          </w:p>
        </w:tc>
        <w:tc>
          <w:tcPr>
            <w:tcW w:w="1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Commitment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48"/>
              <w:spacing w:after="0" w:line="189" w:lineRule="exact"/>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9"/>
                <w:szCs w:val="19"/>
                <w:b w:val="1"/>
                <w:bCs w:val="1"/>
                <w:color w:val="auto"/>
                <w:vertAlign w:val="superscript"/>
              </w:rPr>
              <w:t>(1)</w:t>
            </w: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425,000,000</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175,000,000</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(4,990,643</w:t>
            </w:r>
          </w:p>
        </w:tc>
        <w:tc>
          <w:tcPr>
            <w:tcW w:w="24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170,009,357</w:t>
            </w:r>
          </w:p>
        </w:tc>
        <w:tc>
          <w:tcPr>
            <w:tcW w:w="26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350,000,000</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61,000,000</w:t>
            </w:r>
          </w:p>
        </w:tc>
        <w:tc>
          <w:tcPr>
            <w:tcW w:w="2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(1,135,511</w:t>
            </w:r>
          </w:p>
        </w:tc>
        <w:tc>
          <w:tcPr>
            <w:tcW w:w="2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59,864,489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70,000,000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70,000,000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(869,686 )</w:t>
            </w: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69,130,314</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(376,029 )</w:t>
            </w: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19,623,971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2027 Notes</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80,500,000</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80,500,000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(2,495,400 )</w:t>
            </w: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78,004,600</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12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August 2027</w:t>
            </w:r>
          </w:p>
        </w:tc>
        <w:tc>
          <w:tcPr>
            <w:tcW w:w="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20,000,000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(599,505 )</w:t>
            </w:r>
          </w:p>
        </w:tc>
        <w:tc>
          <w:tcPr>
            <w:tcW w:w="22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19,400,495</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Notes</w:t>
            </w: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595,500,000</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345,500,000</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(8,955,234</w:t>
            </w:r>
          </w:p>
        </w:tc>
        <w:tc>
          <w:tcPr>
            <w:tcW w:w="240" w:type="dxa"/>
            <w:vAlign w:val="bottom"/>
            <w:tcBorders>
              <w:bottom w:val="single" w:sz="8" w:color="CFF0FC"/>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336,544,766</w:t>
            </w:r>
          </w:p>
        </w:tc>
        <w:tc>
          <w:tcPr>
            <w:tcW w:w="2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370,000,000</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81,000,000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(1,511,540</w:t>
            </w:r>
          </w:p>
        </w:tc>
        <w:tc>
          <w:tcPr>
            <w:tcW w:w="220" w:type="dxa"/>
            <w:vAlign w:val="bottom"/>
            <w:tcBorders>
              <w:bottom w:val="single" w:sz="8" w:color="CFF0FC"/>
            </w:tcBorders>
            <w:shd w:val="clear" w:color="auto" w:fill="CFF0FC"/>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79,488,460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-24765</wp:posOffset>
            </wp:positionV>
            <wp:extent cx="774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-7620</wp:posOffset>
            </wp:positionV>
            <wp:extent cx="774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-24765</wp:posOffset>
            </wp:positionV>
            <wp:extent cx="774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-7620</wp:posOffset>
            </wp:positionV>
            <wp:extent cx="774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-24765</wp:posOffset>
            </wp:positionV>
            <wp:extent cx="768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-7620</wp:posOffset>
            </wp:positionV>
            <wp:extent cx="7683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-24765</wp:posOffset>
            </wp:positionV>
            <wp:extent cx="774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7747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90309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32" w:lineRule="exact"/>
        <w:rPr>
          <w:sz w:val="20"/>
          <w:szCs w:val="20"/>
          <w:color w:val="auto"/>
        </w:rPr>
      </w:pPr>
    </w:p>
    <w:p>
      <w:pPr>
        <w:ind w:left="540" w:hanging="158"/>
        <w:spacing w:after="0"/>
        <w:tabs>
          <w:tab w:leader="none" w:pos="540"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of accumulated amortization.</w:t>
      </w:r>
    </w:p>
    <w:p>
      <w:pPr>
        <w:spacing w:after="0" w:line="19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components of interest expense, amortization of deferred debt costs, and the unused fees on the Credit Facility (as defined below) on the Company's borrowings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7"/>
          </w:tcPr>
          <w:p>
            <w:pPr>
              <w:jc w:val="right"/>
              <w:ind w:right="327"/>
              <w:spacing w:after="0"/>
              <w:rPr>
                <w:sz w:val="20"/>
                <w:szCs w:val="20"/>
                <w:color w:val="auto"/>
              </w:rPr>
            </w:pPr>
            <w:r>
              <w:rPr>
                <w:rFonts w:ascii="Times New Roman" w:cs="Times New Roman" w:eastAsia="Times New Roman" w:hAnsi="Times New Roman"/>
                <w:sz w:val="11"/>
                <w:szCs w:val="11"/>
                <w:b w:val="1"/>
                <w:bCs w:val="1"/>
                <w:color w:val="auto"/>
              </w:rPr>
              <w:t>Three Months Ended September 30, 2022</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7"/>
          </w:tcPr>
          <w:p>
            <w:pPr>
              <w:jc w:val="right"/>
              <w:ind w:right="167"/>
              <w:spacing w:after="0"/>
              <w:rPr>
                <w:sz w:val="20"/>
                <w:szCs w:val="20"/>
                <w:color w:val="auto"/>
              </w:rPr>
            </w:pPr>
            <w:r>
              <w:rPr>
                <w:rFonts w:ascii="Times New Roman" w:cs="Times New Roman" w:eastAsia="Times New Roman" w:hAnsi="Times New Roman"/>
                <w:sz w:val="11"/>
                <w:szCs w:val="11"/>
                <w:b w:val="1"/>
                <w:bCs w:val="1"/>
                <w:color w:val="auto"/>
              </w:rPr>
              <w:t>Nine Months Ended September 30, 2022</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center"/>
              <w:ind w:right="7"/>
              <w:spacing w:after="0" w:line="92" w:lineRule="exact"/>
              <w:rPr>
                <w:sz w:val="20"/>
                <w:szCs w:val="20"/>
                <w:color w:val="auto"/>
              </w:rPr>
            </w:pPr>
            <w:r>
              <w:rPr>
                <w:rFonts w:ascii="Times New Roman" w:cs="Times New Roman" w:eastAsia="Times New Roman" w:hAnsi="Times New Roman"/>
                <w:sz w:val="10"/>
                <w:szCs w:val="10"/>
                <w:b w:val="1"/>
                <w:bCs w:val="1"/>
                <w:color w:val="auto"/>
              </w:rPr>
              <w:t>Amortization</w:t>
            </w: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jc w:val="center"/>
              <w:ind w:right="107"/>
              <w:spacing w:after="0" w:line="92" w:lineRule="exact"/>
              <w:rPr>
                <w:sz w:val="20"/>
                <w:szCs w:val="20"/>
                <w:color w:val="auto"/>
              </w:rPr>
            </w:pPr>
            <w:r>
              <w:rPr>
                <w:rFonts w:ascii="Times New Roman" w:cs="Times New Roman" w:eastAsia="Times New Roman" w:hAnsi="Times New Roman"/>
                <w:sz w:val="10"/>
                <w:szCs w:val="10"/>
                <w:b w:val="1"/>
                <w:bCs w:val="1"/>
                <w:color w:val="auto"/>
                <w:w w:val="96"/>
              </w:rPr>
              <w:t>Total</w:t>
            </w:r>
          </w:p>
        </w:tc>
        <w:tc>
          <w:tcPr>
            <w:tcW w:w="240" w:type="dxa"/>
            <w:vAlign w:val="bottom"/>
          </w:tcPr>
          <w:p>
            <w:pPr>
              <w:spacing w:after="0"/>
              <w:rPr>
                <w:sz w:val="8"/>
                <w:szCs w:val="8"/>
                <w:color w:val="auto"/>
              </w:rPr>
            </w:pPr>
          </w:p>
        </w:tc>
        <w:tc>
          <w:tcPr>
            <w:tcW w:w="800" w:type="dxa"/>
            <w:vAlign w:val="bottom"/>
          </w:tcPr>
          <w:p>
            <w:pPr>
              <w:jc w:val="center"/>
              <w:ind w:left="107"/>
              <w:spacing w:after="0" w:line="92" w:lineRule="exact"/>
              <w:rPr>
                <w:sz w:val="20"/>
                <w:szCs w:val="20"/>
                <w:color w:val="auto"/>
              </w:rPr>
            </w:pPr>
            <w:r>
              <w:rPr>
                <w:rFonts w:ascii="Times New Roman" w:cs="Times New Roman" w:eastAsia="Times New Roman" w:hAnsi="Times New Roman"/>
                <w:sz w:val="10"/>
                <w:szCs w:val="10"/>
                <w:b w:val="1"/>
                <w:bCs w:val="1"/>
                <w:color w:val="auto"/>
              </w:rPr>
              <w:t>Weighted</w:t>
            </w: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jc w:val="center"/>
              <w:ind w:right="7"/>
              <w:spacing w:after="0" w:line="92" w:lineRule="exact"/>
              <w:rPr>
                <w:sz w:val="20"/>
                <w:szCs w:val="20"/>
                <w:color w:val="auto"/>
              </w:rPr>
            </w:pPr>
            <w:r>
              <w:rPr>
                <w:rFonts w:ascii="Times New Roman" w:cs="Times New Roman" w:eastAsia="Times New Roman" w:hAnsi="Times New Roman"/>
                <w:sz w:val="10"/>
                <w:szCs w:val="10"/>
                <w:b w:val="1"/>
                <w:bCs w:val="1"/>
                <w:color w:val="auto"/>
              </w:rPr>
              <w:t>Amortization</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center"/>
              <w:ind w:right="87"/>
              <w:spacing w:after="0" w:line="92" w:lineRule="exact"/>
              <w:rPr>
                <w:sz w:val="20"/>
                <w:szCs w:val="20"/>
                <w:color w:val="auto"/>
              </w:rPr>
            </w:pPr>
            <w:r>
              <w:rPr>
                <w:rFonts w:ascii="Times New Roman" w:cs="Times New Roman" w:eastAsia="Times New Roman" w:hAnsi="Times New Roman"/>
                <w:sz w:val="10"/>
                <w:szCs w:val="10"/>
                <w:b w:val="1"/>
                <w:bCs w:val="1"/>
                <w:color w:val="auto"/>
              </w:rPr>
              <w:t>Total</w:t>
            </w:r>
          </w:p>
        </w:tc>
        <w:tc>
          <w:tcPr>
            <w:tcW w:w="240" w:type="dxa"/>
            <w:vAlign w:val="bottom"/>
          </w:tcPr>
          <w:p>
            <w:pPr>
              <w:spacing w:after="0"/>
              <w:rPr>
                <w:sz w:val="8"/>
                <w:szCs w:val="8"/>
                <w:color w:val="auto"/>
              </w:rPr>
            </w:pPr>
          </w:p>
        </w:tc>
        <w:tc>
          <w:tcPr>
            <w:tcW w:w="940" w:type="dxa"/>
            <w:vAlign w:val="bottom"/>
          </w:tcPr>
          <w:p>
            <w:pPr>
              <w:jc w:val="center"/>
              <w:ind w:left="87"/>
              <w:spacing w:after="0" w:line="92" w:lineRule="exact"/>
              <w:rPr>
                <w:sz w:val="20"/>
                <w:szCs w:val="20"/>
                <w:color w:val="auto"/>
              </w:rPr>
            </w:pPr>
            <w:r>
              <w:rPr>
                <w:rFonts w:ascii="Times New Roman" w:cs="Times New Roman" w:eastAsia="Times New Roman" w:hAnsi="Times New Roman"/>
                <w:sz w:val="10"/>
                <w:szCs w:val="10"/>
                <w:b w:val="1"/>
                <w:bCs w:val="1"/>
                <w:color w:val="auto"/>
              </w:rPr>
              <w:t>Weighted</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27"/>
              <w:spacing w:after="0" w:line="122"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26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97"/>
              </w:rPr>
              <w:t>Unused Facility</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107"/>
              <w:spacing w:after="0" w:line="122" w:lineRule="exact"/>
              <w:rPr>
                <w:sz w:val="20"/>
                <w:szCs w:val="20"/>
                <w:color w:val="auto"/>
              </w:rPr>
            </w:pPr>
            <w:r>
              <w:rPr>
                <w:rFonts w:ascii="Times New Roman" w:cs="Times New Roman" w:eastAsia="Times New Roman" w:hAnsi="Times New Roman"/>
                <w:sz w:val="11"/>
                <w:szCs w:val="11"/>
                <w:b w:val="1"/>
                <w:bCs w:val="1"/>
                <w:color w:val="auto"/>
                <w:w w:val="92"/>
              </w:rPr>
              <w:t>Interest</w:t>
            </w:r>
          </w:p>
        </w:tc>
        <w:tc>
          <w:tcPr>
            <w:tcW w:w="240" w:type="dxa"/>
            <w:vAlign w:val="bottom"/>
          </w:tcPr>
          <w:p>
            <w:pPr>
              <w:spacing w:after="0"/>
              <w:rPr>
                <w:sz w:val="10"/>
                <w:szCs w:val="10"/>
                <w:color w:val="auto"/>
              </w:rPr>
            </w:pPr>
          </w:p>
        </w:tc>
        <w:tc>
          <w:tcPr>
            <w:tcW w:w="800" w:type="dxa"/>
            <w:vAlign w:val="bottom"/>
          </w:tcPr>
          <w:p>
            <w:pPr>
              <w:jc w:val="center"/>
              <w:ind w:left="87"/>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7"/>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Unused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87"/>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240" w:type="dxa"/>
            <w:vAlign w:val="bottom"/>
          </w:tcPr>
          <w:p>
            <w:pPr>
              <w:spacing w:after="0"/>
              <w:rPr>
                <w:sz w:val="10"/>
                <w:szCs w:val="10"/>
                <w:color w:val="auto"/>
              </w:rPr>
            </w:pPr>
          </w:p>
        </w:tc>
        <w:tc>
          <w:tcPr>
            <w:tcW w:w="940" w:type="dxa"/>
            <w:vAlign w:val="bottom"/>
          </w:tcPr>
          <w:p>
            <w:pPr>
              <w:jc w:val="center"/>
              <w:ind w:left="107"/>
              <w:spacing w:after="0" w:line="122"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47"/>
              <w:spacing w:after="0" w:line="108" w:lineRule="exact"/>
              <w:rPr>
                <w:sz w:val="20"/>
                <w:szCs w:val="20"/>
                <w:color w:val="auto"/>
              </w:rPr>
            </w:pPr>
            <w:r>
              <w:rPr>
                <w:rFonts w:ascii="Times New Roman" w:cs="Times New Roman" w:eastAsia="Times New Roman" w:hAnsi="Times New Roman"/>
                <w:sz w:val="11"/>
                <w:szCs w:val="11"/>
                <w:b w:val="1"/>
                <w:bCs w:val="1"/>
                <w:color w:val="auto"/>
                <w:w w:val="99"/>
              </w:rPr>
              <w:t>Deferred</w:t>
            </w:r>
          </w:p>
        </w:tc>
        <w:tc>
          <w:tcPr>
            <w:tcW w:w="2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center"/>
              <w:ind w:right="107"/>
              <w:spacing w:after="0" w:line="108" w:lineRule="exact"/>
              <w:rPr>
                <w:sz w:val="20"/>
                <w:szCs w:val="20"/>
                <w:color w:val="auto"/>
              </w:rPr>
            </w:pPr>
            <w:r>
              <w:rPr>
                <w:rFonts w:ascii="Times New Roman" w:cs="Times New Roman" w:eastAsia="Times New Roman" w:hAnsi="Times New Roman"/>
                <w:sz w:val="11"/>
                <w:szCs w:val="11"/>
                <w:b w:val="1"/>
                <w:bCs w:val="1"/>
                <w:color w:val="auto"/>
                <w:w w:val="97"/>
              </w:rPr>
              <w:t>Expense</w:t>
            </w:r>
          </w:p>
        </w:tc>
        <w:tc>
          <w:tcPr>
            <w:tcW w:w="240" w:type="dxa"/>
            <w:vAlign w:val="bottom"/>
          </w:tcPr>
          <w:p>
            <w:pPr>
              <w:spacing w:after="0"/>
              <w:rPr>
                <w:sz w:val="9"/>
                <w:szCs w:val="9"/>
                <w:color w:val="auto"/>
              </w:rPr>
            </w:pPr>
          </w:p>
        </w:tc>
        <w:tc>
          <w:tcPr>
            <w:tcW w:w="800" w:type="dxa"/>
            <w:vAlign w:val="bottom"/>
          </w:tcPr>
          <w:p>
            <w:pPr>
              <w:jc w:val="center"/>
              <w:ind w:left="107"/>
              <w:spacing w:after="0" w:line="108" w:lineRule="exact"/>
              <w:rPr>
                <w:sz w:val="20"/>
                <w:szCs w:val="20"/>
                <w:color w:val="auto"/>
              </w:rPr>
            </w:pPr>
            <w:r>
              <w:rPr>
                <w:rFonts w:ascii="Times New Roman" w:cs="Times New Roman" w:eastAsia="Times New Roman" w:hAnsi="Times New Roman"/>
                <w:sz w:val="11"/>
                <w:szCs w:val="11"/>
                <w:b w:val="1"/>
                <w:bCs w:val="1"/>
                <w:color w:val="auto"/>
                <w:w w:val="93"/>
              </w:rPr>
              <w:t>Cost</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right"/>
              <w:ind w:right="127"/>
              <w:spacing w:after="0" w:line="108" w:lineRule="exact"/>
              <w:rPr>
                <w:sz w:val="20"/>
                <w:szCs w:val="20"/>
                <w:color w:val="auto"/>
              </w:rPr>
            </w:pPr>
            <w:r>
              <w:rPr>
                <w:rFonts w:ascii="Times New Roman" w:cs="Times New Roman" w:eastAsia="Times New Roman" w:hAnsi="Times New Roman"/>
                <w:sz w:val="11"/>
                <w:szCs w:val="11"/>
                <w:b w:val="1"/>
                <w:bCs w:val="1"/>
                <w:color w:val="auto"/>
              </w:rPr>
              <w:t>Deferred</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26"/>
              <w:spacing w:after="0" w:line="108" w:lineRule="exact"/>
              <w:rPr>
                <w:sz w:val="20"/>
                <w:szCs w:val="20"/>
                <w:color w:val="auto"/>
              </w:rPr>
            </w:pPr>
            <w:r>
              <w:rPr>
                <w:rFonts w:ascii="Times New Roman" w:cs="Times New Roman" w:eastAsia="Times New Roman" w:hAnsi="Times New Roman"/>
                <w:sz w:val="11"/>
                <w:szCs w:val="11"/>
                <w:b w:val="1"/>
                <w:bCs w:val="1"/>
                <w:color w:val="auto"/>
                <w:w w:val="96"/>
              </w:rPr>
              <w:t>Facility and</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right="87"/>
              <w:spacing w:after="0" w:line="108" w:lineRule="exact"/>
              <w:rPr>
                <w:sz w:val="20"/>
                <w:szCs w:val="20"/>
                <w:color w:val="auto"/>
              </w:rPr>
            </w:pPr>
            <w:r>
              <w:rPr>
                <w:rFonts w:ascii="Times New Roman" w:cs="Times New Roman" w:eastAsia="Times New Roman" w:hAnsi="Times New Roman"/>
                <w:sz w:val="11"/>
                <w:szCs w:val="11"/>
                <w:b w:val="1"/>
                <w:bCs w:val="1"/>
                <w:color w:val="auto"/>
              </w:rPr>
              <w:t>Expense</w:t>
            </w:r>
          </w:p>
        </w:tc>
        <w:tc>
          <w:tcPr>
            <w:tcW w:w="240" w:type="dxa"/>
            <w:vAlign w:val="bottom"/>
          </w:tcPr>
          <w:p>
            <w:pPr>
              <w:spacing w:after="0"/>
              <w:rPr>
                <w:sz w:val="9"/>
                <w:szCs w:val="9"/>
                <w:color w:val="auto"/>
              </w:rPr>
            </w:pPr>
          </w:p>
        </w:tc>
        <w:tc>
          <w:tcPr>
            <w:tcW w:w="940" w:type="dxa"/>
            <w:vAlign w:val="bottom"/>
          </w:tcPr>
          <w:p>
            <w:pPr>
              <w:jc w:val="center"/>
              <w:ind w:left="107"/>
              <w:spacing w:after="0" w:line="108" w:lineRule="exact"/>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7"/>
              </w:rPr>
              <w:t>Debt Costs</w:t>
            </w:r>
          </w:p>
        </w:tc>
        <w:tc>
          <w:tcPr>
            <w:tcW w:w="260" w:type="dxa"/>
            <w:vAlign w:val="bottom"/>
          </w:tcPr>
          <w:p>
            <w:pPr>
              <w:spacing w:after="0"/>
              <w:rPr>
                <w:sz w:val="13"/>
                <w:szCs w:val="13"/>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and Other Fees</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1"/>
                <w:szCs w:val="11"/>
                <w:b w:val="1"/>
                <w:bCs w:val="1"/>
                <w:color w:val="auto"/>
                <w:w w:val="96"/>
              </w:rPr>
              <w:t>and Fees</w:t>
            </w:r>
          </w:p>
        </w:tc>
        <w:tc>
          <w:tcPr>
            <w:tcW w:w="240" w:type="dxa"/>
            <w:vAlign w:val="bottom"/>
          </w:tcPr>
          <w:p>
            <w:pPr>
              <w:spacing w:after="0"/>
              <w:rPr>
                <w:sz w:val="13"/>
                <w:szCs w:val="13"/>
                <w:color w:val="auto"/>
              </w:rPr>
            </w:pPr>
          </w:p>
        </w:tc>
        <w:tc>
          <w:tcPr>
            <w:tcW w:w="800" w:type="dxa"/>
            <w:vAlign w:val="bottom"/>
            <w:tcBorders>
              <w:bottom w:val="single" w:sz="8" w:color="auto"/>
            </w:tcBorders>
          </w:tcPr>
          <w:p>
            <w:pPr>
              <w:jc w:val="center"/>
              <w:ind w:left="127"/>
              <w:spacing w:after="0"/>
              <w:rPr>
                <w:sz w:val="20"/>
                <w:szCs w:val="20"/>
                <w:color w:val="auto"/>
              </w:rPr>
            </w:pPr>
            <w:r>
              <w:rPr>
                <w:rFonts w:ascii="Times New Roman" w:cs="Times New Roman" w:eastAsia="Times New Roman" w:hAnsi="Times New Roman"/>
                <w:sz w:val="11"/>
                <w:szCs w:val="11"/>
                <w:b w:val="1"/>
                <w:bCs w:val="1"/>
                <w:color w:val="auto"/>
                <w:w w:val="98"/>
              </w:rPr>
              <w:t>of Debt</w:t>
            </w:r>
          </w:p>
        </w:tc>
        <w:tc>
          <w:tcPr>
            <w:tcW w:w="1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1"/>
                <w:szCs w:val="11"/>
                <w:b w:val="1"/>
                <w:bCs w:val="1"/>
                <w:color w:val="auto"/>
                <w:w w:val="97"/>
              </w:rPr>
              <w:t>Debt Costs</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Other Fees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67"/>
              <w:spacing w:after="0"/>
              <w:rPr>
                <w:sz w:val="20"/>
                <w:szCs w:val="20"/>
                <w:color w:val="auto"/>
              </w:rPr>
            </w:pPr>
            <w:r>
              <w:rPr>
                <w:rFonts w:ascii="Times New Roman" w:cs="Times New Roman" w:eastAsia="Times New Roman" w:hAnsi="Times New Roman"/>
                <w:sz w:val="11"/>
                <w:szCs w:val="11"/>
                <w:b w:val="1"/>
                <w:bCs w:val="1"/>
                <w:color w:val="auto"/>
              </w:rPr>
              <w:t>and Fees</w:t>
            </w:r>
          </w:p>
        </w:tc>
        <w:tc>
          <w:tcPr>
            <w:tcW w:w="240" w:type="dxa"/>
            <w:vAlign w:val="bottom"/>
          </w:tcPr>
          <w:p>
            <w:pPr>
              <w:spacing w:after="0"/>
              <w:rPr>
                <w:sz w:val="13"/>
                <w:szCs w:val="13"/>
                <w:color w:val="auto"/>
              </w:rPr>
            </w:pPr>
          </w:p>
        </w:tc>
        <w:tc>
          <w:tcPr>
            <w:tcW w:w="940" w:type="dxa"/>
            <w:vAlign w:val="bottom"/>
            <w:tcBorders>
              <w:bottom w:val="single" w:sz="8" w:color="auto"/>
            </w:tcBorders>
          </w:tcPr>
          <w:p>
            <w:pPr>
              <w:jc w:val="center"/>
              <w:ind w:left="127"/>
              <w:spacing w:after="0"/>
              <w:rPr>
                <w:sz w:val="20"/>
                <w:szCs w:val="20"/>
                <w:color w:val="auto"/>
              </w:rPr>
            </w:pPr>
            <w:r>
              <w:rPr>
                <w:rFonts w:ascii="Times New Roman" w:cs="Times New Roman" w:eastAsia="Times New Roman" w:hAnsi="Times New Roman"/>
                <w:sz w:val="11"/>
                <w:szCs w:val="11"/>
                <w:b w:val="1"/>
                <w:bCs w:val="1"/>
                <w:color w:val="auto"/>
                <w:w w:val="92"/>
              </w:rPr>
              <w:t>of Debt</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Credit Facility</w:t>
            </w: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1,667,420</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269,283</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376,684</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2,313,387</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7.37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2,901,815</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570,655</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1,427,894</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4,900,364</w:t>
            </w: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7.73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2026 Notes</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743,750</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50,062</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793,812</w:t>
            </w:r>
          </w:p>
        </w:tc>
        <w:tc>
          <w:tcPr>
            <w:tcW w:w="104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4.54</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1,990,417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130,014</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2,120,431</w:t>
            </w:r>
          </w:p>
        </w:tc>
        <w:tc>
          <w:tcPr>
            <w:tcW w:w="118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4.60</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July 2027 Notes</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1,056,563</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87,600</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1,144,163</w:t>
            </w:r>
          </w:p>
        </w:tc>
        <w:tc>
          <w:tcPr>
            <w:tcW w:w="1040" w:type="dxa"/>
            <w:vAlign w:val="bottom"/>
            <w:gridSpan w:val="2"/>
            <w:shd w:val="clear" w:color="auto" w:fill="CFF0FC"/>
          </w:tcPr>
          <w:p>
            <w:pPr>
              <w:jc w:val="right"/>
              <w:ind w:right="7"/>
              <w:spacing w:after="0"/>
              <w:rPr>
                <w:sz w:val="20"/>
                <w:szCs w:val="20"/>
                <w:color w:val="auto"/>
              </w:rPr>
            </w:pPr>
            <w:r>
              <w:rPr>
                <w:rFonts w:ascii="Times New Roman" w:cs="Times New Roman" w:eastAsia="Times New Roman" w:hAnsi="Times New Roman"/>
                <w:sz w:val="11"/>
                <w:szCs w:val="11"/>
                <w:color w:val="auto"/>
              </w:rPr>
              <w:t>8.12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1,056,563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87,600</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1,144,163</w:t>
            </w:r>
          </w:p>
        </w:tc>
        <w:tc>
          <w:tcPr>
            <w:tcW w:w="1180" w:type="dxa"/>
            <w:vAlign w:val="bottom"/>
            <w:gridSpan w:val="2"/>
            <w:shd w:val="clear" w:color="auto" w:fill="CFF0FC"/>
          </w:tcPr>
          <w:p>
            <w:pPr>
              <w:jc w:val="right"/>
              <w:ind w:right="27"/>
              <w:spacing w:after="0"/>
              <w:rPr>
                <w:sz w:val="20"/>
                <w:szCs w:val="20"/>
                <w:color w:val="auto"/>
              </w:rPr>
            </w:pPr>
            <w:r>
              <w:rPr>
                <w:rFonts w:ascii="Times New Roman" w:cs="Times New Roman" w:eastAsia="Times New Roman" w:hAnsi="Times New Roman"/>
                <w:sz w:val="11"/>
                <w:szCs w:val="11"/>
                <w:color w:val="auto"/>
              </w:rPr>
              <w:t>8.12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5"/>
        </w:trPr>
        <w:tc>
          <w:tcPr>
            <w:tcW w:w="980" w:type="dxa"/>
            <w:vAlign w:val="bottom"/>
          </w:tcPr>
          <w:p>
            <w:pPr>
              <w:ind w:left="20"/>
              <w:spacing w:after="0" w:line="95" w:lineRule="exact"/>
              <w:rPr>
                <w:sz w:val="20"/>
                <w:szCs w:val="20"/>
                <w:color w:val="auto"/>
              </w:rPr>
            </w:pPr>
            <w:r>
              <w:rPr>
                <w:rFonts w:ascii="Times New Roman" w:cs="Times New Roman" w:eastAsia="Times New Roman" w:hAnsi="Times New Roman"/>
                <w:sz w:val="10"/>
                <w:szCs w:val="10"/>
                <w:color w:val="auto"/>
              </w:rPr>
              <w:t>August 2027</w:t>
            </w: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Notes</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120,556</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10,495</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131,051</w:t>
            </w:r>
          </w:p>
        </w:tc>
        <w:tc>
          <w:tcPr>
            <w:tcW w:w="1040" w:type="dxa"/>
            <w:vAlign w:val="bottom"/>
            <w:gridSpan w:val="2"/>
          </w:tcPr>
          <w:p>
            <w:pPr>
              <w:jc w:val="right"/>
              <w:ind w:right="7"/>
              <w:spacing w:after="0"/>
              <w:rPr>
                <w:sz w:val="20"/>
                <w:szCs w:val="20"/>
                <w:color w:val="auto"/>
              </w:rPr>
            </w:pPr>
            <w:r>
              <w:rPr>
                <w:rFonts w:ascii="Times New Roman" w:cs="Times New Roman" w:eastAsia="Times New Roman" w:hAnsi="Times New Roman"/>
                <w:sz w:val="11"/>
                <w:szCs w:val="11"/>
                <w:color w:val="auto"/>
              </w:rPr>
              <w:t>7.61</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120,556</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10,495</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131,051</w:t>
            </w:r>
          </w:p>
        </w:tc>
        <w:tc>
          <w:tcPr>
            <w:tcW w:w="1180" w:type="dxa"/>
            <w:vAlign w:val="bottom"/>
            <w:gridSpan w:val="2"/>
          </w:tcPr>
          <w:p>
            <w:pPr>
              <w:jc w:val="right"/>
              <w:ind w:right="27"/>
              <w:spacing w:after="0"/>
              <w:rPr>
                <w:sz w:val="20"/>
                <w:szCs w:val="20"/>
                <w:color w:val="auto"/>
              </w:rPr>
            </w:pPr>
            <w:r>
              <w:rPr>
                <w:rFonts w:ascii="Times New Roman" w:cs="Times New Roman" w:eastAsia="Times New Roman" w:hAnsi="Times New Roman"/>
                <w:sz w:val="11"/>
                <w:szCs w:val="11"/>
                <w:color w:val="auto"/>
              </w:rPr>
              <w:t>7.61</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2"/>
        </w:trPr>
        <w:tc>
          <w:tcPr>
            <w:tcW w:w="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3,588,289</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417,440</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376,684</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4,382,413</w:t>
            </w:r>
          </w:p>
        </w:tc>
        <w:tc>
          <w:tcPr>
            <w:tcW w:w="24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6,069,351</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798,764</w:t>
            </w:r>
          </w:p>
        </w:tc>
        <w:tc>
          <w:tcPr>
            <w:tcW w:w="24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1,427,894</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8,296,009</w:t>
            </w:r>
          </w:p>
        </w:tc>
        <w:tc>
          <w:tcPr>
            <w:tcW w:w="2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-24765</wp:posOffset>
            </wp:positionV>
            <wp:extent cx="7683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1110615</wp:posOffset>
            </wp:positionH>
            <wp:positionV relativeFrom="paragraph">
              <wp:posOffset>-8255</wp:posOffset>
            </wp:positionV>
            <wp:extent cx="7683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-24765</wp:posOffset>
            </wp:positionV>
            <wp:extent cx="768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-8255</wp:posOffset>
            </wp:positionV>
            <wp:extent cx="7683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-24765</wp:posOffset>
            </wp:positionV>
            <wp:extent cx="768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-8255</wp:posOffset>
            </wp:positionV>
            <wp:extent cx="768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-24765</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-8255</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-24765</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-24765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2021, the components of interest expense, amortization of deferred debt costs, and the unused fees on the Credit Facility (as defined below) on the Company's borrowings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0" w:type="dxa"/>
            <w:vAlign w:val="bottom"/>
            <w:tcBorders>
              <w:bottom w:val="single" w:sz="8" w:color="auto"/>
            </w:tcBorders>
            <w:gridSpan w:val="7"/>
          </w:tcPr>
          <w:p>
            <w:pPr>
              <w:jc w:val="right"/>
              <w:ind w:right="326"/>
              <w:spacing w:after="0"/>
              <w:rPr>
                <w:sz w:val="20"/>
                <w:szCs w:val="20"/>
                <w:color w:val="auto"/>
              </w:rPr>
            </w:pPr>
            <w:r>
              <w:rPr>
                <w:rFonts w:ascii="Times New Roman" w:cs="Times New Roman" w:eastAsia="Times New Roman" w:hAnsi="Times New Roman"/>
                <w:sz w:val="11"/>
                <w:szCs w:val="11"/>
                <w:b w:val="1"/>
                <w:bCs w:val="1"/>
                <w:color w:val="auto"/>
              </w:rPr>
              <w:t>Three Months Ended September 30, 2021</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7"/>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Nine Months Ended September 30, 2021</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6"/>
              <w:spacing w:after="0" w:line="104" w:lineRule="exact"/>
              <w:rPr>
                <w:sz w:val="20"/>
                <w:szCs w:val="20"/>
                <w:color w:val="auto"/>
              </w:rPr>
            </w:pPr>
            <w:r>
              <w:rPr>
                <w:rFonts w:ascii="Times New Roman" w:cs="Times New Roman" w:eastAsia="Times New Roman" w:hAnsi="Times New Roman"/>
                <w:sz w:val="11"/>
                <w:szCs w:val="11"/>
                <w:b w:val="1"/>
                <w:bCs w:val="1"/>
                <w:color w:val="auto"/>
                <w:w w:val="98"/>
              </w:rPr>
              <w:t>Amortization</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center"/>
              <w:ind w:right="106"/>
              <w:spacing w:after="0" w:line="104" w:lineRule="exact"/>
              <w:rPr>
                <w:sz w:val="20"/>
                <w:szCs w:val="20"/>
                <w:color w:val="auto"/>
              </w:rPr>
            </w:pPr>
            <w:r>
              <w:rPr>
                <w:rFonts w:ascii="Times New Roman" w:cs="Times New Roman" w:eastAsia="Times New Roman" w:hAnsi="Times New Roman"/>
                <w:sz w:val="11"/>
                <w:szCs w:val="11"/>
                <w:b w:val="1"/>
                <w:bCs w:val="1"/>
                <w:color w:val="auto"/>
                <w:w w:val="87"/>
              </w:rPr>
              <w:t>Total</w:t>
            </w:r>
          </w:p>
        </w:tc>
        <w:tc>
          <w:tcPr>
            <w:tcW w:w="240" w:type="dxa"/>
            <w:vAlign w:val="bottom"/>
          </w:tcPr>
          <w:p>
            <w:pPr>
              <w:spacing w:after="0"/>
              <w:rPr>
                <w:sz w:val="9"/>
                <w:szCs w:val="9"/>
                <w:color w:val="auto"/>
              </w:rPr>
            </w:pPr>
          </w:p>
        </w:tc>
        <w:tc>
          <w:tcPr>
            <w:tcW w:w="800" w:type="dxa"/>
            <w:vAlign w:val="bottom"/>
          </w:tcPr>
          <w:p>
            <w:pPr>
              <w:jc w:val="center"/>
              <w:ind w:left="106"/>
              <w:spacing w:after="0" w:line="104"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6"/>
              <w:spacing w:after="0" w:line="104" w:lineRule="exact"/>
              <w:rPr>
                <w:sz w:val="20"/>
                <w:szCs w:val="20"/>
                <w:color w:val="auto"/>
              </w:rPr>
            </w:pPr>
            <w:r>
              <w:rPr>
                <w:rFonts w:ascii="Times New Roman" w:cs="Times New Roman" w:eastAsia="Times New Roman" w:hAnsi="Times New Roman"/>
                <w:sz w:val="11"/>
                <w:szCs w:val="11"/>
                <w:b w:val="1"/>
                <w:bCs w:val="1"/>
                <w:color w:val="auto"/>
                <w:w w:val="98"/>
              </w:rPr>
              <w:t>Amortization</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right="86"/>
              <w:spacing w:after="0" w:line="104"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240" w:type="dxa"/>
            <w:vAlign w:val="bottom"/>
          </w:tcPr>
          <w:p>
            <w:pPr>
              <w:spacing w:after="0"/>
              <w:rPr>
                <w:sz w:val="9"/>
                <w:szCs w:val="9"/>
                <w:color w:val="auto"/>
              </w:rPr>
            </w:pPr>
          </w:p>
        </w:tc>
        <w:tc>
          <w:tcPr>
            <w:tcW w:w="940" w:type="dxa"/>
            <w:vAlign w:val="bottom"/>
          </w:tcPr>
          <w:p>
            <w:pPr>
              <w:jc w:val="center"/>
              <w:ind w:left="86"/>
              <w:spacing w:after="0" w:line="104" w:lineRule="exact"/>
              <w:rPr>
                <w:sz w:val="20"/>
                <w:szCs w:val="20"/>
                <w:color w:val="auto"/>
              </w:rPr>
            </w:pPr>
            <w:r>
              <w:rPr>
                <w:rFonts w:ascii="Times New Roman" w:cs="Times New Roman" w:eastAsia="Times New Roman" w:hAnsi="Times New Roman"/>
                <w:sz w:val="11"/>
                <w:szCs w:val="11"/>
                <w:b w:val="1"/>
                <w:bCs w:val="1"/>
                <w:color w:val="auto"/>
                <w:w w:val="97"/>
              </w:rPr>
              <w:t>Weighted</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86"/>
              </w:rPr>
              <w:t>of</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jc w:val="center"/>
              <w:ind w:right="106"/>
              <w:spacing w:after="0" w:line="111" w:lineRule="exact"/>
              <w:rPr>
                <w:sz w:val="20"/>
                <w:szCs w:val="20"/>
                <w:color w:val="auto"/>
              </w:rPr>
            </w:pPr>
            <w:r>
              <w:rPr>
                <w:rFonts w:ascii="Times New Roman" w:cs="Times New Roman" w:eastAsia="Times New Roman" w:hAnsi="Times New Roman"/>
                <w:sz w:val="11"/>
                <w:szCs w:val="11"/>
                <w:b w:val="1"/>
                <w:bCs w:val="1"/>
                <w:color w:val="auto"/>
                <w:w w:val="92"/>
              </w:rPr>
              <w:t>Interest</w:t>
            </w:r>
          </w:p>
        </w:tc>
        <w:tc>
          <w:tcPr>
            <w:tcW w:w="240" w:type="dxa"/>
            <w:vAlign w:val="bottom"/>
          </w:tcPr>
          <w:p>
            <w:pPr>
              <w:spacing w:after="0"/>
              <w:rPr>
                <w:sz w:val="9"/>
                <w:szCs w:val="9"/>
                <w:color w:val="auto"/>
              </w:rPr>
            </w:pPr>
          </w:p>
        </w:tc>
        <w:tc>
          <w:tcPr>
            <w:tcW w:w="800" w:type="dxa"/>
            <w:vAlign w:val="bottom"/>
          </w:tcPr>
          <w:p>
            <w:pPr>
              <w:jc w:val="center"/>
              <w:ind w:left="86"/>
              <w:spacing w:after="0" w:line="111"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jc w:val="center"/>
              <w:ind w:right="6"/>
              <w:spacing w:after="0" w:line="111" w:lineRule="exact"/>
              <w:rPr>
                <w:sz w:val="20"/>
                <w:szCs w:val="20"/>
                <w:color w:val="auto"/>
              </w:rPr>
            </w:pPr>
            <w:r>
              <w:rPr>
                <w:rFonts w:ascii="Times New Roman" w:cs="Times New Roman" w:eastAsia="Times New Roman" w:hAnsi="Times New Roman"/>
                <w:sz w:val="11"/>
                <w:szCs w:val="11"/>
                <w:b w:val="1"/>
                <w:bCs w:val="1"/>
                <w:color w:val="auto"/>
              </w:rPr>
              <w:t>of</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jc w:val="center"/>
              <w:ind w:right="26"/>
              <w:spacing w:after="0" w:line="111" w:lineRule="exact"/>
              <w:rPr>
                <w:sz w:val="20"/>
                <w:szCs w:val="20"/>
                <w:color w:val="auto"/>
              </w:rPr>
            </w:pPr>
            <w:r>
              <w:rPr>
                <w:rFonts w:ascii="Times New Roman" w:cs="Times New Roman" w:eastAsia="Times New Roman" w:hAnsi="Times New Roman"/>
                <w:sz w:val="11"/>
                <w:szCs w:val="11"/>
                <w:b w:val="1"/>
                <w:bCs w:val="1"/>
                <w:color w:val="auto"/>
                <w:w w:val="95"/>
              </w:rPr>
              <w:t>Unused</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center"/>
              <w:ind w:right="86"/>
              <w:spacing w:after="0" w:line="111"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240" w:type="dxa"/>
            <w:vAlign w:val="bottom"/>
          </w:tcPr>
          <w:p>
            <w:pPr>
              <w:spacing w:after="0"/>
              <w:rPr>
                <w:sz w:val="9"/>
                <w:szCs w:val="9"/>
                <w:color w:val="auto"/>
              </w:rPr>
            </w:pPr>
          </w:p>
        </w:tc>
        <w:tc>
          <w:tcPr>
            <w:tcW w:w="940" w:type="dxa"/>
            <w:vAlign w:val="bottom"/>
          </w:tcPr>
          <w:p>
            <w:pPr>
              <w:jc w:val="center"/>
              <w:ind w:left="106"/>
              <w:spacing w:after="0" w:line="111" w:lineRule="exact"/>
              <w:rPr>
                <w:sz w:val="20"/>
                <w:szCs w:val="20"/>
                <w:color w:val="auto"/>
              </w:rPr>
            </w:pPr>
            <w:r>
              <w:rPr>
                <w:rFonts w:ascii="Times New Roman" w:cs="Times New Roman" w:eastAsia="Times New Roman" w:hAnsi="Times New Roman"/>
                <w:sz w:val="11"/>
                <w:szCs w:val="11"/>
                <w:b w:val="1"/>
                <w:bCs w:val="1"/>
                <w:color w:val="auto"/>
                <w:w w:val="97"/>
              </w:rPr>
              <w:t>Average</w:t>
            </w: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ind w:left="8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Deferred</w:t>
            </w:r>
          </w:p>
        </w:tc>
        <w:tc>
          <w:tcPr>
            <w:tcW w:w="26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Unused Facility</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Expense</w:t>
            </w:r>
          </w:p>
        </w:tc>
        <w:tc>
          <w:tcPr>
            <w:tcW w:w="240" w:type="dxa"/>
            <w:vAlign w:val="bottom"/>
          </w:tcPr>
          <w:p>
            <w:pPr>
              <w:spacing w:after="0"/>
              <w:rPr>
                <w:sz w:val="10"/>
                <w:szCs w:val="10"/>
                <w:color w:val="auto"/>
              </w:rPr>
            </w:pPr>
          </w:p>
        </w:tc>
        <w:tc>
          <w:tcPr>
            <w:tcW w:w="800" w:type="dxa"/>
            <w:vAlign w:val="bottom"/>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auto"/>
                <w:w w:val="93"/>
              </w:rPr>
              <w:t>Cost</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Deferred</w:t>
            </w: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Facility and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Expense</w:t>
            </w:r>
          </w:p>
        </w:tc>
        <w:tc>
          <w:tcPr>
            <w:tcW w:w="240" w:type="dxa"/>
            <w:vAlign w:val="bottom"/>
          </w:tcPr>
          <w:p>
            <w:pPr>
              <w:spacing w:after="0"/>
              <w:rPr>
                <w:sz w:val="10"/>
                <w:szCs w:val="10"/>
                <w:color w:val="auto"/>
              </w:rPr>
            </w:pPr>
          </w:p>
        </w:tc>
        <w:tc>
          <w:tcPr>
            <w:tcW w:w="940" w:type="dxa"/>
            <w:vAlign w:val="bottom"/>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auto"/>
              </w:rPr>
              <w:t>Cost</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Debt Costs</w:t>
            </w:r>
          </w:p>
        </w:tc>
        <w:tc>
          <w:tcPr>
            <w:tcW w:w="26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and Other Fees</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and Fees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8"/>
              </w:rPr>
              <w:t>of Debt</w:t>
            </w:r>
          </w:p>
        </w:tc>
        <w:tc>
          <w:tcPr>
            <w:tcW w:w="1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Expense</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Debt Costs</w:t>
            </w:r>
          </w:p>
        </w:tc>
        <w:tc>
          <w:tcPr>
            <w:tcW w:w="2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rPr>
              <w:t>Other Fees</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and Fees</w:t>
            </w:r>
          </w:p>
        </w:tc>
        <w:tc>
          <w:tcPr>
            <w:tcW w:w="240" w:type="dxa"/>
            <w:vAlign w:val="bottom"/>
          </w:tcPr>
          <w:p>
            <w:pPr>
              <w:spacing w:after="0"/>
              <w:rPr>
                <w:sz w:val="12"/>
                <w:szCs w:val="12"/>
                <w:color w:val="auto"/>
              </w:rPr>
            </w:pPr>
          </w:p>
        </w:tc>
        <w:tc>
          <w:tcPr>
            <w:tcW w:w="9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2"/>
              </w:rPr>
              <w:t>of Debt</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Credit Facility</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811,028</w:t>
            </w:r>
          </w:p>
        </w:tc>
        <w:tc>
          <w:tcPr>
            <w:tcW w:w="2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117,343</w:t>
            </w:r>
          </w:p>
        </w:tc>
        <w:tc>
          <w:tcPr>
            <w:tcW w:w="260" w:type="dxa"/>
            <w:vAlign w:val="bottom"/>
          </w:tcPr>
          <w:p>
            <w:pPr>
              <w:spacing w:after="0"/>
              <w:rPr>
                <w:sz w:val="11"/>
                <w:szCs w:val="11"/>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158,861</w:t>
            </w:r>
          </w:p>
        </w:tc>
        <w:tc>
          <w:tcPr>
            <w:tcW w:w="260" w:type="dxa"/>
            <w:vAlign w:val="bottom"/>
          </w:tcPr>
          <w:p>
            <w:pPr>
              <w:spacing w:after="0"/>
              <w:rPr>
                <w:sz w:val="11"/>
                <w:szCs w:val="11"/>
                <w:color w:val="auto"/>
              </w:rPr>
            </w:pPr>
          </w:p>
        </w:tc>
        <w:tc>
          <w:tcPr>
            <w:tcW w:w="1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1,087,232</w:t>
            </w:r>
          </w:p>
        </w:tc>
        <w:tc>
          <w:tcPr>
            <w:tcW w:w="24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4.70</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2,295,514</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349,378</w:t>
            </w:r>
          </w:p>
        </w:tc>
        <w:tc>
          <w:tcPr>
            <w:tcW w:w="24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487,277</w:t>
            </w:r>
          </w:p>
        </w:tc>
        <w:tc>
          <w:tcPr>
            <w:tcW w:w="24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3,132,169</w:t>
            </w:r>
          </w:p>
        </w:tc>
        <w:tc>
          <w:tcPr>
            <w:tcW w:w="240" w:type="dxa"/>
            <w:vAlign w:val="bottom"/>
          </w:tcPr>
          <w:p>
            <w:pPr>
              <w:spacing w:after="0"/>
              <w:rPr>
                <w:sz w:val="11"/>
                <w:szCs w:val="11"/>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4.81</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2026 Notes</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July 2027 Notes</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8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1"/>
                <w:szCs w:val="11"/>
                <w:color w:val="auto"/>
              </w:rPr>
            </w:pPr>
          </w:p>
        </w:tc>
        <w:tc>
          <w:tcPr>
            <w:tcW w:w="9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980" w:type="dxa"/>
            <w:vAlign w:val="bottom"/>
            <w:shd w:val="clear" w:color="auto" w:fill="CFF0FC"/>
          </w:tcPr>
          <w:p>
            <w:pPr>
              <w:ind w:left="20"/>
              <w:spacing w:after="0" w:line="108" w:lineRule="exact"/>
              <w:rPr>
                <w:sz w:val="20"/>
                <w:szCs w:val="20"/>
                <w:color w:val="auto"/>
              </w:rPr>
            </w:pPr>
            <w:r>
              <w:rPr>
                <w:rFonts w:ascii="Times New Roman" w:cs="Times New Roman" w:eastAsia="Times New Roman" w:hAnsi="Times New Roman"/>
                <w:sz w:val="11"/>
                <w:szCs w:val="11"/>
                <w:color w:val="auto"/>
              </w:rPr>
              <w:t>August 2027</w:t>
            </w: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Notes</w:t>
            </w:r>
          </w:p>
        </w:tc>
        <w:tc>
          <w:tcPr>
            <w:tcW w:w="1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vMerge w:val="continue"/>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720" w:type="dxa"/>
            <w:vAlign w:val="bottom"/>
            <w:tcBorders>
              <w:bottom w:val="single" w:sz="8" w:color="auto"/>
            </w:tcBorders>
            <w:vMerge w:val="continue"/>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24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vMerge w:val="continue"/>
            <w:shd w:val="clear" w:color="auto" w:fill="CFF0FC"/>
          </w:tcPr>
          <w:p>
            <w:pPr>
              <w:spacing w:after="0"/>
              <w:rPr>
                <w:sz w:val="11"/>
                <w:szCs w:val="11"/>
                <w:color w:val="auto"/>
              </w:rPr>
            </w:pPr>
          </w:p>
        </w:tc>
        <w:tc>
          <w:tcPr>
            <w:tcW w:w="260" w:type="dxa"/>
            <w:vAlign w:val="bottom"/>
            <w:tcBorders>
              <w:bottom w:val="single" w:sz="8" w:color="CFF0FC"/>
            </w:tcBorders>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800" w:type="dxa"/>
            <w:vAlign w:val="bottom"/>
            <w:tcBorders>
              <w:bottom w:val="single" w:sz="8" w:color="CFF0FC"/>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00" w:type="dxa"/>
            <w:vAlign w:val="bottom"/>
            <w:tcBorders>
              <w:bottom w:val="single" w:sz="8" w:color="auto"/>
            </w:tcBorders>
            <w:vMerge w:val="continue"/>
            <w:shd w:val="clear" w:color="auto" w:fill="CFF0FC"/>
          </w:tcPr>
          <w:p>
            <w:pPr>
              <w:spacing w:after="0"/>
              <w:rPr>
                <w:sz w:val="11"/>
                <w:szCs w:val="11"/>
                <w:color w:val="auto"/>
              </w:rPr>
            </w:pPr>
          </w:p>
        </w:tc>
        <w:tc>
          <w:tcPr>
            <w:tcW w:w="220" w:type="dxa"/>
            <w:vAlign w:val="bottom"/>
            <w:tcBorders>
              <w:bottom w:val="single" w:sz="8" w:color="CFF0FC"/>
            </w:tcBorders>
            <w:shd w:val="clear" w:color="auto" w:fill="CFF0FC"/>
          </w:tcPr>
          <w:p>
            <w:pPr>
              <w:spacing w:after="0"/>
              <w:rPr>
                <w:sz w:val="11"/>
                <w:szCs w:val="11"/>
                <w:color w:val="auto"/>
              </w:rPr>
            </w:pPr>
          </w:p>
        </w:tc>
        <w:tc>
          <w:tcPr>
            <w:tcW w:w="80" w:type="dxa"/>
            <w:vAlign w:val="bottom"/>
            <w:tcBorders>
              <w:bottom w:val="single" w:sz="8" w:color="auto"/>
            </w:tcBorders>
            <w:shd w:val="clear" w:color="auto" w:fill="CFF0FC"/>
          </w:tcPr>
          <w:p>
            <w:pPr>
              <w:spacing w:after="0"/>
              <w:rPr>
                <w:sz w:val="11"/>
                <w:szCs w:val="11"/>
                <w:color w:val="auto"/>
              </w:rPr>
            </w:pPr>
          </w:p>
        </w:tc>
        <w:tc>
          <w:tcPr>
            <w:tcW w:w="68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spacing w:after="0"/>
              <w:rPr>
                <w:sz w:val="11"/>
                <w:szCs w:val="11"/>
                <w:color w:val="auto"/>
              </w:rPr>
            </w:pPr>
          </w:p>
        </w:tc>
        <w:tc>
          <w:tcPr>
            <w:tcW w:w="620" w:type="dxa"/>
            <w:vAlign w:val="bottom"/>
            <w:tcBorders>
              <w:bottom w:val="single" w:sz="8" w:color="auto"/>
            </w:tcBorders>
            <w:vMerge w:val="continue"/>
            <w:shd w:val="clear" w:color="auto" w:fill="CFF0FC"/>
          </w:tcPr>
          <w:p>
            <w:pPr>
              <w:spacing w:after="0"/>
              <w:rPr>
                <w:sz w:val="11"/>
                <w:szCs w:val="11"/>
                <w:color w:val="auto"/>
              </w:rPr>
            </w:pPr>
          </w:p>
        </w:tc>
        <w:tc>
          <w:tcPr>
            <w:tcW w:w="24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CFF0FC"/>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9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811,028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117,343</w:t>
            </w:r>
          </w:p>
        </w:tc>
        <w:tc>
          <w:tcPr>
            <w:tcW w:w="50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158,861</w:t>
            </w:r>
          </w:p>
        </w:tc>
        <w:tc>
          <w:tcPr>
            <w:tcW w:w="40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1,087,232</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gridSpan w:val="3"/>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2,295,514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349,378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487,277</w:t>
            </w:r>
          </w:p>
        </w:tc>
        <w:tc>
          <w:tcPr>
            <w:tcW w:w="3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3,132,169</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-119380</wp:posOffset>
            </wp:positionV>
            <wp:extent cx="76835" cy="1200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1779270</wp:posOffset>
            </wp:positionH>
            <wp:positionV relativeFrom="paragraph">
              <wp:posOffset>-119380</wp:posOffset>
            </wp:positionV>
            <wp:extent cx="76835" cy="1200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-119380</wp:posOffset>
            </wp:positionV>
            <wp:extent cx="76835" cy="1200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-119380</wp:posOffset>
            </wp:positionV>
            <wp:extent cx="68580" cy="1200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-119380</wp:posOffset>
            </wp:positionV>
            <wp:extent cx="68580" cy="1200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-119380</wp:posOffset>
            </wp:positionV>
            <wp:extent cx="68580" cy="1200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-119380</wp:posOffset>
            </wp:positionV>
            <wp:extent cx="68580" cy="1200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-119380</wp:posOffset>
            </wp:positionV>
            <wp:extent cx="68580" cy="1200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On May 31, 2019, the Company entered into a Credit Agreement with KeyBank National Association, acting as administrative agent and syndication agent and the other lenders party thereto, which initially provided the Company with a $100.0 million commitment, subject to borrowing base requirements (as amended and restated from time to time, the “Credit Facility”). As of</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September 30, 2022, the Company had $425.0 million in total commitments available under the Credit Facility, which includes an accordion feature that allows the Company to increase the total commitments the Credit Facility up to $500.0 million. The availability period under the Credit Facility expires on April 20, 2025 and is followed by a one-year amortization period. The stated maturity date under the Credit Facility is April 20, 2026, unless extended.</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Borrowings under the Credit Facility bear interest at a rate equal to the Adjusted Term Secured Overnight Financing Rate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unused commitment fees that ranges from 0.25% to 1.00% per annum based on the total unused lender commitments under the Credit Facility.</w:t>
      </w:r>
    </w:p>
    <w:p>
      <w:pPr>
        <w:spacing w:after="0" w:line="19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Credit Facility is collateralized by all eligible investment assets held by the Company. The Credit Facility contains representations and warranties and affirmative and negative covenants customary for secured financings of this type, including certain financial covenants such as a consolidated tangible net worth requirement and a required asset coverage ratio.</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2022, the weighted average outstanding debt balance was $126.0 million and $85.1 million, respectively, and the weighted average effective interest rate was 5.18% and 4.61%, respectively. For the three and nine months ended September 30, 2021, the weighted average outstanding debt balance was $90.7 million and $86.5 million, respectively, and the weighted average effective interest rate was 3.50% and 3.50%,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Notes</w:t>
      </w:r>
    </w:p>
    <w:p>
      <w:pPr>
        <w:spacing w:after="0" w:line="21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On December 10, 2021, the Company completed a private debt offering of $70 million in aggregate principal amount of 4.25% interest-bearing unsecured Series 2021A Senior Notes due 2026 (the “2026 Notes”) to institutional accredited investors (as defined in Regulation D under the Securities Act of 1933, as amended (the "Securities Act")). The 2026 Notes were issued in two closings, the initial issuance of $20 million 2026 Notes closed on December 10, 2021 and the second and final issuance of $50 million 2026 Notes closed on February 10, 2022.</w:t>
      </w:r>
    </w:p>
    <w:p>
      <w:pPr>
        <w:spacing w:after="0" w:line="17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 xml:space="preserve">The 2026 Notes bear an interest rate of 4.25% per year and are due on December 10, 2026, unless redeemed, purchased or prepaid prior to such date by the Company or its affiliates in accordance with their terms. Interest on the 2026 Notes will be due semiannually in arrears on June 10 and December 10 of each year, commencing on June 10, 2022. The interest rate is subject to a 1.00% increase in the event that, subject to certain exceptions, the 2026 Notes cease to have an investment grade rating or receive an investment grade rating below the Investment Grade (as defined in the note purchase agreement). The 2026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outstanding and future unsecured unsubordinated indebtedness issued by the Company.</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Aggregate offering costs in connection with the 2026 Notes issuance, including the underwriter’s discount and commissions, were $0.9 million, which were capitalized and deferred. As of September 30, 2022 and December 31, 2021, unamortized deferred financing costs related to the 2026 Notes were $0.9 million and $0.4 million,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2027 Notes</w:t>
      </w:r>
    </w:p>
    <w:p>
      <w:pPr>
        <w:spacing w:after="0" w:line="21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On July 28, 2022, the Company issued and sold $80.5 million in aggregate principal amount of 7.50% interest-bearing unsecured Notes due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spacing w:after="0" w:line="19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 xml:space="preserve">The July 2027 Notes bear an interest rate of 7.50% per year and are due on July 28, 2027. Interest on the 2027 Notes will be due quarterly in arrears on March 1, June 1, September 1 and December 1 of each year, commencing September 1, 2022.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the Company’s direct unsecured obligations and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Company’s existing and future unsecured, unsubordinated indebtedness.</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Aggregate offering costs in connection with the July 2027 Notes issuance, including the underwriter’s discount and commissions, were $2.6 million, which were capitalized and deferred. As of September 30, 2022 and December 31, 2021, unamortized deferred financing costs related to the July 2027 Notes were $2.5 million million and $0.0 million, respectively.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August 2027 Notes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August 31, 2022, the Company completed a private debt offering of $20 million in aggregate principal amount of 7.00% interest-bearing unsecured Series 2022A Senior Notes due 2027 (the “August 2027 Notes”) to HCM Master Fund Limited.</w:t>
      </w:r>
    </w:p>
    <w:p>
      <w:pPr>
        <w:spacing w:after="0" w:line="16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The August 2027 Notes bear an interest rate of 7.00% per year and are due on August 31, 2027, unless redeemed, purchased or prepaid prior to such date by the Company or its affiliates in accordance with their terms. Interest on the August 2027 Notes will be due semiannually in arrears on February 15 and August 15 of each year, commencing on February 15, 2023. The August 2027 Notes are general unsecured obligations of the Company that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outstanding and future unsecured unsubordinated indebtedness issued by the Company.</w:t>
      </w:r>
    </w:p>
    <w:p>
      <w:pPr>
        <w:spacing w:after="0" w:line="19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Aggregate offering costs in connection with the August 2027 Notes issuance, including the underwriter’s discount and commissions, were $0.6 million, which were capitalized and deferred. As of September 30, 2022 and December 31, 2021, unamortized deferred financing costs related to the August 2027 Notes were $0.6 million and $0.0 million,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Financial Highlights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20" w:type="dxa"/>
            <w:vAlign w:val="bottom"/>
            <w:gridSpan w:val="7"/>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100" w:type="dxa"/>
            <w:vAlign w:val="bottom"/>
            <w:gridSpan w:val="7"/>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5"/>
                <w:szCs w:val="15"/>
                <w:color w:val="auto"/>
              </w:rPr>
            </w:pPr>
          </w:p>
        </w:tc>
      </w:tr>
      <w:tr>
        <w:trPr>
          <w:trHeight w:val="175"/>
        </w:trPr>
        <w:tc>
          <w:tcPr>
            <w:tcW w:w="3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7"/>
        </w:trPr>
        <w:tc>
          <w:tcPr>
            <w:tcW w:w="3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Borders>
              <w:bottom w:val="single" w:sz="8" w:color="auto"/>
            </w:tcBorders>
          </w:tcPr>
          <w:p>
            <w:pPr>
              <w:spacing w:after="0"/>
              <w:rPr>
                <w:sz w:val="16"/>
                <w:szCs w:val="16"/>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7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at beginning of period</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20" w:type="dxa"/>
            <w:vAlign w:val="bottom"/>
          </w:tcPr>
          <w:p>
            <w:pPr>
              <w:spacing w:after="0"/>
              <w:rPr>
                <w:sz w:val="15"/>
                <w:szCs w:val="15"/>
                <w:color w:val="auto"/>
              </w:rPr>
            </w:pPr>
          </w:p>
        </w:tc>
        <w:tc>
          <w:tcPr>
            <w:tcW w:w="6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20" w:type="dxa"/>
            <w:vAlign w:val="bottom"/>
          </w:tcPr>
          <w:p>
            <w:pPr>
              <w:spacing w:after="0"/>
              <w:rPr>
                <w:sz w:val="15"/>
                <w:szCs w:val="15"/>
                <w:color w:val="auto"/>
              </w:rPr>
            </w:pPr>
          </w:p>
        </w:tc>
        <w:tc>
          <w:tcPr>
            <w:tcW w:w="6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00" w:type="dxa"/>
            <w:vAlign w:val="bottom"/>
          </w:tcPr>
          <w:p>
            <w:pPr>
              <w:spacing w:after="0"/>
              <w:rPr>
                <w:sz w:val="15"/>
                <w:szCs w:val="15"/>
                <w:color w:val="auto"/>
              </w:rPr>
            </w:pPr>
          </w:p>
        </w:tc>
        <w:tc>
          <w:tcPr>
            <w:tcW w:w="6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6"/>
        </w:trPr>
        <w:tc>
          <w:tcPr>
            <w:tcW w:w="38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Net investment income</w:t>
            </w:r>
            <w:r>
              <w:rPr>
                <w:rFonts w:ascii="Times New Roman" w:cs="Times New Roman" w:eastAsia="Times New Roman" w:hAnsi="Times New Roman"/>
                <w:sz w:val="19"/>
                <w:szCs w:val="19"/>
                <w:color w:val="auto"/>
                <w:vertAlign w:val="superscript"/>
              </w:rPr>
              <w:t>(1)(3)</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5"/>
        </w:trPr>
        <w:tc>
          <w:tcPr>
            <w:tcW w:w="38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Realized gain (loss)</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(0.13 )</w:t>
            </w:r>
          </w:p>
        </w:tc>
        <w:tc>
          <w:tcPr>
            <w:tcW w:w="180" w:type="dxa"/>
            <w:vAlign w:val="bottom"/>
          </w:tcPr>
          <w:p>
            <w:pPr>
              <w:spacing w:after="0"/>
              <w:rPr>
                <w:sz w:val="15"/>
                <w:szCs w:val="15"/>
                <w:color w:val="auto"/>
              </w:rPr>
            </w:pPr>
          </w:p>
        </w:tc>
      </w:tr>
      <w:tr>
        <w:trPr>
          <w:trHeight w:val="176"/>
        </w:trPr>
        <w:tc>
          <w:tcPr>
            <w:tcW w:w="38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Change in unrealized appreciation (depreciation)</w:t>
            </w:r>
            <w:r>
              <w:rPr>
                <w:rFonts w:ascii="Times New Roman" w:cs="Times New Roman" w:eastAsia="Times New Roman" w:hAnsi="Times New Roman"/>
                <w:sz w:val="19"/>
                <w:szCs w:val="19"/>
                <w:color w:val="auto"/>
                <w:vertAlign w:val="superscript"/>
              </w:rPr>
              <w:t>(1)</w:t>
            </w: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(0.08 )</w:t>
            </w: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(0.04 )</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(0.70 )</w:t>
            </w: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(0.10 )</w:t>
            </w:r>
          </w:p>
        </w:tc>
        <w:tc>
          <w:tcPr>
            <w:tcW w:w="180" w:type="dxa"/>
            <w:vAlign w:val="bottom"/>
            <w:shd w:val="clear" w:color="auto" w:fill="CFF0FC"/>
          </w:tcPr>
          <w:p>
            <w:pPr>
              <w:spacing w:after="0"/>
              <w:rPr>
                <w:sz w:val="15"/>
                <w:szCs w:val="15"/>
                <w:color w:val="auto"/>
              </w:rPr>
            </w:pPr>
          </w:p>
        </w:tc>
      </w:tr>
      <w:tr>
        <w:trPr>
          <w:trHeight w:val="176"/>
        </w:trPr>
        <w:tc>
          <w:tcPr>
            <w:tcW w:w="38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Dividends</w:t>
            </w:r>
            <w:r>
              <w:rPr>
                <w:rFonts w:ascii="Times New Roman" w:cs="Times New Roman" w:eastAsia="Times New Roman" w:hAnsi="Times New Roman"/>
                <w:sz w:val="19"/>
                <w:szCs w:val="19"/>
                <w:color w:val="auto"/>
                <w:vertAlign w:val="superscript"/>
              </w:rPr>
              <w:t>(1)</w:t>
            </w:r>
          </w:p>
        </w:tc>
        <w:tc>
          <w:tcPr>
            <w:tcW w:w="3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(0.33 )</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(0.34 )</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(0.90 )</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(1.07 )</w:t>
            </w:r>
          </w:p>
        </w:tc>
        <w:tc>
          <w:tcPr>
            <w:tcW w:w="180" w:type="dxa"/>
            <w:vAlign w:val="bottom"/>
          </w:tcPr>
          <w:p>
            <w:pPr>
              <w:spacing w:after="0"/>
              <w:rPr>
                <w:sz w:val="15"/>
                <w:szCs w:val="15"/>
                <w:color w:val="auto"/>
              </w:rPr>
            </w:pPr>
          </w:p>
        </w:tc>
      </w:tr>
      <w:tr>
        <w:trPr>
          <w:trHeight w:val="175"/>
        </w:trPr>
        <w:tc>
          <w:tcPr>
            <w:tcW w:w="3820" w:type="dxa"/>
            <w:vAlign w:val="bottom"/>
            <w:tcBorders>
              <w:bottom w:val="single" w:sz="8" w:color="CFF0FC"/>
            </w:tcBorders>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Accretion (dilution)</w:t>
            </w:r>
            <w:r>
              <w:rPr>
                <w:rFonts w:ascii="Times New Roman" w:cs="Times New Roman" w:eastAsia="Times New Roman" w:hAnsi="Times New Roman"/>
                <w:sz w:val="19"/>
                <w:szCs w:val="19"/>
                <w:color w:val="auto"/>
                <w:vertAlign w:val="superscript"/>
              </w:rPr>
              <w:t>(1)(4)</w:t>
            </w: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r>
      <w:tr>
        <w:trPr>
          <w:trHeight w:val="169"/>
        </w:trPr>
        <w:tc>
          <w:tcPr>
            <w:tcW w:w="38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Net asset value at end of period</w:t>
            </w: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14.12</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14.60</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14.12</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14.60</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20"/>
        </w:trPr>
        <w:tc>
          <w:tcPr>
            <w:tcW w:w="3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r>
      <w:tr>
        <w:trPr>
          <w:trHeight w:val="156"/>
        </w:trPr>
        <w:tc>
          <w:tcPr>
            <w:tcW w:w="382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Total return based on net asset value</w:t>
            </w:r>
            <w:r>
              <w:rPr>
                <w:rFonts w:ascii="Times New Roman" w:cs="Times New Roman" w:eastAsia="Times New Roman" w:hAnsi="Times New Roman"/>
                <w:sz w:val="18"/>
                <w:szCs w:val="18"/>
                <w:color w:val="auto"/>
                <w:vertAlign w:val="superscript"/>
              </w:rPr>
              <w:t>(2)</w:t>
            </w:r>
          </w:p>
        </w:tc>
        <w:tc>
          <w:tcPr>
            <w:tcW w:w="30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(0.14</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6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(0.07</w:t>
            </w:r>
          </w:p>
        </w:tc>
        <w:tc>
          <w:tcPr>
            <w:tcW w:w="1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(3.62</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14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(1.62</w:t>
            </w:r>
          </w:p>
        </w:tc>
        <w:tc>
          <w:tcPr>
            <w:tcW w:w="1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tcBorders>
              <w:top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r>
      <w:tr>
        <w:trPr>
          <w:trHeight w:val="176"/>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shares outstanding for the period, basic</w:t>
            </w: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40,774,154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33,160,481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41,119,467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32,360,107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Ratio/Supplemental Data:</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6"/>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assets at end of period</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573,660,371</w:t>
            </w:r>
          </w:p>
        </w:tc>
        <w:tc>
          <w:tcPr>
            <w:tcW w:w="120" w:type="dxa"/>
            <w:vAlign w:val="bottom"/>
          </w:tcPr>
          <w:p>
            <w:pPr>
              <w:spacing w:after="0"/>
              <w:rPr>
                <w:sz w:val="15"/>
                <w:szCs w:val="15"/>
                <w:color w:val="auto"/>
              </w:rPr>
            </w:pPr>
          </w:p>
        </w:tc>
        <w:tc>
          <w:tcPr>
            <w:tcW w:w="6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504,200,985</w:t>
            </w:r>
          </w:p>
        </w:tc>
        <w:tc>
          <w:tcPr>
            <w:tcW w:w="120" w:type="dxa"/>
            <w:vAlign w:val="bottom"/>
          </w:tcPr>
          <w:p>
            <w:pPr>
              <w:spacing w:after="0"/>
              <w:rPr>
                <w:sz w:val="15"/>
                <w:szCs w:val="15"/>
                <w:color w:val="auto"/>
              </w:rPr>
            </w:pPr>
          </w:p>
        </w:tc>
        <w:tc>
          <w:tcPr>
            <w:tcW w:w="6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573,660,371</w:t>
            </w:r>
          </w:p>
        </w:tc>
        <w:tc>
          <w:tcPr>
            <w:tcW w:w="100" w:type="dxa"/>
            <w:vAlign w:val="bottom"/>
          </w:tcPr>
          <w:p>
            <w:pPr>
              <w:spacing w:after="0"/>
              <w:rPr>
                <w:sz w:val="15"/>
                <w:szCs w:val="15"/>
                <w:color w:val="auto"/>
              </w:rPr>
            </w:pPr>
          </w:p>
        </w:tc>
        <w:tc>
          <w:tcPr>
            <w:tcW w:w="620" w:type="dxa"/>
            <w:vAlign w:val="bottom"/>
            <w:gridSpan w:val="3"/>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504,200,985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5"/>
        </w:trPr>
        <w:tc>
          <w:tcPr>
            <w:tcW w:w="38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Average net assets</w:t>
            </w:r>
            <w:r>
              <w:rPr>
                <w:rFonts w:ascii="Times New Roman" w:cs="Times New Roman" w:eastAsia="Times New Roman" w:hAnsi="Times New Roman"/>
                <w:sz w:val="19"/>
                <w:szCs w:val="19"/>
                <w:color w:val="auto"/>
                <w:vertAlign w:val="superscript"/>
              </w:rPr>
              <w:t>(5)</w:t>
            </w:r>
          </w:p>
        </w:tc>
        <w:tc>
          <w:tcPr>
            <w:tcW w:w="3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577,692,553</w:t>
            </w:r>
          </w:p>
        </w:tc>
        <w:tc>
          <w:tcPr>
            <w:tcW w:w="120" w:type="dxa"/>
            <w:vAlign w:val="bottom"/>
            <w:shd w:val="clear" w:color="auto" w:fill="CFF0FC"/>
          </w:tcPr>
          <w:p>
            <w:pPr>
              <w:spacing w:after="0"/>
              <w:rPr>
                <w:sz w:val="15"/>
                <w:szCs w:val="15"/>
                <w:color w:val="auto"/>
              </w:rPr>
            </w:pPr>
          </w:p>
        </w:tc>
        <w:tc>
          <w:tcPr>
            <w:tcW w:w="660" w:type="dxa"/>
            <w:vAlign w:val="bottom"/>
            <w:gridSpan w:val="3"/>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482,599,112</w:t>
            </w:r>
          </w:p>
        </w:tc>
        <w:tc>
          <w:tcPr>
            <w:tcW w:w="12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594,469,333</w:t>
            </w:r>
          </w:p>
        </w:tc>
        <w:tc>
          <w:tcPr>
            <w:tcW w:w="100" w:type="dxa"/>
            <w:vAlign w:val="bottom"/>
            <w:shd w:val="clear" w:color="auto" w:fill="CFF0FC"/>
          </w:tcPr>
          <w:p>
            <w:pPr>
              <w:spacing w:after="0"/>
              <w:rPr>
                <w:sz w:val="15"/>
                <w:szCs w:val="15"/>
                <w:color w:val="auto"/>
              </w:rPr>
            </w:pPr>
          </w:p>
        </w:tc>
        <w:tc>
          <w:tcPr>
            <w:tcW w:w="620" w:type="dxa"/>
            <w:vAlign w:val="bottom"/>
            <w:gridSpan w:val="3"/>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479,314,523</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r>
      <w:tr>
        <w:trPr>
          <w:trHeight w:val="176"/>
        </w:trPr>
        <w:tc>
          <w:tcPr>
            <w:tcW w:w="38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Ratio of net operating expenses to average net assets</w:t>
            </w:r>
            <w:r>
              <w:rPr>
                <w:rFonts w:ascii="Times New Roman" w:cs="Times New Roman" w:eastAsia="Times New Roman" w:hAnsi="Times New Roman"/>
                <w:sz w:val="19"/>
                <w:szCs w:val="19"/>
                <w:color w:val="auto"/>
                <w:vertAlign w:val="superscript"/>
              </w:rPr>
              <w:t>(6)(7)</w:t>
            </w: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35"/>
        </w:trPr>
        <w:tc>
          <w:tcPr>
            <w:tcW w:w="3820" w:type="dxa"/>
            <w:vAlign w:val="bottom"/>
            <w:shd w:val="clear" w:color="auto" w:fill="CFF0FC"/>
          </w:tcPr>
          <w:p>
            <w:pPr>
              <w:ind w:left="20"/>
              <w:spacing w:after="0" w:line="135" w:lineRule="exact"/>
              <w:rPr>
                <w:sz w:val="20"/>
                <w:szCs w:val="20"/>
                <w:color w:val="auto"/>
              </w:rPr>
            </w:pPr>
            <w:r>
              <w:rPr>
                <w:rFonts w:ascii="Times New Roman" w:cs="Times New Roman" w:eastAsia="Times New Roman" w:hAnsi="Times New Roman"/>
                <w:sz w:val="14"/>
                <w:szCs w:val="14"/>
                <w:color w:val="auto"/>
              </w:rPr>
              <w:t>Ratio of net increase (decrease) in net assets resulting from</w:t>
            </w: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r>
      <w:tr>
        <w:trPr>
          <w:trHeight w:val="203"/>
        </w:trPr>
        <w:tc>
          <w:tcPr>
            <w:tcW w:w="3820" w:type="dxa"/>
            <w:vAlign w:val="bottom"/>
            <w:shd w:val="clear" w:color="auto" w:fill="CFF0FC"/>
          </w:tcPr>
          <w:p>
            <w:pPr>
              <w:ind w:left="20"/>
              <w:spacing w:after="0" w:line="203" w:lineRule="exact"/>
              <w:rPr>
                <w:sz w:val="20"/>
                <w:szCs w:val="20"/>
                <w:color w:val="auto"/>
              </w:rPr>
            </w:pPr>
            <w:r>
              <w:rPr>
                <w:rFonts w:ascii="Times New Roman" w:cs="Times New Roman" w:eastAsia="Times New Roman" w:hAnsi="Times New Roman"/>
                <w:sz w:val="14"/>
                <w:szCs w:val="14"/>
                <w:color w:val="auto"/>
              </w:rPr>
              <w:t>operations to average net assets</w:t>
            </w:r>
            <w:r>
              <w:rPr>
                <w:rFonts w:ascii="Times New Roman" w:cs="Times New Roman" w:eastAsia="Times New Roman" w:hAnsi="Times New Roman"/>
                <w:sz w:val="19"/>
                <w:szCs w:val="19"/>
                <w:color w:val="auto"/>
                <w:vertAlign w:val="superscript"/>
              </w:rPr>
              <w:t>(7)</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10.06</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3.58</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53"/>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Portfolio turnover rate</w:t>
            </w:r>
            <w:r>
              <w:rPr>
                <w:rFonts w:ascii="Times New Roman" w:cs="Times New Roman" w:eastAsia="Times New Roman" w:hAnsi="Times New Roman"/>
                <w:sz w:val="19"/>
                <w:szCs w:val="19"/>
                <w:color w:val="auto"/>
                <w:vertAlign w:val="superscript"/>
              </w:rPr>
              <w:t>(8)</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-1188720</wp:posOffset>
            </wp:positionV>
            <wp:extent cx="77470" cy="1460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-1188720</wp:posOffset>
            </wp:positionV>
            <wp:extent cx="111125" cy="1460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-1188720</wp:posOffset>
            </wp:positionV>
            <wp:extent cx="77470" cy="1460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-1188720</wp:posOffset>
            </wp:positionV>
            <wp:extent cx="102870" cy="1460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-1188720</wp:posOffset>
            </wp:positionV>
            <wp:extent cx="68580" cy="1460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-1188720</wp:posOffset>
            </wp:positionV>
            <wp:extent cx="102870" cy="1460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02870" cy="14605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-1188720</wp:posOffset>
            </wp:positionV>
            <wp:extent cx="68580" cy="1460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190309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760" w:hanging="374"/>
        <w:spacing w:after="0"/>
        <w:tabs>
          <w:tab w:leader="none" w:pos="7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Financial highlights are based on weighted-average shares outstanding.</w:t>
      </w:r>
    </w:p>
    <w:p>
      <w:pPr>
        <w:spacing w:after="0" w:line="57" w:lineRule="exact"/>
        <w:rPr>
          <w:rFonts w:ascii="Times New Roman" w:cs="Times New Roman" w:eastAsia="Times New Roman" w:hAnsi="Times New Roman"/>
          <w:sz w:val="19"/>
          <w:szCs w:val="19"/>
          <w:color w:val="auto"/>
          <w:vertAlign w:val="superscript"/>
        </w:rPr>
      </w:pPr>
    </w:p>
    <w:p>
      <w:pPr>
        <w:ind w:left="760" w:hanging="374"/>
        <w:spacing w:after="0" w:line="211" w:lineRule="auto"/>
        <w:tabs>
          <w:tab w:leader="none" w:pos="7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Total return based on net asset value is based upon the change in net asset value per share between the opening and ending net asset values per share in the period. The total returns are not annualized.</w:t>
      </w:r>
    </w:p>
    <w:p>
      <w:pPr>
        <w:spacing w:after="0" w:line="55" w:lineRule="exact"/>
        <w:rPr>
          <w:rFonts w:ascii="Times New Roman" w:cs="Times New Roman" w:eastAsia="Times New Roman" w:hAnsi="Times New Roman"/>
          <w:sz w:val="19"/>
          <w:szCs w:val="19"/>
          <w:color w:val="auto"/>
          <w:vertAlign w:val="superscript"/>
        </w:rPr>
      </w:pPr>
    </w:p>
    <w:p>
      <w:pPr>
        <w:ind w:left="760" w:hanging="374"/>
        <w:spacing w:after="0" w:line="221" w:lineRule="auto"/>
        <w:tabs>
          <w:tab w:leader="none" w:pos="7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Return from investment operations was 2.55% and 2.19% for the three months ended September 30, 2022 and 2021, respectively. Return from investment operations was 6.89% and 7.01% for the nine months ended September 30, 2022 and 2021, respectively. Return from investment operations represents returns on net investment income (loss) from operations.</w:t>
      </w:r>
    </w:p>
    <w:p>
      <w:pPr>
        <w:spacing w:after="0" w:line="55" w:lineRule="exact"/>
        <w:rPr>
          <w:rFonts w:ascii="Times New Roman" w:cs="Times New Roman" w:eastAsia="Times New Roman" w:hAnsi="Times New Roman"/>
          <w:sz w:val="19"/>
          <w:szCs w:val="19"/>
          <w:color w:val="auto"/>
          <w:vertAlign w:val="superscript"/>
        </w:rPr>
      </w:pPr>
    </w:p>
    <w:p>
      <w:pPr>
        <w:ind w:left="760" w:right="20" w:hanging="374"/>
        <w:spacing w:after="0" w:line="221" w:lineRule="auto"/>
        <w:tabs>
          <w:tab w:leader="none" w:pos="7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Return from accretion was 0.14% and 0.21% for the three months ended September 30, 2022 and 2021, respectively. Return from accretion was 0.27% and 0.13% for the nine months ended September 30, 2022 and 2021, respectively.</w:t>
      </w:r>
    </w:p>
    <w:p>
      <w:pPr>
        <w:spacing w:after="0" w:line="55" w:lineRule="exact"/>
        <w:rPr>
          <w:rFonts w:ascii="Times New Roman" w:cs="Times New Roman" w:eastAsia="Times New Roman" w:hAnsi="Times New Roman"/>
          <w:sz w:val="19"/>
          <w:szCs w:val="19"/>
          <w:color w:val="auto"/>
          <w:vertAlign w:val="superscript"/>
        </w:rPr>
      </w:pPr>
    </w:p>
    <w:p>
      <w:pPr>
        <w:ind w:left="760" w:hanging="374"/>
        <w:spacing w:after="0" w:line="221" w:lineRule="auto"/>
        <w:tabs>
          <w:tab w:leader="none" w:pos="7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annualized ratio of net investment income to average net assets was 11.82% and 10.48% for the three months ended September 30, 2022 and 2021, respectively. The annualized ratio of net investment income to average net assets was 9.81% and 9.82% for the nine months ended September 30, 2022 and 2021, respectively.</w:t>
      </w:r>
    </w:p>
    <w:p>
      <w:pPr>
        <w:spacing w:after="0" w:line="42" w:lineRule="exact"/>
        <w:rPr>
          <w:rFonts w:ascii="Times New Roman" w:cs="Times New Roman" w:eastAsia="Times New Roman" w:hAnsi="Times New Roman"/>
          <w:sz w:val="19"/>
          <w:szCs w:val="19"/>
          <w:color w:val="auto"/>
          <w:vertAlign w:val="superscript"/>
        </w:rPr>
      </w:pPr>
    </w:p>
    <w:p>
      <w:pPr>
        <w:jc w:val="both"/>
        <w:ind w:left="760" w:hanging="374"/>
        <w:spacing w:after="0" w:line="233" w:lineRule="auto"/>
        <w:tabs>
          <w:tab w:leader="none" w:pos="7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annualized ratio of net operating expenses excluding incentive fees, to average net assets was 6.32% and 4.26% for the three months ended September 30, 2022 and 2021, respectively. The annualized ratio of net operating expenses excluding incentive fees, to average net assets was 4.88% and 3.83% for the nine months ended September 30, 2022 and 2021, respectively.</w:t>
      </w:r>
    </w:p>
    <w:p>
      <w:pPr>
        <w:spacing w:after="0" w:line="25" w:lineRule="exact"/>
        <w:rPr>
          <w:rFonts w:ascii="Times New Roman" w:cs="Times New Roman" w:eastAsia="Times New Roman" w:hAnsi="Times New Roman"/>
          <w:sz w:val="19"/>
          <w:szCs w:val="19"/>
          <w:color w:val="auto"/>
          <w:vertAlign w:val="superscript"/>
        </w:rPr>
      </w:pPr>
    </w:p>
    <w:p>
      <w:pPr>
        <w:ind w:left="760" w:hanging="374"/>
        <w:spacing w:after="0"/>
        <w:tabs>
          <w:tab w:leader="none" w:pos="7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Incentive fees are not annualized.</w:t>
      </w:r>
    </w:p>
    <w:p>
      <w:pPr>
        <w:spacing w:after="0" w:line="57" w:lineRule="exact"/>
        <w:rPr>
          <w:rFonts w:ascii="Times New Roman" w:cs="Times New Roman" w:eastAsia="Times New Roman" w:hAnsi="Times New Roman"/>
          <w:sz w:val="19"/>
          <w:szCs w:val="19"/>
          <w:color w:val="auto"/>
          <w:vertAlign w:val="superscript"/>
        </w:rPr>
      </w:pPr>
    </w:p>
    <w:p>
      <w:pPr>
        <w:ind w:left="760" w:hanging="374"/>
        <w:spacing w:after="0" w:line="211" w:lineRule="auto"/>
        <w:tabs>
          <w:tab w:leader="none" w:pos="760" w:val="left"/>
        </w:tabs>
        <w:numPr>
          <w:ilvl w:val="0"/>
          <w:numId w:val="3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portfolio turnover rate for the three and nine months ended September 30, 2022 and 2021 equals the lesser of investment portfolio purchases or sales during the period, divided by the average investment portfolio value during the period. As such, portfolio turnover rate is not annualized.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Tax Information</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Federal income tax regulations differ from accounting principles generally accepted in the United States and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appropriate tax character. Temporary differences arise when certain items of income, expense, gain or loss are recognized at some time in the future.</w:t>
      </w:r>
    </w:p>
    <w:p>
      <w:pPr>
        <w:spacing w:after="0" w:line="17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tax cost basis and the estimated aggregate gross unrealized appreciation and depreciation from investments for federal income tax purposes as of and for the period ended September 30, 2022 and the year ended December 31,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20" w:type="dxa"/>
            <w:vAlign w:val="bottom"/>
          </w:tcPr>
          <w:p>
            <w:pPr>
              <w:spacing w:after="0"/>
              <w:rPr>
                <w:sz w:val="16"/>
                <w:szCs w:val="16"/>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69"/>
        </w:trPr>
        <w:tc>
          <w:tcPr>
            <w:tcW w:w="4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4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cost on investments</w:t>
            </w:r>
          </w:p>
        </w:tc>
        <w:tc>
          <w:tcPr>
            <w:tcW w:w="29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937,408,951</w:t>
            </w:r>
          </w:p>
        </w:tc>
        <w:tc>
          <w:tcPr>
            <w:tcW w:w="28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726,968,588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41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appreciation</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8,820,050</w:t>
            </w:r>
          </w:p>
        </w:tc>
        <w:tc>
          <w:tcPr>
            <w:tcW w:w="2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23,598,138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depreciation</w:t>
            </w:r>
          </w:p>
        </w:tc>
        <w:tc>
          <w:tcPr>
            <w:tcW w:w="2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(36,060,057 )</w:t>
            </w:r>
          </w:p>
        </w:tc>
        <w:tc>
          <w:tcPr>
            <w:tcW w:w="1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(21,050,452 )</w:t>
            </w:r>
          </w:p>
        </w:tc>
        <w:tc>
          <w:tcPr>
            <w:tcW w:w="0" w:type="dxa"/>
            <w:vAlign w:val="bottom"/>
          </w:tcPr>
          <w:p>
            <w:pPr>
              <w:spacing w:after="0"/>
              <w:rPr>
                <w:sz w:val="1"/>
                <w:szCs w:val="1"/>
                <w:color w:val="auto"/>
              </w:rPr>
            </w:pPr>
          </w:p>
        </w:tc>
      </w:tr>
      <w:tr>
        <w:trPr>
          <w:trHeight w:val="20"/>
        </w:trPr>
        <w:tc>
          <w:tcPr>
            <w:tcW w:w="4960" w:type="dxa"/>
            <w:vAlign w:val="bottom"/>
            <w:shd w:val="clear" w:color="auto" w:fill="CFF0FC"/>
          </w:tcPr>
          <w:p>
            <w:pPr>
              <w:spacing w:after="0" w:line="20" w:lineRule="exact"/>
              <w:rPr>
                <w:sz w:val="1"/>
                <w:szCs w:val="1"/>
                <w:color w:val="auto"/>
              </w:rPr>
            </w:pPr>
          </w:p>
        </w:tc>
        <w:tc>
          <w:tcPr>
            <w:tcW w:w="29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appreciation/(depreciation) from investments</w:t>
            </w:r>
          </w:p>
        </w:tc>
        <w:tc>
          <w:tcPr>
            <w:tcW w:w="2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(27,240,007 )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980" w:type="dxa"/>
            <w:vAlign w:val="bottom"/>
            <w:vMerge w:val="restart"/>
          </w:tcPr>
          <w:p>
            <w:pPr>
              <w:jc w:val="right"/>
              <w:ind w:right="213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96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2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-1088390</wp:posOffset>
            </wp:positionV>
            <wp:extent cx="1174750" cy="3003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174750" cy="3003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-650875</wp:posOffset>
            </wp:positionV>
            <wp:extent cx="68580" cy="1714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1714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Subsequent Events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evaluated events subsequent to September 30, 2022 through November 3, 2022.</w:t>
      </w:r>
    </w:p>
    <w:p>
      <w:pPr>
        <w:spacing w:after="0" w:line="212"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On October 4, 2022, the Company's investment in Fidelis Cybersecurity, Inc was partially repaid resulting in $6,000,000 being repaid and a final payment fee of $600,000 for total proceeds of $6,600.000.</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12, 2022, the Company funded an investment of $20,000,000 to Nalu Medical, Inc.</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20, 2022, the Company funded an investment of $44,000,000 to Brivo Systems, LLC.</w:t>
      </w:r>
    </w:p>
    <w:p>
      <w:pPr>
        <w:spacing w:after="0" w:line="21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On October 27, 2022, the Company declared a dividend of $0.36 per share payable on November 22, 2022 to shareholders of record as of November 8, 2022.</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27, 2022, the Company funded an investment of $5,000,000 to Allurion Technologies,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7" w:lineRule="exact"/>
        <w:rPr>
          <w:sz w:val="20"/>
          <w:szCs w:val="20"/>
          <w:color w:val="auto"/>
        </w:rPr>
      </w:pPr>
    </w:p>
    <w:p>
      <w:pPr>
        <w:jc w:val="both"/>
        <w:ind w:left="20" w:firstLine="734"/>
        <w:spacing w:after="0" w:line="214" w:lineRule="exact"/>
        <w:rPr>
          <w:sz w:val="20"/>
          <w:szCs w:val="20"/>
          <w:color w:val="auto"/>
        </w:rPr>
      </w:pPr>
      <w:r>
        <w:rPr>
          <w:rFonts w:ascii="Times New Roman" w:cs="Times New Roman" w:eastAsia="Times New Roman" w:hAnsi="Times New Roman"/>
          <w:sz w:val="18"/>
          <w:szCs w:val="18"/>
          <w:color w:val="auto"/>
        </w:rPr>
        <w:t>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60" w:lineRule="exact"/>
        <w:rPr>
          <w:sz w:val="20"/>
          <w:szCs w:val="20"/>
          <w:color w:val="auto"/>
        </w:rPr>
      </w:pPr>
    </w:p>
    <w:p>
      <w:pPr>
        <w:ind w:left="76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conditions affecting the financial and capital markets, including changes from the impact of the current COVID-19 pandemic and market volatility resulting from the Russian invasion of Ukraine;</w:t>
      </w:r>
    </w:p>
    <w:p>
      <w:pPr>
        <w:spacing w:after="0" w:line="106"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effectively manage our business due to the disruptions caused by the current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w:t>
      </w:r>
    </w:p>
    <w:p>
      <w:pPr>
        <w:spacing w:after="0" w:line="19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ability to continue to operate, which could lead to the loss of some or all of our investments in such portfolio companies;</w:t>
      </w:r>
    </w:p>
    <w:p>
      <w:pPr>
        <w:spacing w:after="0" w:line="10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107" w:lineRule="exact"/>
        <w:rPr>
          <w:rFonts w:ascii="Times New Roman" w:cs="Times New Roman" w:eastAsia="Times New Roman" w:hAnsi="Times New Roman"/>
          <w:sz w:val="18"/>
          <w:szCs w:val="18"/>
          <w:color w:val="auto"/>
        </w:rPr>
      </w:pPr>
    </w:p>
    <w:p>
      <w:pPr>
        <w:ind w:left="760" w:hanging="378"/>
        <w:spacing w:after="0" w:line="235" w:lineRule="exact"/>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contraction of available credit and/or an inability to access the equity markets that could impair our lending and investment activities, including as a result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w:t>
      </w:r>
    </w:p>
    <w:p>
      <w:pPr>
        <w:spacing w:after="0" w:line="12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volatility that could adversely affect our results, particularly to the extent that we use leverage as part of our investment strategy;</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and inflation rates on our business prospects and the prospects of our portfolio companies;</w:t>
      </w:r>
    </w:p>
    <w:p>
      <w:pPr>
        <w:spacing w:after="0" w:line="155"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including our ability to achieve objectives as a result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w:t>
      </w:r>
    </w:p>
    <w:p>
      <w:pPr>
        <w:spacing w:after="0" w:line="171"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 including the impact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thereon;</w:t>
      </w:r>
    </w:p>
    <w:p>
      <w:pPr>
        <w:spacing w:after="0" w:line="21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142"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objectives, including as a result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w:t>
      </w:r>
    </w:p>
    <w:p>
      <w:pPr>
        <w:spacing w:after="0" w:line="21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entities and our affiliates for investment opportunities;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speculative and illiquid nature of our investments;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borrowed money to finance a portion of our investments;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financing sources and working capital;</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w:t>
      </w:r>
    </w:p>
    <w:p>
      <w:pPr>
        <w:spacing w:after="0" w:line="142" w:lineRule="exact"/>
        <w:rPr>
          <w:rFonts w:ascii="Times New Roman" w:cs="Times New Roman" w:eastAsia="Times New Roman" w:hAnsi="Times New Roman"/>
          <w:sz w:val="18"/>
          <w:szCs w:val="18"/>
          <w:color w:val="auto"/>
        </w:rPr>
      </w:pPr>
    </w:p>
    <w:p>
      <w:pPr>
        <w:ind w:left="760" w:hanging="378"/>
        <w:spacing w:after="0" w:line="207" w:lineRule="exact"/>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 and the impact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thereon;</w:t>
      </w:r>
    </w:p>
    <w:p>
      <w:pPr>
        <w:spacing w:after="0" w:line="213" w:lineRule="exact"/>
        <w:rPr>
          <w:rFonts w:ascii="Times New Roman" w:cs="Times New Roman" w:eastAsia="Times New Roman" w:hAnsi="Times New Roman"/>
          <w:sz w:val="18"/>
          <w:szCs w:val="18"/>
          <w:color w:val="auto"/>
        </w:rPr>
      </w:pPr>
    </w:p>
    <w:p>
      <w:pPr>
        <w:ind w:left="760" w:hanging="378"/>
        <w:spacing w:after="0" w:line="228" w:lineRule="exact"/>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external investment adviser, Runway Growth Capital LLC (“RGC”), to locate suitable investments for us and to monitor and administer our investments and the impacts of the COVID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19 pandemic thereon;</w:t>
      </w:r>
    </w:p>
    <w:p>
      <w:pPr>
        <w:spacing w:after="0" w:line="13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RGC to attract and retain highly talented professionals;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760" w:right="2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qualification as a regulated investment company (“RIC”) under Subchapter M of the Internal Revenue Code of 1986, as amended (the “Code”), and as a business development company (“BDC”);</w:t>
      </w:r>
    </w:p>
    <w:p>
      <w:pPr>
        <w:spacing w:after="0" w:line="10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legal, tax, and regulatory changes; and</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uncertainties and other factors we identify under “Risk Factors” in Part I, Item 1A of our annual report on Form 10-K, as modified by the annual report on Form 10-K/A for the year ended December 31, 2021, filed with the SEC on March 2, 2022 and March 14, 2022, respectively, and in our other filings with the Securities and Exchange Commission (the “SEC”).</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as modified by the annual report on Form 10-K/A for the year ended December 31, 2021, filed with the SEC on March 2, 2022 and March 14, 2022, respectively.</w:t>
      </w:r>
    </w:p>
    <w:p>
      <w:pPr>
        <w:spacing w:after="0" w:line="167" w:lineRule="exact"/>
        <w:rPr>
          <w:sz w:val="20"/>
          <w:szCs w:val="20"/>
          <w:color w:val="auto"/>
        </w:rPr>
      </w:pPr>
    </w:p>
    <w:p>
      <w:pPr>
        <w:jc w:val="both"/>
        <w:ind w:firstLine="749"/>
        <w:spacing w:after="0" w:line="221" w:lineRule="exact"/>
        <w:rPr>
          <w:sz w:val="20"/>
          <w:szCs w:val="20"/>
          <w:color w:val="auto"/>
        </w:rPr>
      </w:pPr>
      <w:r>
        <w:rPr>
          <w:rFonts w:ascii="Times New Roman" w:cs="Times New Roman" w:eastAsia="Times New Roman" w:hAnsi="Times New Roman"/>
          <w:sz w:val="18"/>
          <w:szCs w:val="18"/>
          <w:color w:val="auto"/>
        </w:rPr>
        <w:t>We have based the forward-looking statements included in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Q on information available to us on the date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167" w:lineRule="exact"/>
        <w:rPr>
          <w:sz w:val="20"/>
          <w:szCs w:val="20"/>
          <w:color w:val="auto"/>
        </w:rPr>
      </w:pPr>
    </w:p>
    <w:p>
      <w:pPr>
        <w:jc w:val="both"/>
        <w:ind w:firstLine="749"/>
        <w:spacing w:after="0" w:line="235" w:lineRule="exact"/>
        <w:rPr>
          <w:sz w:val="20"/>
          <w:szCs w:val="20"/>
          <w:color w:val="auto"/>
        </w:rPr>
      </w:pPr>
      <w:r>
        <w:rPr>
          <w:rFonts w:ascii="Times New Roman" w:cs="Times New Roman" w:eastAsia="Times New Roman" w:hAnsi="Times New Roman"/>
          <w:sz w:val="18"/>
          <w:szCs w:val="18"/>
          <w:color w:val="auto"/>
        </w:rPr>
        <w:t>The following analysis of our financial condition and results of operations should be read in conjunction with our financial statements and the related notes thereto contained elsewhere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We are an externally managed, non-diversified closed-end investment management company that was formed on August 31, 2015 as a corporation under the laws of the State of Maryland. On August 18, 2021, we changed our name to “Runway Growth Finance Corp.” from “Runway Growth Credit Fund Inc.” We have elected to be regulated as a BDC under the 1940 Act. In addition, we have elected to be treated, have qualified, and intend to continue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81" w:lineRule="exact"/>
        <w:rPr>
          <w:sz w:val="20"/>
          <w:szCs w:val="20"/>
          <w:color w:val="auto"/>
        </w:rPr>
      </w:pPr>
    </w:p>
    <w:p>
      <w:pPr>
        <w:jc w:val="both"/>
        <w:ind w:firstLine="749"/>
        <w:spacing w:after="0" w:line="210" w:lineRule="exact"/>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We will remain an emerging growth company until the last day of our fiscal year following the fifth anniversary of our IPO on October 25, 2021, or until the earliest of (i) the last day of the first fiscal year in which we have total annual gross revenue of $1,070,000,000 or more, (ii) December 31 of the fiscal year in which we become a “large accelerated filer” as defined in Rule 12b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w:t>
      </w:r>
    </w:p>
    <w:p>
      <w:pPr>
        <w:spacing w:after="0" w:line="5" w:lineRule="exact"/>
        <w:rPr>
          <w:sz w:val="20"/>
          <w:szCs w:val="20"/>
          <w:color w:val="auto"/>
        </w:rPr>
      </w:pPr>
    </w:p>
    <w:p>
      <w:pPr>
        <w:ind w:firstLine="8"/>
        <w:spacing w:after="0" w:line="258" w:lineRule="auto"/>
        <w:tabs>
          <w:tab w:leader="none" w:pos="32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6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October 2015, in connection with our formation, we issued and sold 1,667 shares of common stock to R. David Spreng, our President, Chief Executive Officer and Chairman of our Board of Directors, for an aggregate purchase price of $25,000. The sale of shares of common stock was approved by the unanimous consent of the sole director at the time. On December 1, 2017, we completed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Initial Private Offering, in which we issued 18,241,157 shares of our common stock to stockholders for a total purchase price of $275,000,000 in reliance on exemptions from the registration requirements of the Securities Act, and other applicable securities laws.</w:t>
      </w:r>
    </w:p>
    <w:p>
      <w:pPr>
        <w:spacing w:after="0" w:line="14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As of September 30, 2022, we had completed multiple closings under our second private offering (the “Second Private Offering”) and had accepted aggregate capital commitments of $181,673,500. As of September 30, 2022, in connection with the Second Private Offering we have issued 9,617,379 shares of our common stock for a total purchase price of $144,260,683. Concurrent with the IPO, all undrawn commitments under the Second Private Offering were cancelled.</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October 25, 2021, we closed our IPO, issuing 6,850,000 shares of our common stock at a public offering price of $14.60 per share. Net of underwriting fees and offering costs, we received net cash proceeds of $93.0 million. Our common stock began trading on the Nasdaq Global Select Market under the symbol “RWAY” on October 21, 2021.</w:t>
      </w:r>
    </w:p>
    <w:p>
      <w:pPr>
        <w:spacing w:after="0" w:line="16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September 30, 2022, we have issued 22,564 shares as an additional direct investment by Runway Growth Holdings LLC, an affiliate of RGC, at a per-share price of $15.00 for a total purchase price of $338,453. As of September 30, 2022, we have issued an additional 6,647,847 shares as part of our dividend reinvestment plan. Refer to "Note 6- Net Assets" for further detail.</w:t>
      </w:r>
    </w:p>
    <w:p>
      <w:pPr>
        <w:spacing w:after="0" w:line="169"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On August 10, 2020, we, RGC, and certain other funds and accounts sponsored or managed by RGC and/or its affiliates were granted an order (the “Order”), amended on August 30, 2022, that permits us greater flexibility than the 1940 Act permits to negotiate the terms of co-investments if the Board determines that it would be advantageous for us to co-invest with other accounts sponsored or managed by RGC or its affiliates in a manner consistent with our investment objective or criteria,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criteria, positions, policies, strategies and restrictions as well as regulatory requirements and other pertinent factors.</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On August 30, 2022, we received an amendment to our existing Order to permit us to, subject to the satisfaction of certain conditions, co-invest in our existing portfolio companies with certain affiliates that are private funds even if such other funds had not previously invested in such existing portfolio company. Without this order, such affiliated funds that are private funds would not be able to participate in such co-investments with us unless the affiliated funds had previously acquired securities of the portfolio company in a co-investment transaction with us.</w:t>
      </w:r>
    </w:p>
    <w:p>
      <w:pPr>
        <w:spacing w:after="0" w:line="17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September 30, 2022, approximately 69% of our debt investments had variable rates based on LIBOR. We are actively considering and discussing the preferred alternative benchmark and prioritizing the inclusion of LIBOR fallback language in our documentation. The Alternative Reference Rates Committee (“ARCC”) has recommended using the SOFR rate as an alternative benchmark for U.S. based debt securities.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Composition and Investment Activity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Composition</w:t>
      </w:r>
    </w:p>
    <w:p>
      <w:pPr>
        <w:spacing w:after="0" w:line="21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At September 30, 2022, we had investments in 43 portfolio companies, representing 24 companies in which we held loan and warrant investments, two companies in which we held loan investments and shares of common, preferred stock, or a combination with warrants, three companies in which we held a loan investment only, nine companies in which we held warrant investments only, and five companies in which we held shares of common or preferred stock only, or a combination with warrants. At December 31, 2021, we had investments in 39 portfolio companies, representing 20 companies where we held loan and warrant investments, 12 companies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we held warrant interests only, and we held one U.S. Treasury Bill. The following table shows the fair value of our investments, by asset class,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December 31, 2021: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September 30, 2022 (Unaudited)</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2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300" w:type="dxa"/>
            <w:vAlign w:val="bottom"/>
          </w:tcPr>
          <w:p>
            <w:pPr>
              <w:spacing w:after="0"/>
              <w:rPr>
                <w:sz w:val="11"/>
                <w:szCs w:val="11"/>
                <w:color w:val="auto"/>
              </w:rPr>
            </w:pPr>
          </w:p>
        </w:tc>
        <w:tc>
          <w:tcPr>
            <w:tcW w:w="100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40" w:type="dxa"/>
            <w:vAlign w:val="bottom"/>
            <w:gridSpan w:val="2"/>
          </w:tcPr>
          <w:p>
            <w:pPr>
              <w:jc w:val="center"/>
              <w:ind w:left="88"/>
              <w:spacing w:after="0" w:line="131"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1"/>
                <w:szCs w:val="11"/>
                <w:color w:val="auto"/>
              </w:rPr>
            </w:pPr>
          </w:p>
        </w:tc>
        <w:tc>
          <w:tcPr>
            <w:tcW w:w="980" w:type="dxa"/>
            <w:vAlign w:val="bottom"/>
            <w:gridSpan w:val="2"/>
          </w:tcPr>
          <w:p>
            <w:pPr>
              <w:jc w:val="center"/>
              <w:ind w:left="68"/>
              <w:spacing w:after="0" w:line="131"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0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Portfolio</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8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Common Stocks</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8,714,957</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3,138,051</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4,709,744</w:t>
            </w:r>
          </w:p>
        </w:tc>
        <w:tc>
          <w:tcPr>
            <w:tcW w:w="4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11,463,865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881,833,193</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862,527,989</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629,009,432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623,053,646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Lien Term Loans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13,450,968</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13,403,245</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12,872,588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12,872,588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Preferred Stocks</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14,381,866</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12,712,553</w:t>
            </w:r>
          </w:p>
        </w:tc>
        <w:tc>
          <w:tcPr>
            <w:tcW w:w="4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17,337,836</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17,037,125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18,212,941</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18,387,107</w:t>
            </w:r>
          </w:p>
        </w:tc>
        <w:tc>
          <w:tcPr>
            <w:tcW w:w="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18,393,141</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20,087,550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936,593,925</w:t>
            </w:r>
          </w:p>
        </w:tc>
        <w:tc>
          <w:tcPr>
            <w:tcW w:w="3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910,168,945</w:t>
            </w:r>
          </w:p>
        </w:tc>
        <w:tc>
          <w:tcPr>
            <w:tcW w:w="40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682,322,741</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684,514,774</w:t>
            </w:r>
          </w:p>
        </w:tc>
        <w:tc>
          <w:tcPr>
            <w:tcW w:w="38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20" w:type="dxa"/>
            <w:vAlign w:val="bottom"/>
            <w:gridSpan w:val="2"/>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spacing w:after="0"/>
              <w:rPr>
                <w:sz w:val="14"/>
                <w:szCs w:val="14"/>
                <w:color w:val="auto"/>
              </w:rPr>
            </w:pPr>
          </w:p>
        </w:tc>
        <w:tc>
          <w:tcPr>
            <w:tcW w:w="104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U.S. Treasury Bill</w:t>
            </w: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45,001,250</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45,001,500</w:t>
            </w:r>
          </w:p>
        </w:tc>
        <w:tc>
          <w:tcPr>
            <w:tcW w:w="38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2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936,593,925</w:t>
            </w:r>
          </w:p>
        </w:tc>
        <w:tc>
          <w:tcPr>
            <w:tcW w:w="50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910,168,945</w:t>
            </w:r>
          </w:p>
        </w:tc>
        <w:tc>
          <w:tcPr>
            <w:tcW w:w="400" w:type="dxa"/>
            <w:vAlign w:val="bottom"/>
          </w:tcPr>
          <w:p>
            <w:pPr>
              <w:spacing w:after="0"/>
              <w:rPr>
                <w:sz w:val="14"/>
                <w:szCs w:val="14"/>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4"/>
                <w:szCs w:val="14"/>
                <w:color w:val="auto"/>
              </w:rPr>
            </w:pP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727,323,991</w:t>
            </w:r>
          </w:p>
        </w:tc>
        <w:tc>
          <w:tcPr>
            <w:tcW w:w="460" w:type="dxa"/>
            <w:vAlign w:val="bottom"/>
            <w:gridSpan w:val="2"/>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729,516,274</w:t>
            </w:r>
          </w:p>
        </w:tc>
        <w:tc>
          <w:tcPr>
            <w:tcW w:w="12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4"/>
                <w:szCs w:val="14"/>
                <w:color w:val="auto"/>
              </w:rPr>
            </w:pPr>
          </w:p>
        </w:tc>
        <w:tc>
          <w:tcPr>
            <w:tcW w:w="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-376555</wp:posOffset>
            </wp:positionV>
            <wp:extent cx="76835" cy="1200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-376555</wp:posOffset>
            </wp:positionV>
            <wp:extent cx="77470" cy="1200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-376555</wp:posOffset>
            </wp:positionV>
            <wp:extent cx="77470" cy="1200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-376555</wp:posOffset>
            </wp:positionV>
            <wp:extent cx="111125" cy="1200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11125" cy="1200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-376555</wp:posOffset>
            </wp:positionV>
            <wp:extent cx="68580" cy="1200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-376555</wp:posOffset>
            </wp:positionV>
            <wp:extent cx="68580" cy="1200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-376555</wp:posOffset>
            </wp:positionV>
            <wp:extent cx="68580" cy="1200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-144780</wp:posOffset>
            </wp:positionV>
            <wp:extent cx="76835" cy="1454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-144780</wp:posOffset>
            </wp:positionV>
            <wp:extent cx="77470" cy="1454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-144780</wp:posOffset>
            </wp:positionV>
            <wp:extent cx="77470" cy="1454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-144780</wp:posOffset>
            </wp:positionV>
            <wp:extent cx="111125" cy="1454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-144780</wp:posOffset>
            </wp:positionV>
            <wp:extent cx="68580" cy="1454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-144780</wp:posOffset>
            </wp:positionV>
            <wp:extent cx="68580" cy="1454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-144780</wp:posOffset>
            </wp:positionV>
            <wp:extent cx="68580" cy="1454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8" w:lineRule="exact"/>
        <w:rPr>
          <w:sz w:val="20"/>
          <w:szCs w:val="20"/>
          <w:color w:val="auto"/>
        </w:rPr>
      </w:pPr>
    </w:p>
    <w:p>
      <w:pPr>
        <w:jc w:val="both"/>
        <w:ind w:right="40" w:firstLine="749"/>
        <w:spacing w:after="0" w:line="246" w:lineRule="auto"/>
        <w:rPr>
          <w:sz w:val="20"/>
          <w:szCs w:val="20"/>
          <w:color w:val="auto"/>
        </w:rPr>
      </w:pPr>
      <w:r>
        <w:rPr>
          <w:rFonts w:ascii="Times New Roman" w:cs="Times New Roman" w:eastAsia="Times New Roman" w:hAnsi="Times New Roman"/>
          <w:sz w:val="18"/>
          <w:szCs w:val="18"/>
          <w:color w:val="231F20"/>
        </w:rPr>
        <w:t xml:space="preserve">For the three and nine months ended September 30, 2022, our debt investment portfolio had a dollar-weighted annualized yield of 14.43% and 13.49%, respectively. For the </w:t>
      </w:r>
      <w:r>
        <w:rPr>
          <w:rFonts w:ascii="Times New Roman" w:cs="Times New Roman" w:eastAsia="Times New Roman" w:hAnsi="Times New Roman"/>
          <w:sz w:val="18"/>
          <w:szCs w:val="18"/>
          <w:color w:val="000000"/>
        </w:rPr>
        <w:t>three and nine months ended September 30, 2021</w:t>
      </w:r>
      <w:r>
        <w:rPr>
          <w:rFonts w:ascii="Times New Roman" w:cs="Times New Roman" w:eastAsia="Times New Roman" w:hAnsi="Times New Roman"/>
          <w:sz w:val="18"/>
          <w:szCs w:val="18"/>
          <w:color w:val="231F20"/>
        </w:rPr>
        <w:t>, our debt investment portfolio had a dollar-weighted annualized yield of</w:t>
      </w:r>
    </w:p>
    <w:p>
      <w:pPr>
        <w:spacing w:after="0" w:line="1" w:lineRule="exact"/>
        <w:rPr>
          <w:sz w:val="20"/>
          <w:szCs w:val="20"/>
          <w:color w:val="auto"/>
        </w:rPr>
      </w:pPr>
    </w:p>
    <w:p>
      <w:pPr>
        <w:jc w:val="both"/>
        <w:ind w:right="40"/>
        <w:spacing w:after="0" w:line="237" w:lineRule="auto"/>
        <w:rPr>
          <w:sz w:val="20"/>
          <w:szCs w:val="20"/>
          <w:color w:val="auto"/>
        </w:rPr>
      </w:pPr>
      <w:r>
        <w:rPr>
          <w:rFonts w:ascii="Times New Roman" w:cs="Times New Roman" w:eastAsia="Times New Roman" w:hAnsi="Times New Roman"/>
          <w:sz w:val="18"/>
          <w:szCs w:val="18"/>
          <w:color w:val="231F20"/>
        </w:rPr>
        <w:t>15.34% and 14.17%, respectively. We calculate the yield on dollar-weighted debt investments for any period measured as (1) total related investment income during the period divided by (2) the daily average of the fair value of debt investments outstanding during the period. As of September 30, 2022, our debt investments had a dollar-weighted average outstanding term of 54 months at origination and a dollar-weighted average remaining term of 42 months, or approximately 3.5 years. As of September 30, 2022, substantially all of our debt investments had an original committed principal amount of between $6 million and $85 million, repayment terms of between 36 months and 61 months and pay cash interest at annual interest rates of between 8.53% and 14.53%.</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231F20"/>
        </w:rPr>
        <w:t xml:space="preserve">The following table shows our dollar-weighted annualized yield by investment type for the </w:t>
      </w:r>
      <w:r>
        <w:rPr>
          <w:rFonts w:ascii="Times New Roman" w:cs="Times New Roman" w:eastAsia="Times New Roman" w:hAnsi="Times New Roman"/>
          <w:sz w:val="18"/>
          <w:szCs w:val="18"/>
          <w:color w:val="000000"/>
        </w:rPr>
        <w:t>three and nine months ended September 30, 2022</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2021</w:t>
      </w:r>
      <w:r>
        <w:rPr>
          <w:rFonts w:ascii="Times New Roman" w:cs="Times New Roman" w:eastAsia="Times New Roman" w:hAnsi="Times New Roman"/>
          <w:sz w:val="18"/>
          <w:szCs w:val="18"/>
          <w:color w:val="231F20"/>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Fair Value</w:t>
            </w:r>
            <w:r>
              <w:rPr>
                <w:rFonts w:ascii="Times New Roman" w:cs="Times New Roman" w:eastAsia="Times New Roman" w:hAnsi="Times New Roman"/>
                <w:sz w:val="19"/>
                <w:szCs w:val="19"/>
                <w:b w:val="1"/>
                <w:bCs w:val="1"/>
                <w:color w:val="auto"/>
                <w:vertAlign w:val="superscript"/>
              </w:rPr>
              <w:t>(1)</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Cost</w:t>
            </w:r>
            <w:r>
              <w:rPr>
                <w:rFonts w:ascii="Times New Roman" w:cs="Times New Roman" w:eastAsia="Times New Roman" w:hAnsi="Times New Roman"/>
                <w:sz w:val="19"/>
                <w:szCs w:val="19"/>
                <w:b w:val="1"/>
                <w:bCs w:val="1"/>
                <w:color w:val="auto"/>
                <w:vertAlign w:val="superscript"/>
              </w:rPr>
              <w:t>(2)</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169"/>
        </w:trPr>
        <w:tc>
          <w:tcPr>
            <w:tcW w:w="1500" w:type="dxa"/>
            <w:vAlign w:val="bottom"/>
          </w:tcPr>
          <w:p>
            <w:pPr>
              <w:spacing w:after="0"/>
              <w:rPr>
                <w:sz w:val="14"/>
                <w:szCs w:val="14"/>
                <w:color w:val="auto"/>
              </w:rPr>
            </w:pPr>
          </w:p>
        </w:tc>
        <w:tc>
          <w:tcPr>
            <w:tcW w:w="240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4"/>
                <w:szCs w:val="14"/>
                <w:color w:val="auto"/>
              </w:rPr>
            </w:pPr>
          </w:p>
        </w:tc>
        <w:tc>
          <w:tcPr>
            <w:tcW w:w="22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1500" w:type="dxa"/>
            <w:vAlign w:val="bottom"/>
          </w:tcPr>
          <w:p>
            <w:pPr>
              <w:spacing w:after="0"/>
              <w:rPr>
                <w:sz w:val="14"/>
                <w:szCs w:val="14"/>
                <w:color w:val="auto"/>
              </w:rPr>
            </w:pPr>
          </w:p>
        </w:tc>
        <w:tc>
          <w:tcPr>
            <w:tcW w:w="94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4"/>
                <w:szCs w:val="14"/>
                <w:color w:val="auto"/>
              </w:rPr>
            </w:pPr>
          </w:p>
        </w:tc>
        <w:tc>
          <w:tcPr>
            <w:tcW w:w="106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r>
      <w:tr>
        <w:trPr>
          <w:trHeight w:val="169"/>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9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r>
      <w:tr>
        <w:trPr>
          <w:trHeight w:val="175"/>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Debt investments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15.34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13.49</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14.17</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14.10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14.87</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13.30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13.93</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1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Equity interest</w:t>
            </w: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3.64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2.41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2.60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3.60</w:t>
            </w:r>
          </w:p>
        </w:tc>
        <w:tc>
          <w:tcPr>
            <w:tcW w:w="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3.38</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3.40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8"/>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investments</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13.95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13.96</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12.94</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13.06</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13.55</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14.06</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12.77</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13.15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90309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96" w:lineRule="exact"/>
        <w:rPr>
          <w:sz w:val="20"/>
          <w:szCs w:val="20"/>
          <w:color w:val="auto"/>
        </w:rPr>
      </w:pPr>
    </w:p>
    <w:p>
      <w:pPr>
        <w:jc w:val="both"/>
        <w:ind w:left="760" w:right="20" w:hanging="374"/>
        <w:spacing w:after="0" w:line="205" w:lineRule="auto"/>
        <w:tabs>
          <w:tab w:leader="none" w:pos="76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calculate the dollar-weighted annualized yield on average investment type for any period as (a) total related investment income during the period divided by (b) 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96" w:lineRule="exact"/>
        <w:rPr>
          <w:rFonts w:ascii="Times New Roman" w:cs="Times New Roman" w:eastAsia="Times New Roman" w:hAnsi="Times New Roman"/>
          <w:sz w:val="24"/>
          <w:szCs w:val="24"/>
          <w:color w:val="auto"/>
          <w:vertAlign w:val="superscript"/>
        </w:rPr>
      </w:pPr>
    </w:p>
    <w:p>
      <w:pPr>
        <w:jc w:val="both"/>
        <w:ind w:left="760" w:hanging="374"/>
        <w:spacing w:after="0" w:line="205" w:lineRule="auto"/>
        <w:tabs>
          <w:tab w:leader="none" w:pos="760"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We calculate the dollar-weighted annualized yield on average investment type for any period as (a) total related investment income during the period divided by (b) 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Activity</w:t>
      </w:r>
    </w:p>
    <w:p>
      <w:pPr>
        <w:spacing w:after="0" w:line="22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nine months ended September 30, 2022, the Company funded $210.4 million in eight new portfolio companies and $182.4 million in ten existing portfolio companies, net of upfront loan origination fees. The Company also received $143.2 million in loan repayments from six portfolio companies and $7.2 million in proceeds from the termination of warrants, sale of preferred stock, and sale of common stock. During the nine months ended September 30, 2021, the Company funded $140.1 million in nine new portfolio companies and $97.0 million in ten existing portfolio companies. The Company also received $76.1 million in loan repayments from eight portfolio companies and $2.9 million in proceeds from the termination of warrants.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Reconciliation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is a reconciliation of our investment portfolio, including U.S. Treasury Bills, for the nine months ended September 30, 2022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58"/>
        </w:trPr>
        <w:tc>
          <w:tcPr>
            <w:tcW w:w="64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08"/>
              <w:spacing w:after="0" w:line="158"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88"/>
              <w:spacing w:after="0" w:line="158"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187"/>
        </w:trPr>
        <w:tc>
          <w:tcPr>
            <w:tcW w:w="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6"/>
                <w:szCs w:val="16"/>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(Unaudited)</w:t>
            </w:r>
          </w:p>
        </w:tc>
      </w:tr>
      <w:tr>
        <w:trPr>
          <w:trHeight w:val="169"/>
        </w:trPr>
        <w:tc>
          <w:tcPr>
            <w:tcW w:w="8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Beginning Investment Portfolio</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729,516,274</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621,826,650</w:t>
            </w:r>
          </w:p>
        </w:tc>
        <w:tc>
          <w:tcPr>
            <w:tcW w:w="100" w:type="dxa"/>
            <w:vAlign w:val="bottom"/>
            <w:shd w:val="clear" w:color="auto" w:fill="CFF0FC"/>
          </w:tcPr>
          <w:p>
            <w:pPr>
              <w:spacing w:after="0"/>
              <w:rPr>
                <w:sz w:val="14"/>
                <w:szCs w:val="14"/>
                <w:color w:val="auto"/>
              </w:rPr>
            </w:pPr>
          </w:p>
        </w:tc>
      </w:tr>
      <w:tr>
        <w:trPr>
          <w:trHeight w:val="176"/>
        </w:trPr>
        <w:tc>
          <w:tcPr>
            <w:tcW w:w="8660" w:type="dxa"/>
            <w:vAlign w:val="bottom"/>
            <w:gridSpan w:val="3"/>
          </w:tcPr>
          <w:p>
            <w:pPr>
              <w:ind w:left="20"/>
              <w:spacing w:after="0" w:line="175" w:lineRule="exact"/>
              <w:rPr>
                <w:sz w:val="20"/>
                <w:szCs w:val="20"/>
                <w:color w:val="auto"/>
              </w:rPr>
            </w:pPr>
            <w:r>
              <w:rPr>
                <w:rFonts w:ascii="Times New Roman" w:cs="Times New Roman" w:eastAsia="Times New Roman" w:hAnsi="Times New Roman"/>
                <w:sz w:val="14"/>
                <w:szCs w:val="14"/>
                <w:color w:val="auto"/>
              </w:rPr>
              <w:t>Purchases of Investments</w:t>
            </w:r>
            <w:r>
              <w:rPr>
                <w:rFonts w:ascii="Times New Roman" w:cs="Times New Roman" w:eastAsia="Times New Roman" w:hAnsi="Times New Roman"/>
                <w:sz w:val="19"/>
                <w:szCs w:val="19"/>
                <w:color w:val="auto"/>
                <w:vertAlign w:val="superscript"/>
              </w:rPr>
              <w:t>(1)</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399,164,647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239,458,881</w:t>
            </w:r>
          </w:p>
        </w:tc>
        <w:tc>
          <w:tcPr>
            <w:tcW w:w="100" w:type="dxa"/>
            <w:vAlign w:val="bottom"/>
          </w:tcPr>
          <w:p>
            <w:pPr>
              <w:spacing w:after="0"/>
              <w:rPr>
                <w:sz w:val="15"/>
                <w:szCs w:val="15"/>
                <w:color w:val="auto"/>
              </w:rPr>
            </w:pPr>
          </w:p>
        </w:tc>
      </w:tr>
      <w:tr>
        <w:trPr>
          <w:trHeight w:val="175"/>
        </w:trPr>
        <w:tc>
          <w:tcPr>
            <w:tcW w:w="8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Purchases of U.S. Treasury Bills</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115,000,509</w:t>
            </w:r>
          </w:p>
        </w:tc>
        <w:tc>
          <w:tcPr>
            <w:tcW w:w="100" w:type="dxa"/>
            <w:vAlign w:val="bottom"/>
            <w:shd w:val="clear" w:color="auto" w:fill="CFF0FC"/>
          </w:tcPr>
          <w:p>
            <w:pPr>
              <w:spacing w:after="0"/>
              <w:rPr>
                <w:sz w:val="15"/>
                <w:szCs w:val="15"/>
                <w:color w:val="auto"/>
              </w:rPr>
            </w:pPr>
          </w:p>
        </w:tc>
      </w:tr>
      <w:tr>
        <w:trPr>
          <w:trHeight w:val="176"/>
        </w:trPr>
        <w:tc>
          <w:tcPr>
            <w:tcW w:w="86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Amortization of Fixed Income Premiums or Accretion of Discounts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4,575,984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5,539,659</w:t>
            </w:r>
          </w:p>
        </w:tc>
        <w:tc>
          <w:tcPr>
            <w:tcW w:w="100" w:type="dxa"/>
            <w:vAlign w:val="bottom"/>
          </w:tcPr>
          <w:p>
            <w:pPr>
              <w:spacing w:after="0"/>
              <w:rPr>
                <w:sz w:val="15"/>
                <w:szCs w:val="15"/>
                <w:color w:val="auto"/>
              </w:rPr>
            </w:pPr>
          </w:p>
        </w:tc>
      </w:tr>
      <w:tr>
        <w:trPr>
          <w:trHeight w:val="175"/>
        </w:trPr>
        <w:tc>
          <w:tcPr>
            <w:tcW w:w="8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or Repayments of Investments</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(143,144,652 )</w:t>
            </w: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(197,534,296 )</w:t>
            </w:r>
          </w:p>
        </w:tc>
      </w:tr>
      <w:tr>
        <w:trPr>
          <w:trHeight w:val="176"/>
        </w:trPr>
        <w:tc>
          <w:tcPr>
            <w:tcW w:w="86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Scheduled Principal Payments of Investments</w:t>
            </w:r>
          </w:p>
        </w:tc>
        <w:tc>
          <w:tcPr>
            <w:tcW w:w="12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(7,265,675 )</w:t>
            </w:r>
          </w:p>
        </w:tc>
        <w:tc>
          <w:tcPr>
            <w:tcW w:w="16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(5,671,437 )</w:t>
            </w:r>
          </w:p>
        </w:tc>
      </w:tr>
      <w:tr>
        <w:trPr>
          <w:trHeight w:val="176"/>
        </w:trPr>
        <w:tc>
          <w:tcPr>
            <w:tcW w:w="8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Maturities of U.S. Treasury Bills</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(44,999,747 )</w:t>
            </w: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(124,999,118 )</w:t>
            </w:r>
          </w:p>
        </w:tc>
      </w:tr>
      <w:tr>
        <w:trPr>
          <w:trHeight w:val="175"/>
        </w:trPr>
        <w:tc>
          <w:tcPr>
            <w:tcW w:w="86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Realized Gain (Loss) on Investments</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939,377</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(4,094,970 )</w:t>
            </w:r>
          </w:p>
        </w:tc>
      </w:tr>
      <w:tr>
        <w:trPr>
          <w:trHeight w:val="176"/>
        </w:trPr>
        <w:tc>
          <w:tcPr>
            <w:tcW w:w="8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Change in Unrealized Appreciation (Depreciation) on Investments</w:t>
            </w:r>
          </w:p>
        </w:tc>
        <w:tc>
          <w:tcPr>
            <w:tcW w:w="12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(28,617,263 )</w:t>
            </w:r>
          </w:p>
        </w:tc>
        <w:tc>
          <w:tcPr>
            <w:tcW w:w="1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(3,172,841 )</w:t>
            </w:r>
          </w:p>
        </w:tc>
      </w:tr>
      <w:tr>
        <w:trPr>
          <w:trHeight w:val="169"/>
        </w:trPr>
        <w:tc>
          <w:tcPr>
            <w:tcW w:w="8660" w:type="dxa"/>
            <w:vAlign w:val="bottom"/>
            <w:tcBorders>
              <w:top w:val="single" w:sz="8" w:color="CFF0FC"/>
            </w:tcBorders>
            <w:gridSpan w:val="3"/>
          </w:tcPr>
          <w:p>
            <w:pPr>
              <w:ind w:left="20"/>
              <w:spacing w:after="0" w:line="155" w:lineRule="exact"/>
              <w:rPr>
                <w:sz w:val="20"/>
                <w:szCs w:val="20"/>
                <w:color w:val="auto"/>
              </w:rPr>
            </w:pPr>
            <w:r>
              <w:rPr>
                <w:rFonts w:ascii="Times New Roman" w:cs="Times New Roman" w:eastAsia="Times New Roman" w:hAnsi="Times New Roman"/>
                <w:sz w:val="14"/>
                <w:szCs w:val="14"/>
                <w:color w:val="auto"/>
              </w:rPr>
              <w:t>Ending Investment Portfolio</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910,168,945</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646,353,037</w:t>
            </w:r>
          </w:p>
        </w:tc>
        <w:tc>
          <w:tcPr>
            <w:tcW w:w="100" w:type="dxa"/>
            <w:vAlign w:val="bottom"/>
            <w:tcBorders>
              <w:top w:val="single" w:sz="8" w:color="CFF0FC"/>
            </w:tcBorders>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5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0"/>
        </w:trPr>
        <w:tc>
          <w:tcPr>
            <w:tcW w:w="640" w:type="dxa"/>
            <w:vAlign w:val="bottom"/>
          </w:tcPr>
          <w:p>
            <w:pPr>
              <w:ind w:left="380"/>
              <w:spacing w:after="0"/>
              <w:rPr>
                <w:sz w:val="20"/>
                <w:szCs w:val="20"/>
                <w:color w:val="auto"/>
              </w:rPr>
            </w:pPr>
            <w:r>
              <w:rPr>
                <w:rFonts w:ascii="Times New Roman" w:cs="Times New Roman" w:eastAsia="Times New Roman" w:hAnsi="Times New Roman"/>
                <w:sz w:val="12"/>
                <w:szCs w:val="12"/>
                <w:color w:val="auto"/>
              </w:rPr>
              <w:t>(1)</w:t>
            </w:r>
          </w:p>
        </w:tc>
        <w:tc>
          <w:tcPr>
            <w:tcW w:w="80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Includes PIK interest.</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-455930</wp:posOffset>
            </wp:positionV>
            <wp:extent cx="68580" cy="1454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-455930</wp:posOffset>
            </wp:positionV>
            <wp:extent cx="68580" cy="1454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6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80" w:type="dxa"/>
            <w:vAlign w:val="bottom"/>
          </w:tcPr>
          <w:p>
            <w:pPr>
              <w:jc w:val="center"/>
              <w:ind w:right="2328"/>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46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Rating Definition</w:t>
            </w:r>
          </w:p>
        </w:tc>
        <w:tc>
          <w:tcPr>
            <w:tcW w:w="0" w:type="dxa"/>
            <w:vAlign w:val="bottom"/>
          </w:tcPr>
          <w:p>
            <w:pPr>
              <w:spacing w:after="0"/>
              <w:rPr>
                <w:sz w:val="1"/>
                <w:szCs w:val="1"/>
                <w:color w:val="auto"/>
              </w:rPr>
            </w:pPr>
          </w:p>
        </w:tc>
      </w:tr>
      <w:tr>
        <w:trPr>
          <w:trHeight w:val="190"/>
        </w:trPr>
        <w:tc>
          <w:tcPr>
            <w:tcW w:w="3080" w:type="dxa"/>
            <w:vAlign w:val="bottom"/>
          </w:tcPr>
          <w:p>
            <w:pPr>
              <w:jc w:val="center"/>
              <w:ind w:right="2348"/>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3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0"/>
          <w:szCs w:val="20"/>
          <w:color w:val="auto"/>
        </w:rPr>
      </w:pPr>
    </w:p>
    <w:p>
      <w:pPr>
        <w:ind w:left="1260" w:right="20" w:hanging="730"/>
        <w:spacing w:after="0" w:line="245" w:lineRule="auto"/>
        <w:tabs>
          <w:tab w:leader="none" w:pos="1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571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260" w:right="20" w:hanging="730"/>
        <w:spacing w:after="0" w:line="234" w:lineRule="auto"/>
        <w:tabs>
          <w:tab w:leader="none" w:pos="1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at or reasonably close to plan. Acceptable business prospects, enterprise value, financial coverage. Maintaining key covenant and payment compliance as agreed.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571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260" w:right="20" w:hanging="730"/>
        <w:spacing w:after="0" w:line="234" w:lineRule="auto"/>
        <w:tabs>
          <w:tab w:leader="none" w:pos="1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jc w:val="both"/>
        <w:ind w:left="1260" w:right="20" w:hanging="730"/>
        <w:spacing w:after="0" w:line="229" w:lineRule="auto"/>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25717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260" w:right="20" w:hanging="730"/>
        <w:spacing w:after="0" w:line="234" w:lineRule="auto"/>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9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the investment ratings of our debt investments at fair value as of September 30, 2022 and December 31, 2021: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As of September 30, 2022 (Unaudited)</w:t>
            </w: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Investment Rating</w:t>
            </w:r>
          </w:p>
        </w:tc>
        <w:tc>
          <w:tcPr>
            <w:tcW w:w="200" w:type="dxa"/>
            <w:vAlign w:val="bottom"/>
          </w:tcPr>
          <w:p>
            <w:pPr>
              <w:spacing w:after="0"/>
              <w:rPr>
                <w:sz w:val="12"/>
                <w:szCs w:val="12"/>
                <w:color w:val="auto"/>
              </w:rPr>
            </w:pPr>
          </w:p>
        </w:tc>
        <w:tc>
          <w:tcPr>
            <w:tcW w:w="10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20" w:type="dxa"/>
            <w:vAlign w:val="bottom"/>
          </w:tcPr>
          <w:p>
            <w:pPr>
              <w:spacing w:after="0"/>
              <w:rPr>
                <w:sz w:val="12"/>
                <w:szCs w:val="12"/>
                <w:color w:val="auto"/>
              </w:rPr>
            </w:pPr>
          </w:p>
        </w:tc>
        <w:tc>
          <w:tcPr>
            <w:tcW w:w="14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80" w:type="dxa"/>
            <w:vAlign w:val="bottom"/>
          </w:tcPr>
          <w:p>
            <w:pPr>
              <w:spacing w:after="0"/>
              <w:rPr>
                <w:sz w:val="12"/>
                <w:szCs w:val="12"/>
                <w:color w:val="auto"/>
              </w:rPr>
            </w:pPr>
          </w:p>
        </w:tc>
        <w:tc>
          <w:tcPr>
            <w:tcW w:w="13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of Total Portfolio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Portfolio</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Companies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0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1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spacing w:after="0"/>
              <w:rPr>
                <w:sz w:val="14"/>
                <w:szCs w:val="14"/>
                <w:color w:val="auto"/>
              </w:rPr>
            </w:pPr>
          </w:p>
        </w:tc>
        <w:tc>
          <w:tcPr>
            <w:tcW w:w="1420" w:type="dxa"/>
            <w:vAlign w:val="bottom"/>
            <w:tcBorders>
              <w:top w:val="single" w:sz="8" w:color="auto"/>
            </w:tcBorders>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91,424,112</w:t>
            </w:r>
          </w:p>
        </w:tc>
        <w:tc>
          <w:tcPr>
            <w:tcW w:w="380" w:type="dxa"/>
            <w:vAlign w:val="bottom"/>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tcBorders>
              <w:top w:val="single" w:sz="8" w:color="auto"/>
            </w:tcBorders>
            <w:shd w:val="clear" w:color="auto" w:fill="CFF0FC"/>
          </w:tcPr>
          <w:p>
            <w:pPr>
              <w:spacing w:after="0"/>
              <w:rPr>
                <w:sz w:val="14"/>
                <w:szCs w:val="14"/>
                <w:color w:val="auto"/>
              </w:rPr>
            </w:pPr>
          </w:p>
        </w:tc>
        <w:tc>
          <w:tcPr>
            <w:tcW w:w="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730,875,660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80.3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479,114,147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140,588,533</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47,490,324</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4</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5"/>
                <w:szCs w:val="15"/>
                <w:color w:val="auto"/>
              </w:rPr>
            </w:pP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3,247,863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85"/>
              </w:rPr>
              <w:t>5</w:t>
            </w:r>
          </w:p>
        </w:tc>
        <w:tc>
          <w:tcPr>
            <w:tcW w:w="1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4,467,041</w:t>
            </w:r>
          </w:p>
        </w:tc>
        <w:tc>
          <w:tcPr>
            <w:tcW w:w="42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14,649,788</w:t>
            </w:r>
          </w:p>
        </w:tc>
        <w:tc>
          <w:tcPr>
            <w:tcW w:w="380" w:type="dxa"/>
            <w:vAlign w:val="bottom"/>
            <w:tcBorders>
              <w:bottom w:val="single" w:sz="8" w:color="CFF0FC"/>
            </w:tcBorders>
            <w:shd w:val="clear" w:color="auto" w:fill="CFF0FC"/>
          </w:tcPr>
          <w:p>
            <w:pPr>
              <w:spacing w:after="0"/>
              <w:rPr>
                <w:sz w:val="15"/>
                <w:szCs w:val="15"/>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875,931,234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00" w:type="dxa"/>
            <w:vAlign w:val="bottom"/>
          </w:tcPr>
          <w:p>
            <w:pPr>
              <w:spacing w:after="0"/>
              <w:rPr>
                <w:sz w:val="14"/>
                <w:szCs w:val="14"/>
                <w:color w:val="auto"/>
              </w:rPr>
            </w:pPr>
          </w:p>
        </w:tc>
        <w:tc>
          <w:tcPr>
            <w:tcW w:w="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635,926,234</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-145415</wp:posOffset>
            </wp:positionV>
            <wp:extent cx="76835" cy="1460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3279775</wp:posOffset>
            </wp:positionH>
            <wp:positionV relativeFrom="paragraph">
              <wp:posOffset>-145415</wp:posOffset>
            </wp:positionV>
            <wp:extent cx="77470" cy="1460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-145415</wp:posOffset>
            </wp:positionV>
            <wp:extent cx="76835" cy="1460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-145415</wp:posOffset>
            </wp:positionV>
            <wp:extent cx="68580" cy="1460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-145415</wp:posOffset>
            </wp:positionV>
            <wp:extent cx="68580" cy="1460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-145415</wp:posOffset>
            </wp:positionV>
            <wp:extent cx="68580" cy="1460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-145415</wp:posOffset>
            </wp:positionV>
            <wp:extent cx="68580" cy="1460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global COVID-19 pandemic, to date, has had limited impact on the investment ratings of our debt investments, taken as a whole. However, the ongoing impact of the global COVID-19 pandemic is uncertain and we can make no assurances that the pandemic or changes in the macroeconomic environment will not have a negative impact on our investment portfolio in the future. In addition, none of our portfolio companies are engaged in cryptocurrency speculation or cryptocurrency mining.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and Debt Securities on Non-Accrual Status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 xml:space="preserve">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September 30, 2022, we had one loan to Pivot3 Holdings, Inc., at a fair value of $4,467,041 on non-accrual status, which represents 0.78% of the Company’s net assets. </w:t>
      </w:r>
      <w:r>
        <w:rPr>
          <w:rFonts w:ascii="Times New Roman" w:cs="Times New Roman" w:eastAsia="Times New Roman" w:hAnsi="Times New Roman"/>
          <w:sz w:val="18"/>
          <w:szCs w:val="18"/>
          <w:color w:val="231F20"/>
        </w:rPr>
        <w:t>As of December 31, 2021, we had</w:t>
      </w:r>
      <w:r>
        <w:rPr>
          <w:rFonts w:ascii="Times New Roman" w:cs="Times New Roman" w:eastAsia="Times New Roman" w:hAnsi="Times New Roman"/>
          <w:sz w:val="18"/>
          <w:szCs w:val="18"/>
          <w:color w:val="auto"/>
        </w:rPr>
        <w:t xml:space="preserve"> six loans to Mojix, Inc. and one loan to Pivot3 Holdings, Inc., representing an aggregate principal funded of $30,278,707 at a fair value of $28,259,976, on non-accrual status, which represented 4.66% of our net assets</w:t>
      </w:r>
      <w:r>
        <w:rPr>
          <w:rFonts w:ascii="Times New Roman" w:cs="Times New Roman" w:eastAsia="Times New Roman" w:hAnsi="Times New Roman"/>
          <w:sz w:val="18"/>
          <w:szCs w:val="18"/>
          <w:color w:val="231F20"/>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2022 and 2021</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2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5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940" w:type="dxa"/>
            <w:vAlign w:val="bottom"/>
          </w:tcPr>
          <w:p>
            <w:pPr>
              <w:jc w:val="right"/>
              <w:ind w:right="108"/>
              <w:spacing w:after="0" w:line="196" w:lineRule="exact"/>
              <w:rPr>
                <w:sz w:val="20"/>
                <w:szCs w:val="20"/>
                <w:color w:val="auto"/>
              </w:rPr>
            </w:pPr>
            <w:r>
              <w:rPr>
                <w:rFonts w:ascii="Times New Roman" w:cs="Times New Roman" w:eastAsia="Times New Roman" w:hAnsi="Times New Roman"/>
                <w:sz w:val="14"/>
                <w:szCs w:val="14"/>
                <w:b w:val="1"/>
                <w:bCs w:val="1"/>
                <w:color w:val="auto"/>
                <w:w w:val="99"/>
              </w:rPr>
              <w:t>Per Share</w:t>
            </w:r>
            <w:r>
              <w:rPr>
                <w:rFonts w:ascii="Times New Roman" w:cs="Times New Roman" w:eastAsia="Times New Roman" w:hAnsi="Times New Roman"/>
                <w:sz w:val="19"/>
                <w:szCs w:val="19"/>
                <w:b w:val="1"/>
                <w:bCs w:val="1"/>
                <w:color w:val="auto"/>
                <w:w w:val="99"/>
                <w:vertAlign w:val="superscript"/>
              </w:rPr>
              <w:t>(1)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960" w:type="dxa"/>
            <w:vAlign w:val="bottom"/>
          </w:tcPr>
          <w:p>
            <w:pPr>
              <w:jc w:val="right"/>
              <w:ind w:right="128"/>
              <w:spacing w:after="0" w:line="196" w:lineRule="exact"/>
              <w:rPr>
                <w:sz w:val="20"/>
                <w:szCs w:val="20"/>
                <w:color w:val="auto"/>
              </w:rPr>
            </w:pPr>
            <w:r>
              <w:rPr>
                <w:rFonts w:ascii="Times New Roman" w:cs="Times New Roman" w:eastAsia="Times New Roman" w:hAnsi="Times New Roman"/>
                <w:sz w:val="14"/>
                <w:szCs w:val="14"/>
                <w:b w:val="1"/>
                <w:bCs w:val="1"/>
                <w:color w:val="auto"/>
                <w:w w:val="99"/>
              </w:rPr>
              <w:t>Per Share</w:t>
            </w:r>
            <w:r>
              <w:rPr>
                <w:rFonts w:ascii="Times New Roman" w:cs="Times New Roman" w:eastAsia="Times New Roman" w:hAnsi="Times New Roman"/>
                <w:sz w:val="19"/>
                <w:szCs w:val="19"/>
                <w:b w:val="1"/>
                <w:bCs w:val="1"/>
                <w:color w:val="auto"/>
                <w:w w:val="99"/>
                <w:vertAlign w:val="superscript"/>
              </w:rPr>
              <w:t>(1)</w:t>
            </w:r>
          </w:p>
        </w:tc>
        <w:tc>
          <w:tcPr>
            <w:tcW w:w="100" w:type="dxa"/>
            <w:vAlign w:val="bottom"/>
          </w:tcPr>
          <w:p>
            <w:pPr>
              <w:spacing w:after="0"/>
              <w:rPr>
                <w:sz w:val="17"/>
                <w:szCs w:val="17"/>
                <w:color w:val="auto"/>
              </w:rPr>
            </w:pPr>
          </w:p>
        </w:tc>
      </w:tr>
      <w:tr>
        <w:trPr>
          <w:trHeight w:val="169"/>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36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26,882,500</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0.66</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17,627,628</w:t>
            </w:r>
          </w:p>
        </w:tc>
        <w:tc>
          <w:tcPr>
            <w:tcW w:w="2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c>
          <w:tcPr>
            <w:tcW w:w="100" w:type="dxa"/>
            <w:vAlign w:val="bottom"/>
          </w:tcPr>
          <w:p>
            <w:pPr>
              <w:spacing w:after="0"/>
              <w:rPr>
                <w:sz w:val="15"/>
                <w:szCs w:val="15"/>
                <w:color w:val="auto"/>
              </w:rPr>
            </w:pPr>
          </w:p>
        </w:tc>
      </w:tr>
      <w:tr>
        <w:trPr>
          <w:trHeight w:val="175"/>
        </w:trPr>
        <w:tc>
          <w:tcPr>
            <w:tcW w:w="52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3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446,204</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982,438</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27,328,704</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0.67</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18,610,066</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0.56</w:t>
            </w:r>
          </w:p>
        </w:tc>
        <w:tc>
          <w:tcPr>
            <w:tcW w:w="100" w:type="dxa"/>
            <w:vAlign w:val="bottom"/>
          </w:tcPr>
          <w:p>
            <w:pPr>
              <w:spacing w:after="0"/>
              <w:rPr>
                <w:sz w:val="14"/>
                <w:szCs w:val="14"/>
                <w:color w:val="auto"/>
              </w:rPr>
            </w:pPr>
          </w:p>
        </w:tc>
      </w:tr>
      <w:tr>
        <w:trPr>
          <w:trHeight w:val="169"/>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Management fees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3,065,581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2,301,656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5"/>
                <w:szCs w:val="15"/>
                <w:color w:val="auto"/>
              </w:rPr>
            </w:pPr>
          </w:p>
        </w:tc>
      </w:tr>
      <w:tr>
        <w:trPr>
          <w:trHeight w:val="17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Incentive fees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3,625,686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2,686,475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shd w:val="clear" w:color="auto" w:fill="CFF0FC"/>
          </w:tcPr>
          <w:p>
            <w:pPr>
              <w:spacing w:after="0"/>
              <w:rPr>
                <w:sz w:val="15"/>
                <w:szCs w:val="15"/>
                <w:color w:val="auto"/>
              </w:rPr>
            </w:pPr>
          </w:p>
        </w:tc>
      </w:tr>
      <w:tr>
        <w:trPr>
          <w:trHeight w:val="175"/>
        </w:trPr>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3,588,289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812,852</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5"/>
                <w:szCs w:val="15"/>
                <w:color w:val="auto"/>
              </w:rPr>
            </w:pPr>
          </w:p>
        </w:tc>
      </w:tr>
      <w:tr>
        <w:trPr>
          <w:trHeight w:val="175"/>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720,115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612,854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FF0FC"/>
          </w:tcPr>
          <w:p>
            <w:pPr>
              <w:spacing w:after="0"/>
              <w:rPr>
                <w:sz w:val="15"/>
                <w:szCs w:val="15"/>
                <w:color w:val="auto"/>
              </w:rPr>
            </w:pPr>
          </w:p>
        </w:tc>
      </w:tr>
      <w:tr>
        <w:trPr>
          <w:trHeight w:val="175"/>
        </w:trPr>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Overhead allocation expense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258,191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249,141</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r>
      <w:tr>
        <w:trPr>
          <w:trHeight w:val="175"/>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Insurance expense</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268,806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23,087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Administration fee</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161,245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179,500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r>
      <w:tr>
        <w:trPr>
          <w:trHeight w:val="176"/>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Debt financing fees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794,124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738,087</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FF0FC"/>
          </w:tcPr>
          <w:p>
            <w:pPr>
              <w:spacing w:after="0"/>
              <w:rPr>
                <w:sz w:val="15"/>
                <w:szCs w:val="15"/>
                <w:color w:val="auto"/>
              </w:rPr>
            </w:pPr>
          </w:p>
        </w:tc>
      </w:tr>
      <w:tr>
        <w:trPr>
          <w:trHeight w:val="175"/>
        </w:trPr>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Directors' fees</w:t>
            </w: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90,727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67,750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2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expenses</w:t>
            </w: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258,991</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197,540</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r>
      <w:tr>
        <w:trPr>
          <w:trHeight w:val="169"/>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12,831,755</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2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7,868,942</w:t>
            </w: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3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14,496,949</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10,741,124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0.32</w:t>
            </w:r>
          </w:p>
        </w:tc>
        <w:tc>
          <w:tcPr>
            <w:tcW w:w="100" w:type="dxa"/>
            <w:vAlign w:val="bottom"/>
          </w:tcPr>
          <w:p>
            <w:pPr>
              <w:spacing w:after="0"/>
              <w:rPr>
                <w:sz w:val="14"/>
                <w:szCs w:val="14"/>
                <w:color w:val="auto"/>
              </w:rPr>
            </w:pPr>
          </w:p>
        </w:tc>
      </w:tr>
      <w:tr>
        <w:trPr>
          <w:trHeight w:val="175"/>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gain (loss) on investments</w:t>
            </w:r>
          </w:p>
        </w:tc>
        <w:tc>
          <w:tcPr>
            <w:tcW w:w="3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406,917</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718,310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shd w:val="clear" w:color="auto" w:fill="CFF0FC"/>
          </w:tcPr>
          <w:p>
            <w:pPr>
              <w:spacing w:after="0"/>
              <w:rPr>
                <w:sz w:val="15"/>
                <w:szCs w:val="15"/>
                <w:color w:val="auto"/>
              </w:rPr>
            </w:pPr>
          </w:p>
        </w:tc>
      </w:tr>
      <w:tr>
        <w:trPr>
          <w:trHeight w:val="17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w:t>
            </w:r>
          </w:p>
        </w:tc>
        <w:tc>
          <w:tcPr>
            <w:tcW w:w="360" w:type="dxa"/>
            <w:vAlign w:val="bottom"/>
          </w:tcPr>
          <w:p>
            <w:pPr>
              <w:spacing w:after="0"/>
              <w:rPr>
                <w:sz w:val="15"/>
                <w:szCs w:val="15"/>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(3,182,093 )</w:t>
            </w:r>
          </w:p>
        </w:tc>
        <w:tc>
          <w:tcPr>
            <w:tcW w:w="14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(0.08 )</w:t>
            </w:r>
          </w:p>
        </w:tc>
        <w:tc>
          <w:tcPr>
            <w:tcW w:w="10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(1,228,382 )</w:t>
            </w:r>
          </w:p>
        </w:tc>
        <w:tc>
          <w:tcPr>
            <w:tcW w:w="14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(0.04 )</w:t>
            </w:r>
          </w:p>
        </w:tc>
      </w:tr>
      <w:tr>
        <w:trPr>
          <w:trHeight w:val="209"/>
        </w:trPr>
        <w:tc>
          <w:tcPr>
            <w:tcW w:w="524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36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11,721,773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0.29</w:t>
            </w:r>
          </w:p>
        </w:tc>
        <w:tc>
          <w:tcPr>
            <w:tcW w:w="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10,231,052</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0.31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-2073910</wp:posOffset>
            </wp:positionV>
            <wp:extent cx="76835" cy="12890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-2073910</wp:posOffset>
            </wp:positionV>
            <wp:extent cx="68580" cy="12890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-2073910</wp:posOffset>
            </wp:positionV>
            <wp:extent cx="68580" cy="12890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-2073910</wp:posOffset>
            </wp:positionV>
            <wp:extent cx="68580" cy="12890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-487680</wp:posOffset>
            </wp:positionV>
            <wp:extent cx="76835" cy="1200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-487680</wp:posOffset>
            </wp:positionV>
            <wp:extent cx="68580" cy="1200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-487680</wp:posOffset>
            </wp:positionV>
            <wp:extent cx="68580" cy="1200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1200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7683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768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-7620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1" w:lineRule="exact"/>
        <w:rPr>
          <w:sz w:val="20"/>
          <w:szCs w:val="20"/>
          <w:color w:val="auto"/>
        </w:rPr>
      </w:pPr>
    </w:p>
    <w:p>
      <w:pPr>
        <w:ind w:left="760" w:hanging="374"/>
        <w:spacing w:after="0" w:line="192" w:lineRule="auto"/>
        <w:tabs>
          <w:tab w:leader="none" w:pos="760" w:val="left"/>
        </w:tabs>
        <w:numPr>
          <w:ilvl w:val="0"/>
          <w:numId w:val="4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basic per share figures noted above are based on weighted averages of 40,774,154 and 33,160,481 shares outstanding for the three months ended September 30, 2022 and 2021, respectively.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Our investment objective is to maximize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strategy also typically includes the receipt of warrants and/or other equity from venture-backed companies. We expect our investments in loans will generally range from between $5.0 million to $85.0 million, and the upper end of this range may increase as we raise additional capital.</w:t>
      </w:r>
    </w:p>
    <w:p>
      <w:pPr>
        <w:spacing w:after="0" w:line="19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record prepayment premiums on loans and debt securities as interest income. Dividend income, if any, will be recognized on an accrual basis to the extent that we expect to collect such amounts.</w:t>
      </w:r>
    </w:p>
    <w:p>
      <w:pPr>
        <w:spacing w:after="0" w:line="18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Non-recurring income included in investment income are unamortized original issue discounts recorded as interest income. Other non-recurring income consisting of early prepayment fees, amendment fees, legal fees, and reimbursable income are recorded as fee income when earned. Any other fee income for services rendered, if any, are recorded as other income when earned.</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Investment income for the three months ended September 30, 2022 and 2021 was $27,328,704 and $18,610,066, respectively, and includes non-recurring income of $709,345 and $3,403,585, respectively. The increase in investment income for the three months ended September 30, 2022 compared to the three months ended September 30, 2021 was primarily due to interest income and driven by our deployment of capital, increased invested balance, and increased market interest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50" w:lineRule="exact"/>
        <w:rPr>
          <w:sz w:val="20"/>
          <w:szCs w:val="20"/>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pro-rata portion of fees and expenses related an initial public offering of the Public Fund in connection with a Spin-Off transaction;</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related to public and private offerings, sales and repurchases of our securities;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our net asset value (including the cost and expenses of any independent valuation firm);</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4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on debt incurred to finance our investments;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and purchases of our common stock and other securities;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advisory and management fees;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the Administration Agreement;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registration fees;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registration and listing our securities on any securities exchange;</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state and local taxes;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fees and expenses;</w:t>
      </w:r>
    </w:p>
    <w:p>
      <w:pPr>
        <w:spacing w:after="0" w:line="17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and filing reports or other documents required by the SEC, the Financial Industry Regulatory Authority or other regulators;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any reports, proxy statements or other notices to stockholders, including printing costs;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allocable portion of any fidelity bond, directors’ and officers’ errors and omissions liability insurance, and any other insurance premiums;</w:t>
      </w:r>
    </w:p>
    <w:p>
      <w:pPr>
        <w:spacing w:after="0" w:line="171"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printing, mailing, long distance telephone, copying, secretarial and other staff, independent auditors and outside legal costs; and</w:t>
      </w:r>
    </w:p>
    <w:p>
      <w:pPr>
        <w:spacing w:after="0" w:line="135"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77"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Operating expenses for the three months ended September 30, 2022 and 2021 were $12,831,755 and $7,868,942, respectively. Operating expenses increased for the three months ended September 30, 2022 from the three months ended September 30, 2021 primarily due to an increase in incentive fees, management fees, debt financing fees, and interest expense. Operating expenses per share for the three months ended September 30, 2022 and 2021 were $0.31 per share and $0.24 per share,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Incentive fees for the three months ended September 30, 2022 and 2021 were $3,625,686 and $2,686,475, respectively. Incentive fees increased for the three months ended September 30, 2022 from the three months ended September 30, 2021 primarily due to an increase in net investment income. $3,208,431 of the incentive fees for the three months ended September 30, 2022 were earned, payable in cash, and included under Accrued incentive fees on the Statement of Assets and Liabilities as of September 30, 2022. $417,255 of the incentive fees for the three months ended September 30, 2022 were deferred and accrued, and included in Accrued incentive fees on the Statement of Assets and Liabilities as of September 30, 2022. $2,171,245 of the incentive fees for the three months ended September 30, 2021 were earned, payable in cash, and included under Accrued incentive fees on the Statement of Assets and Liabilities as of September 30, 2021. $515,230 of the incentive fees for the three months ended September 30, 2021 were deferred and accrued, and included under Accrued incentive fees on the Statement of Assets and Liabilities as of September 30, 2021. Incentive fees related to PIK or deferred interest are accrued and payment is deferred until such interest is collected in cash. Incentive fees per share for the three months ended September 30, 2022 and 2021 were $0.09 and $0.08 per share,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Net investment income for the three months ended September 30, 2022 and 2021 was $14,496,949 and $10,741,124, respectively. Net investment income increased for the three months ended September 30, 2022 from the three months ended September 30, 2021, primarily due to an increase in net investment income arising increased interest rates. Net investment income per share for the three months ended September 30, 2022 and 2021 was $0.36 per share and $0.32 per share,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 (Loss) on Investments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net realized gain on investments of $406,917 for the three months ended September 30, 2022 was primarily due to the gain on a portion of our investment in the common stock of Brilliant Earth Group, Inc and partially offset by a loss of our investment in the warrants in Aspen Group Inc. The net realized gain on investments of $718,310 for the three months ended September 30, 2021 was primarily due to the gain on a portion of our investment in the common stock of Porch Group, Inc. and Ouster, Inc. and warrants of Brilliant Earth LLC.</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 (Depreciation) on Investments</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Net change in unrealized depreciation on investments of $3,182,093 for the three months ended September 30, 2022 was primarily due to decreases in the fair value of our senior secured loan to Pivot3 Holdings, Inc. The net change in unrealized depreciation on investments of $1,228,382 for the three months ended September 30, 2021 was primarily due to decreases in the fair value of our investment in the common stock of Ouster, Inc. and warrants in CareCloud, Inc. and Circadence Coporation and partially offset by an increase in the fair value of our senior secured loan in Mojix,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Increase (Decrease) in Net Assets Resulting from Operations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We had a net increase in net assets resulting from operations of $11,721,773 for the three months ended September 30, 2022, as compared to a net increase in net assets resulting from operations of $10,231,052 for the three months ended September 30, 2021. The net increase in net assets resulting from operations for the three months ended September 30, 2022 from the three months ended September 30, 2021 was primarily due to decreases in unrealized depreciation in our portfolio and an increase in operating expenses for the three months ended September 30,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2022 and 2021</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20" w:type="dxa"/>
            <w:vAlign w:val="bottom"/>
            <w:gridSpan w:val="6"/>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5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5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920" w:type="dxa"/>
            <w:vAlign w:val="bottom"/>
          </w:tcPr>
          <w:p>
            <w:pPr>
              <w:jc w:val="right"/>
              <w:ind w:right="108"/>
              <w:spacing w:after="0" w:line="196" w:lineRule="exact"/>
              <w:rPr>
                <w:sz w:val="20"/>
                <w:szCs w:val="20"/>
                <w:color w:val="auto"/>
              </w:rPr>
            </w:pPr>
            <w:r>
              <w:rPr>
                <w:rFonts w:ascii="Times New Roman" w:cs="Times New Roman" w:eastAsia="Times New Roman" w:hAnsi="Times New Roman"/>
                <w:sz w:val="14"/>
                <w:szCs w:val="14"/>
                <w:b w:val="1"/>
                <w:bCs w:val="1"/>
                <w:color w:val="auto"/>
                <w:w w:val="96"/>
              </w:rPr>
              <w:t>Per Share</w:t>
            </w:r>
            <w:r>
              <w:rPr>
                <w:rFonts w:ascii="Times New Roman" w:cs="Times New Roman" w:eastAsia="Times New Roman" w:hAnsi="Times New Roman"/>
                <w:sz w:val="19"/>
                <w:szCs w:val="19"/>
                <w:b w:val="1"/>
                <w:bCs w:val="1"/>
                <w:color w:val="auto"/>
                <w:w w:val="96"/>
                <w:vertAlign w:val="superscript"/>
              </w:rPr>
              <w:t>(1)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7"/>
                <w:szCs w:val="17"/>
                <w:color w:val="auto"/>
              </w:rPr>
            </w:pPr>
          </w:p>
        </w:tc>
        <w:tc>
          <w:tcPr>
            <w:tcW w:w="940" w:type="dxa"/>
            <w:vAlign w:val="bottom"/>
          </w:tcPr>
          <w:p>
            <w:pPr>
              <w:jc w:val="right"/>
              <w:ind w:right="108"/>
              <w:spacing w:after="0" w:line="196" w:lineRule="exact"/>
              <w:rPr>
                <w:sz w:val="20"/>
                <w:szCs w:val="20"/>
                <w:color w:val="auto"/>
              </w:rPr>
            </w:pPr>
            <w:r>
              <w:rPr>
                <w:rFonts w:ascii="Times New Roman" w:cs="Times New Roman" w:eastAsia="Times New Roman" w:hAnsi="Times New Roman"/>
                <w:sz w:val="14"/>
                <w:szCs w:val="14"/>
                <w:b w:val="1"/>
                <w:bCs w:val="1"/>
                <w:color w:val="auto"/>
                <w:w w:val="99"/>
              </w:rPr>
              <w:t>Per Share</w:t>
            </w:r>
            <w:r>
              <w:rPr>
                <w:rFonts w:ascii="Times New Roman" w:cs="Times New Roman" w:eastAsia="Times New Roman" w:hAnsi="Times New Roman"/>
                <w:sz w:val="19"/>
                <w:szCs w:val="19"/>
                <w:b w:val="1"/>
                <w:bCs w:val="1"/>
                <w:color w:val="auto"/>
                <w:w w:val="99"/>
                <w:vertAlign w:val="superscript"/>
              </w:rPr>
              <w:t>(1)</w:t>
            </w:r>
          </w:p>
        </w:tc>
        <w:tc>
          <w:tcPr>
            <w:tcW w:w="100" w:type="dxa"/>
            <w:vAlign w:val="bottom"/>
          </w:tcPr>
          <w:p>
            <w:pPr>
              <w:spacing w:after="0"/>
              <w:rPr>
                <w:sz w:val="17"/>
                <w:szCs w:val="17"/>
                <w:color w:val="auto"/>
              </w:rPr>
            </w:pPr>
          </w:p>
        </w:tc>
      </w:tr>
      <w:tr>
        <w:trPr>
          <w:trHeight w:val="16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 income</w:t>
            </w:r>
          </w:p>
        </w:tc>
        <w:tc>
          <w:tcPr>
            <w:tcW w:w="34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5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and dividend income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70,216,822</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51,114,763</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5"/>
                <w:szCs w:val="15"/>
                <w:color w:val="auto"/>
              </w:rPr>
            </w:pPr>
          </w:p>
        </w:tc>
      </w:tr>
      <w:tr>
        <w:trPr>
          <w:trHeight w:val="175"/>
        </w:trPr>
        <w:tc>
          <w:tcPr>
            <w:tcW w:w="52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Other income</w:t>
            </w:r>
          </w:p>
        </w:tc>
        <w:tc>
          <w:tcPr>
            <w:tcW w:w="3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1,528,871</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2,663,677</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investment income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71,745,693</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53,778,440</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tcPr>
          <w:p>
            <w:pPr>
              <w:spacing w:after="0"/>
              <w:rPr>
                <w:sz w:val="14"/>
                <w:szCs w:val="14"/>
                <w:color w:val="auto"/>
              </w:rPr>
            </w:pPr>
          </w:p>
        </w:tc>
      </w:tr>
      <w:tr>
        <w:trPr>
          <w:trHeight w:val="16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Management fees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8,487,820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6,647,207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00" w:type="dxa"/>
            <w:vAlign w:val="bottom"/>
          </w:tcPr>
          <w:p>
            <w:pPr>
              <w:spacing w:after="0"/>
              <w:rPr>
                <w:sz w:val="15"/>
                <w:szCs w:val="15"/>
                <w:color w:val="auto"/>
              </w:rPr>
            </w:pPr>
          </w:p>
        </w:tc>
      </w:tr>
      <w:tr>
        <w:trPr>
          <w:trHeight w:val="176"/>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Incentive fees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8,590,821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6,498,482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0.20</w:t>
            </w:r>
          </w:p>
        </w:tc>
        <w:tc>
          <w:tcPr>
            <w:tcW w:w="100" w:type="dxa"/>
            <w:vAlign w:val="bottom"/>
            <w:shd w:val="clear" w:color="auto" w:fill="CFF0FC"/>
          </w:tcPr>
          <w:p>
            <w:pPr>
              <w:spacing w:after="0"/>
              <w:rPr>
                <w:sz w:val="15"/>
                <w:szCs w:val="15"/>
                <w:color w:val="auto"/>
              </w:rPr>
            </w:pPr>
          </w:p>
        </w:tc>
      </w:tr>
      <w:tr>
        <w:trPr>
          <w:trHeight w:val="175"/>
        </w:trPr>
        <w:tc>
          <w:tcPr>
            <w:tcW w:w="5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expense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6,070,906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2,302,582</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tcPr>
          <w:p>
            <w:pPr>
              <w:spacing w:after="0"/>
              <w:rPr>
                <w:sz w:val="15"/>
                <w:szCs w:val="15"/>
                <w:color w:val="auto"/>
              </w:rPr>
            </w:pPr>
          </w:p>
        </w:tc>
      </w:tr>
      <w:tr>
        <w:trPr>
          <w:trHeight w:val="176"/>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Professional fees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1,968,036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1,433,360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FF0FC"/>
          </w:tcPr>
          <w:p>
            <w:pPr>
              <w:spacing w:after="0"/>
              <w:rPr>
                <w:sz w:val="15"/>
                <w:szCs w:val="15"/>
                <w:color w:val="auto"/>
              </w:rPr>
            </w:pPr>
          </w:p>
        </w:tc>
      </w:tr>
      <w:tr>
        <w:trPr>
          <w:trHeight w:val="176"/>
        </w:trPr>
        <w:tc>
          <w:tcPr>
            <w:tcW w:w="5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Overhead allocation expense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713,457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655,260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5"/>
                <w:szCs w:val="15"/>
                <w:color w:val="auto"/>
              </w:rPr>
            </w:pPr>
          </w:p>
        </w:tc>
      </w:tr>
      <w:tr>
        <w:trPr>
          <w:trHeight w:val="175"/>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Insurance expense</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806,042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69,638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6"/>
        </w:trPr>
        <w:tc>
          <w:tcPr>
            <w:tcW w:w="5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Administration fee</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497,896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420,360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r>
      <w:tr>
        <w:trPr>
          <w:trHeight w:val="175"/>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Debt financing fees</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2,226,658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1,447,288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FF0FC"/>
          </w:tcPr>
          <w:p>
            <w:pPr>
              <w:spacing w:after="0"/>
              <w:rPr>
                <w:sz w:val="15"/>
                <w:szCs w:val="15"/>
                <w:color w:val="auto"/>
              </w:rPr>
            </w:pPr>
          </w:p>
        </w:tc>
      </w:tr>
      <w:tr>
        <w:trPr>
          <w:trHeight w:val="175"/>
        </w:trPr>
        <w:tc>
          <w:tcPr>
            <w:tcW w:w="5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Directors' fees</w:t>
            </w:r>
          </w:p>
        </w:tc>
        <w:tc>
          <w:tcPr>
            <w:tcW w:w="3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261,727</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201,750</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Pr>
          <w:p>
            <w:pPr>
              <w:spacing w:after="0"/>
              <w:rPr>
                <w:sz w:val="15"/>
                <w:szCs w:val="15"/>
                <w:color w:val="auto"/>
              </w:rPr>
            </w:pPr>
          </w:p>
        </w:tc>
      </w:tr>
      <w:tr>
        <w:trPr>
          <w:trHeight w:val="175"/>
        </w:trPr>
        <w:tc>
          <w:tcPr>
            <w:tcW w:w="5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Tax expense</w:t>
            </w:r>
          </w:p>
        </w:tc>
        <w:tc>
          <w:tcPr>
            <w:tcW w:w="3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52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expenses</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685,841</w:t>
            </w:r>
          </w:p>
        </w:tc>
        <w:tc>
          <w:tcPr>
            <w:tcW w:w="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539,142</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00" w:type="dxa"/>
            <w:vAlign w:val="bottom"/>
          </w:tcPr>
          <w:p>
            <w:pPr>
              <w:spacing w:after="0"/>
              <w:rPr>
                <w:sz w:val="15"/>
                <w:szCs w:val="15"/>
                <w:color w:val="auto"/>
              </w:rPr>
            </w:pPr>
          </w:p>
        </w:tc>
      </w:tr>
      <w:tr>
        <w:trPr>
          <w:trHeight w:val="169"/>
        </w:trPr>
        <w:tc>
          <w:tcPr>
            <w:tcW w:w="5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3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30,310,277</w:t>
            </w:r>
          </w:p>
        </w:tc>
        <w:tc>
          <w:tcPr>
            <w:tcW w:w="2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0.74</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20,215,110</w:t>
            </w:r>
          </w:p>
        </w:tc>
        <w:tc>
          <w:tcPr>
            <w:tcW w:w="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41,435,416</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33,563,330</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4"/>
                <w:szCs w:val="14"/>
                <w:color w:val="auto"/>
              </w:rPr>
            </w:pPr>
          </w:p>
        </w:tc>
      </w:tr>
      <w:tr>
        <w:trPr>
          <w:trHeight w:val="169"/>
        </w:trPr>
        <w:tc>
          <w:tcPr>
            <w:tcW w:w="5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gain (loss) on investments</w:t>
            </w:r>
          </w:p>
        </w:tc>
        <w:tc>
          <w:tcPr>
            <w:tcW w:w="34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939,377</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(4,076,766</w:t>
            </w:r>
          </w:p>
        </w:tc>
        <w:tc>
          <w:tcPr>
            <w:tcW w:w="260" w:type="dxa"/>
            <w:vAlign w:val="bottom"/>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4"/>
              </w:rPr>
              <w:t>)</w:t>
            </w:r>
          </w:p>
        </w:tc>
      </w:tr>
      <w:tr>
        <w:trPr>
          <w:trHeight w:val="175"/>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unrealized appreciation (depreciation) on investments</w:t>
            </w:r>
          </w:p>
        </w:tc>
        <w:tc>
          <w:tcPr>
            <w:tcW w:w="340" w:type="dxa"/>
            <w:vAlign w:val="bottom"/>
          </w:tcPr>
          <w:p>
            <w:pPr>
              <w:spacing w:after="0"/>
              <w:rPr>
                <w:sz w:val="15"/>
                <w:szCs w:val="15"/>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(28,617,263 )</w:t>
            </w:r>
          </w:p>
        </w:tc>
        <w:tc>
          <w:tcPr>
            <w:tcW w:w="140" w:type="dxa"/>
            <w:vAlign w:val="bottom"/>
          </w:tcPr>
          <w:p>
            <w:pPr>
              <w:spacing w:after="0"/>
              <w:rPr>
                <w:sz w:val="15"/>
                <w:szCs w:val="15"/>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(0.70 )</w:t>
            </w:r>
          </w:p>
        </w:tc>
        <w:tc>
          <w:tcPr>
            <w:tcW w:w="120" w:type="dxa"/>
            <w:vAlign w:val="bottom"/>
          </w:tcPr>
          <w:p>
            <w:pPr>
              <w:spacing w:after="0"/>
              <w:rPr>
                <w:sz w:val="15"/>
                <w:szCs w:val="15"/>
                <w:color w:val="auto"/>
              </w:rPr>
            </w:pPr>
          </w:p>
        </w:tc>
        <w:tc>
          <w:tcPr>
            <w:tcW w:w="15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(3,172,841 )</w:t>
            </w:r>
          </w:p>
        </w:tc>
        <w:tc>
          <w:tcPr>
            <w:tcW w:w="14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(0.10 )</w:t>
            </w:r>
          </w:p>
        </w:tc>
      </w:tr>
      <w:tr>
        <w:trPr>
          <w:trHeight w:val="209"/>
        </w:trPr>
        <w:tc>
          <w:tcPr>
            <w:tcW w:w="52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increase (decrease) in net assets resulting from operations</w:t>
            </w: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13,757,530</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0.33</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26,313,723</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0.81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-2082165</wp:posOffset>
            </wp:positionV>
            <wp:extent cx="76835" cy="12890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-2082165</wp:posOffset>
            </wp:positionV>
            <wp:extent cx="77470" cy="12890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-2082165</wp:posOffset>
            </wp:positionV>
            <wp:extent cx="68580" cy="12890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12890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-496570</wp:posOffset>
            </wp:positionV>
            <wp:extent cx="76835" cy="12890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-496570</wp:posOffset>
            </wp:positionV>
            <wp:extent cx="77470" cy="12890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-496570</wp:posOffset>
            </wp:positionV>
            <wp:extent cx="68580" cy="12890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12890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7683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7683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7747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-8255</wp:posOffset>
            </wp:positionV>
            <wp:extent cx="7747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68" w:lineRule="exact"/>
        <w:rPr>
          <w:sz w:val="20"/>
          <w:szCs w:val="20"/>
          <w:color w:val="auto"/>
        </w:rPr>
      </w:pPr>
    </w:p>
    <w:p>
      <w:pPr>
        <w:ind w:left="760" w:right="20" w:hanging="374"/>
        <w:spacing w:after="0" w:line="192" w:lineRule="auto"/>
        <w:tabs>
          <w:tab w:leader="none" w:pos="760" w:val="left"/>
        </w:tabs>
        <w:numPr>
          <w:ilvl w:val="0"/>
          <w:numId w:val="4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The basic per share figures noted above are based on weighted averages of 41,119,467 and 32,360,107 shares outstanding for the nine months ended September 30, 2022 and 2021, respectively.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Investment income for the nine months ended September 30, 2022 and 2021 was $71,745,693 and $53,778,440, respectively, and includes non-recurring income of $3,357,795 and $6,972,631, respectively. The increase in investment income for the nine months ended September 30, 2022 compared to the nine months ended September 30, 2021 was primarily due to interest income and driven by our deployment of capital, increased invested balance, prepayments, end-of-term payments, and increased market interest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Operating expenses for the nine months ended September 30, 2022 and 2021 were $30,310,277 and $20,215,110 respectively. Operating expenses increased for the nine months ended September 30, 2022 from the nine months ended September 30, 2021 primarily due to an increase in incentive fees, management fees, debt financing fees, and interest expense. Operating expenses per share for the nine months ended September 30, 2022 and 2021 were $0.74 per share and $0.62 per share, respectively.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Fees</w:t>
      </w:r>
    </w:p>
    <w:p>
      <w:pPr>
        <w:spacing w:after="0" w:line="22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Incentive fees for the nine months ended September 30, 2022 and 2021 were $8,590,821 and $6,498,482, respectively. Incentive fees increased for the nine months ended September 30, 2022 from the nine months ended September 30, 2021 primarily due to an increase in net investment income arising from increased market interest rates and from the income acceleration from the loan repayment in Mojix, Inc. $7,293,008 of the incentive fees for the nine months ended September 30, 2022 were earned, payable in cash, and included under Accrued incentive fees on the Statement of Assets and Liabilities as of September 30, 2022. $1,297,812 of the incentive fees for the nine months ended September 30, 2022 were deferred and accrued, and included in Accrued incentive fees on the Statement of Assets and Liabilities as of September 30, 2022. $5,140,115 of the incentive fees for the nine months ended September 30, 2021 were earned, payable in cash, and included under Accrued incentive fees on the Statement of Assets and Liabilities as of September 30, 2021. $1,358,367 of the incentive fees for the nine months ended September 30, 2021 were deferred and accrued, and included under Accrued incentive fees on the Statement of Assets and Liabilities as of September 30, 2021. Incentive fees related to PIK or deferred interest are accrued and payment is deferred until such interest is collected in cash. Incentive fees per share for the nine months ended September 30, 2022 and 2021 were $0.21and $0.20 per share,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Net investment income for the nine months ended September 30, 2022 and 2021 was $41,435,416 and $33,563,330, respectively. Net investment income increased for the nine months ended September 30, 2022 from the nine months ended September 30, 2021, primarily due to an increase in interest income resulting from an increase in the size of the investment portfolio and increased market interest rates and from the income acceleration from the loan repayment in Mojix, Inc. Net investment income per share for the nine months ended September 30, 2022 and 2021 was $1.01 per share and $1.04 per share,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 (Loss) on Investments</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The net realized gain on investments of $939,377 for the nine months ended September 30, 2022 was primarily due to the gain on a portion of our investment in the common stock of Brilliant Earth Group, Inc. partially offset by the loss on our investments in the preferred stock and warrants in CareCloud, Inc and Aspen Group Inc. The net realized loss on investments of $4,076,766 for the nine months ended September 30, 2021 was primarily due to the loss on a portion of our investment in the preferred stock of CareCloud, Inc.</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Change in Unrealized Appreciation (Depreciation) on Investments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Net change in unrealized depreciation on investments of $28,617,263 for the nine months ended September 30, 2022 was primarily due to decreases in the fair value of our senior secured loan to Pivot3 Holdings, Inc., common stock of Brilliant Earth Group, Inc., and common stock of Coginiti Corp. The net change in unrealized depreciation on investments of $3,172,841 for the nine months ended September 30, 2021 was primarily due to decreases in the fair value of our senior secured loans to Pivot3 Holdings, Inc. and our investment in the preferred stock of Pivot3 Holdings, Inc. This was partially offset by an increase in the fair value of our investment in the common stock of Ouster, Inc. and Brilliant Earth LLC.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Increase (Decrease) in Net Assets Resulting from Operations</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We had a net increase in net assets resulting from operations of $13,757,530 for the nine months ended September 30, 2022, as compared to a net increase in net assets resulting from operations of $26,313,723 for the nine months ended September 30, 2021. The net decrease in net assets resulting from operations for the nine months ended September 30, 2022 from the nine months ended September 30, 2021 was primarily due to an increase in unrealized depreciation in our portfolio and an increase in operating expenses for the nine months ended September 30,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18"/>
          <w:szCs w:val="18"/>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Facility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cash and cash equivalents increased to $5,774,074 from $4,696,693 as of December 31, 2021. This increase was primarily the result of the purchase of investments in portfolio companies and was partially offset by the repayment of investments, proceeds from our 2027 Notes, and net borrowings under the Credit Facility.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Activity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the authority to issue 100,000,000 shares of common stock, $0.01 par value per share.</w:t>
      </w:r>
    </w:p>
    <w:p>
      <w:pPr>
        <w:spacing w:after="0" w:line="21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the Second Private Offering, pursuant to the dividend reinvestment plan or the IPO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Gross Proceeds</w:t>
            </w:r>
          </w:p>
        </w:tc>
        <w:tc>
          <w:tcPr>
            <w:tcW w:w="100" w:type="dxa"/>
            <w:vAlign w:val="bottom"/>
          </w:tcPr>
          <w:p>
            <w:pPr>
              <w:spacing w:after="0"/>
              <w:rPr>
                <w:sz w:val="16"/>
                <w:szCs w:val="16"/>
                <w:color w:val="auto"/>
              </w:rPr>
            </w:pPr>
          </w:p>
        </w:tc>
      </w:tr>
      <w:tr>
        <w:trPr>
          <w:trHeight w:val="169"/>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8, 2015</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4"/>
                <w:szCs w:val="14"/>
                <w:color w:val="auto"/>
              </w:rPr>
            </w:pPr>
          </w:p>
        </w:tc>
        <w:tc>
          <w:tcPr>
            <w:tcW w:w="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100" w:type="dxa"/>
            <w:vAlign w:val="bottom"/>
            <w:shd w:val="clear" w:color="auto" w:fill="CFF0FC"/>
          </w:tcPr>
          <w:p>
            <w:pPr>
              <w:spacing w:after="0"/>
              <w:rPr>
                <w:sz w:val="14"/>
                <w:szCs w:val="14"/>
                <w:color w:val="auto"/>
              </w:rPr>
            </w:pPr>
          </w:p>
        </w:tc>
      </w:t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22, 2016</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333,333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tcPr>
          <w:p>
            <w:pPr>
              <w:spacing w:after="0"/>
              <w:rPr>
                <w:sz w:val="15"/>
                <w:szCs w:val="15"/>
                <w:color w:val="auto"/>
              </w:rPr>
            </w:pPr>
          </w:p>
        </w:tc>
      </w:tr>
      <w:tr>
        <w:trPr>
          <w:trHeight w:val="17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April 19, 2017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26, 2017</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1,666,667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tcPr>
          <w:p>
            <w:pPr>
              <w:spacing w:after="0"/>
              <w:rPr>
                <w:sz w:val="15"/>
                <w:szCs w:val="15"/>
                <w:color w:val="auto"/>
              </w:rPr>
            </w:pPr>
          </w:p>
        </w:tc>
      </w:tr>
      <w:tr>
        <w:trPr>
          <w:trHeight w:val="17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12, 2017</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2,666,667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40,000,000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22, 2017</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45,000,000</w:t>
            </w:r>
          </w:p>
        </w:tc>
        <w:tc>
          <w:tcPr>
            <w:tcW w:w="100" w:type="dxa"/>
            <w:vAlign w:val="bottom"/>
          </w:tcPr>
          <w:p>
            <w:pPr>
              <w:spacing w:after="0"/>
              <w:rPr>
                <w:sz w:val="15"/>
                <w:szCs w:val="15"/>
                <w:color w:val="auto"/>
              </w:rPr>
            </w:pPr>
          </w:p>
        </w:tc>
      </w:tr>
      <w:tr>
        <w:trPr>
          <w:trHeight w:val="175"/>
        </w:trPr>
        <w:tc>
          <w:tcPr>
            <w:tcW w:w="67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31, 2018</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70,563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1,045,570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31, 2018</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117,582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1,754,244</w:t>
            </w:r>
          </w:p>
        </w:tc>
        <w:tc>
          <w:tcPr>
            <w:tcW w:w="100" w:type="dxa"/>
            <w:vAlign w:val="bottom"/>
          </w:tcPr>
          <w:p>
            <w:pPr>
              <w:spacing w:after="0"/>
              <w:rPr>
                <w:sz w:val="15"/>
                <w:szCs w:val="15"/>
                <w:color w:val="auto"/>
              </w:rPr>
            </w:pPr>
          </w:p>
        </w:tc>
      </w:tr>
      <w:tr>
        <w:trPr>
          <w:trHeight w:val="176"/>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27, 2018</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1,997,337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November 15, 2018</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202,779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3,055,498</w:t>
            </w:r>
          </w:p>
        </w:tc>
        <w:tc>
          <w:tcPr>
            <w:tcW w:w="100" w:type="dxa"/>
            <w:vAlign w:val="bottom"/>
          </w:tcPr>
          <w:p>
            <w:pPr>
              <w:spacing w:after="0"/>
              <w:rPr>
                <w:sz w:val="15"/>
                <w:szCs w:val="15"/>
                <w:color w:val="auto"/>
              </w:rPr>
            </w:pPr>
          </w:p>
        </w:tc>
      </w:tr>
      <w:tr>
        <w:trPr>
          <w:trHeight w:val="176"/>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January 14, 2019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4,344,964</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15.19</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66,000,000</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March 26,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326,431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4,942,168</w:t>
            </w:r>
          </w:p>
        </w:tc>
        <w:tc>
          <w:tcPr>
            <w:tcW w:w="100" w:type="dxa"/>
            <w:vAlign w:val="bottom"/>
          </w:tcPr>
          <w:p>
            <w:pPr>
              <w:spacing w:after="0"/>
              <w:rPr>
                <w:sz w:val="15"/>
                <w:szCs w:val="15"/>
                <w:color w:val="auto"/>
              </w:rPr>
            </w:pPr>
          </w:p>
        </w:tc>
      </w:tr>
      <w:tr>
        <w:trPr>
          <w:trHeight w:val="176"/>
        </w:trPr>
        <w:tc>
          <w:tcPr>
            <w:tcW w:w="67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21, 2019</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374,783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5,670,467</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24, 2019</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3,232,189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49,000,000</w:t>
            </w:r>
          </w:p>
        </w:tc>
        <w:tc>
          <w:tcPr>
            <w:tcW w:w="100" w:type="dxa"/>
            <w:vAlign w:val="bottom"/>
          </w:tcPr>
          <w:p>
            <w:pPr>
              <w:spacing w:after="0"/>
              <w:rPr>
                <w:sz w:val="15"/>
                <w:szCs w:val="15"/>
                <w:color w:val="auto"/>
              </w:rPr>
            </w:pPr>
          </w:p>
        </w:tc>
      </w:tr>
      <w:tr>
        <w:trPr>
          <w:trHeight w:val="175"/>
        </w:trPr>
        <w:tc>
          <w:tcPr>
            <w:tcW w:w="67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July 16, 2019</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464,986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15.13</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7,035,236</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26,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480,121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7,088,143</w:t>
            </w:r>
          </w:p>
        </w:tc>
        <w:tc>
          <w:tcPr>
            <w:tcW w:w="100" w:type="dxa"/>
            <w:vAlign w:val="bottom"/>
          </w:tcPr>
          <w:p>
            <w:pPr>
              <w:spacing w:after="0"/>
              <w:rPr>
                <w:sz w:val="15"/>
                <w:szCs w:val="15"/>
                <w:color w:val="auto"/>
              </w:rPr>
            </w:pPr>
          </w:p>
        </w:tc>
      </w:tr>
      <w:tr>
        <w:trPr>
          <w:trHeight w:val="17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15, 2019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1,666,667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November 12,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649,123</w:t>
            </w:r>
          </w:p>
        </w:tc>
        <w:tc>
          <w:tcPr>
            <w:tcW w:w="100" w:type="dxa"/>
            <w:vAlign w:val="bottom"/>
          </w:tcPr>
          <w:p>
            <w:pPr>
              <w:spacing w:after="0"/>
              <w:rPr>
                <w:sz w:val="15"/>
                <w:szCs w:val="15"/>
                <w:color w:val="auto"/>
              </w:rPr>
            </w:pPr>
          </w:p>
        </w:tc>
      </w:tr>
      <w:tr>
        <w:trPr>
          <w:trHeight w:val="17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December 20, 2019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3,333,333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100" w:type="dxa"/>
            <w:vAlign w:val="bottom"/>
            <w:shd w:val="clear" w:color="auto" w:fill="CFF0FC"/>
          </w:tcPr>
          <w:p>
            <w:pPr>
              <w:spacing w:after="0"/>
              <w:rPr>
                <w:sz w:val="15"/>
                <w:szCs w:val="15"/>
                <w:color w:val="auto"/>
              </w:rPr>
            </w:pPr>
          </w:p>
        </w:tc>
      </w:tr>
      <w:tr>
        <w:trPr>
          <w:trHeight w:val="176"/>
        </w:trPr>
        <w:tc>
          <w:tcPr>
            <w:tcW w:w="6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December 23, 2019</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487,166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7,073,650</w:t>
            </w:r>
          </w:p>
        </w:tc>
        <w:tc>
          <w:tcPr>
            <w:tcW w:w="100" w:type="dxa"/>
            <w:vAlign w:val="bottom"/>
          </w:tcPr>
          <w:p>
            <w:pPr>
              <w:spacing w:after="0"/>
              <w:rPr>
                <w:sz w:val="15"/>
                <w:szCs w:val="15"/>
                <w:color w:val="auto"/>
              </w:rPr>
            </w:pPr>
          </w:p>
        </w:tc>
      </w:tr>
      <w:tr>
        <w:trPr>
          <w:trHeight w:val="175"/>
        </w:trPr>
        <w:tc>
          <w:tcPr>
            <w:tcW w:w="67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March 20, 2020</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575,132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8,385,423</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31, 2020</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21,021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315,308</w:t>
            </w:r>
          </w:p>
        </w:tc>
        <w:tc>
          <w:tcPr>
            <w:tcW w:w="100" w:type="dxa"/>
            <w:vAlign w:val="bottom"/>
          </w:tcPr>
          <w:p>
            <w:pPr>
              <w:spacing w:after="0"/>
              <w:rPr>
                <w:sz w:val="15"/>
                <w:szCs w:val="15"/>
                <w:color w:val="auto"/>
              </w:rPr>
            </w:pPr>
          </w:p>
        </w:tc>
      </w:tr>
      <w:tr>
        <w:trPr>
          <w:trHeight w:val="176"/>
        </w:trPr>
        <w:tc>
          <w:tcPr>
            <w:tcW w:w="67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20, 2020</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529,020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14.25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7,538,541</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6, 2020</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550,639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7,934,712</w:t>
            </w:r>
          </w:p>
        </w:tc>
        <w:tc>
          <w:tcPr>
            <w:tcW w:w="100" w:type="dxa"/>
            <w:vAlign w:val="bottom"/>
          </w:tcPr>
          <w:p>
            <w:pPr>
              <w:spacing w:after="0"/>
              <w:rPr>
                <w:sz w:val="15"/>
                <w:szCs w:val="15"/>
                <w:color w:val="auto"/>
              </w:rPr>
            </w:pPr>
          </w:p>
        </w:tc>
      </w:tr>
      <w:tr>
        <w:trPr>
          <w:trHeight w:val="17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October 15, 2020</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3,333,333</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50,000,000</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November 12, 2020</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593,692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8,584,772</w:t>
            </w:r>
          </w:p>
        </w:tc>
        <w:tc>
          <w:tcPr>
            <w:tcW w:w="100" w:type="dxa"/>
            <w:vAlign w:val="bottom"/>
          </w:tcPr>
          <w:p>
            <w:pPr>
              <w:spacing w:after="0"/>
              <w:rPr>
                <w:sz w:val="15"/>
                <w:szCs w:val="15"/>
                <w:color w:val="auto"/>
              </w:rPr>
            </w:pPr>
          </w:p>
        </w:tc>
      </w:tr>
      <w:tr>
        <w:trPr>
          <w:trHeight w:val="175"/>
        </w:trPr>
        <w:tc>
          <w:tcPr>
            <w:tcW w:w="67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March 19, 2021</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618,815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9,183,220</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March 24, 2021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20,461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306,911</w:t>
            </w:r>
          </w:p>
        </w:tc>
        <w:tc>
          <w:tcPr>
            <w:tcW w:w="100" w:type="dxa"/>
            <w:vAlign w:val="bottom"/>
          </w:tcPr>
          <w:p>
            <w:pPr>
              <w:spacing w:after="0"/>
              <w:rPr>
                <w:sz w:val="15"/>
                <w:szCs w:val="15"/>
                <w:color w:val="auto"/>
              </w:rPr>
            </w:pPr>
          </w:p>
        </w:tc>
      </w:tr>
      <w:tr>
        <w:trPr>
          <w:trHeight w:val="176"/>
        </w:trPr>
        <w:tc>
          <w:tcPr>
            <w:tcW w:w="672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May 13, 2021</w:t>
            </w:r>
            <w:r>
              <w:rPr>
                <w:rFonts w:ascii="Times New Roman" w:cs="Times New Roman" w:eastAsia="Times New Roman" w:hAnsi="Times New Roman"/>
                <w:sz w:val="19"/>
                <w:szCs w:val="19"/>
                <w:color w:val="auto"/>
                <w:vertAlign w:val="superscript"/>
              </w:rPr>
              <w:t>(1)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637,127</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9,410,371</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August 12, 2021</w:t>
            </w:r>
            <w:r>
              <w:rPr>
                <w:rFonts w:ascii="Times New Roman" w:cs="Times New Roman" w:eastAsia="Times New Roman" w:hAnsi="Times New Roman"/>
                <w:sz w:val="19"/>
                <w:szCs w:val="19"/>
                <w:color w:val="auto"/>
                <w:vertAlign w:val="superscript"/>
              </w:rPr>
              <w:t>(1)</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575,032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8,401,215</w:t>
            </w:r>
          </w:p>
        </w:tc>
        <w:tc>
          <w:tcPr>
            <w:tcW w:w="100" w:type="dxa"/>
            <w:vAlign w:val="bottom"/>
          </w:tcPr>
          <w:p>
            <w:pPr>
              <w:spacing w:after="0"/>
              <w:rPr>
                <w:sz w:val="15"/>
                <w:szCs w:val="15"/>
                <w:color w:val="auto"/>
              </w:rPr>
            </w:pPr>
          </w:p>
        </w:tc>
      </w:tr>
      <w:tr>
        <w:trPr>
          <w:trHeight w:val="17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29, 2021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1,265,128</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18,976,917</w:t>
            </w:r>
          </w:p>
        </w:tc>
        <w:tc>
          <w:tcPr>
            <w:tcW w:w="100" w:type="dxa"/>
            <w:vAlign w:val="bottom"/>
            <w:shd w:val="clear" w:color="auto" w:fill="CFF0FC"/>
          </w:tcPr>
          <w:p>
            <w:pPr>
              <w:spacing w:after="0"/>
              <w:rPr>
                <w:sz w:val="15"/>
                <w:szCs w:val="15"/>
                <w:color w:val="auto"/>
              </w:rPr>
            </w:pPr>
          </w:p>
        </w:tc>
      </w:tr>
      <w:tr>
        <w:trPr>
          <w:trHeight w:val="175"/>
        </w:trPr>
        <w:tc>
          <w:tcPr>
            <w:tcW w:w="6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25, 2021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6,850,000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100,010,000</w:t>
            </w:r>
          </w:p>
        </w:tc>
        <w:tc>
          <w:tcPr>
            <w:tcW w:w="100" w:type="dxa"/>
            <w:vAlign w:val="bottom"/>
          </w:tcPr>
          <w:p>
            <w:pPr>
              <w:spacing w:after="0"/>
              <w:rPr>
                <w:sz w:val="15"/>
                <w:szCs w:val="15"/>
                <w:color w:val="auto"/>
              </w:rPr>
            </w:pPr>
          </w:p>
        </w:tc>
      </w:tr>
      <w:tr>
        <w:trPr>
          <w:trHeight w:val="209"/>
        </w:trPr>
        <w:tc>
          <w:tcPr>
            <w:tcW w:w="672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41,380,614</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gridSpan w:val="2"/>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617,386,489</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90" w:lineRule="exact"/>
        <w:rPr>
          <w:sz w:val="20"/>
          <w:szCs w:val="20"/>
          <w:color w:val="auto"/>
        </w:rPr>
      </w:pPr>
    </w:p>
    <w:p>
      <w:pPr>
        <w:ind w:left="760" w:hanging="374"/>
        <w:spacing w:after="0"/>
        <w:tabs>
          <w:tab w:leader="none" w:pos="76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Shares were issued as part of the dividend reinvestment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Plans</w:t>
      </w:r>
    </w:p>
    <w:p>
      <w:pPr>
        <w:spacing w:after="0" w:line="22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On February 24, 2022, the Board of Directors approved the Repurchase Program under which the Company may repurchase up to $25 million of its outstanding common stock. Under the Repurchase Program, purchases may be made at management’s discretion from time to time in open-market transactions, in accordance with all applicable securities laws and regulations. Unless extended by the Board of Directors, the repurchase program will terminate 12-months from the date it was approved.</w:t>
      </w:r>
    </w:p>
    <w:p>
      <w:pPr>
        <w:spacing w:after="0" w:line="17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our repurchases of our common stock pursuant to the Repurchase Program for the nine months ended September 30,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100" w:type="dxa"/>
            <w:vAlign w:val="bottom"/>
          </w:tcPr>
          <w:p>
            <w:pPr>
              <w:spacing w:after="0"/>
              <w:rPr>
                <w:sz w:val="13"/>
                <w:szCs w:val="13"/>
                <w:color w:val="auto"/>
              </w:rPr>
            </w:pPr>
          </w:p>
        </w:tc>
      </w:tr>
      <w:tr>
        <w:trPr>
          <w:trHeight w:val="160"/>
        </w:trPr>
        <w:tc>
          <w:tcPr>
            <w:tcW w:w="3440" w:type="dxa"/>
            <w:vAlign w:val="bottom"/>
          </w:tcPr>
          <w:p>
            <w:pPr>
              <w:spacing w:after="0"/>
              <w:rPr>
                <w:sz w:val="13"/>
                <w:szCs w:val="13"/>
                <w:color w:val="auto"/>
              </w:rPr>
            </w:pPr>
          </w:p>
        </w:tc>
        <w:tc>
          <w:tcPr>
            <w:tcW w:w="1380" w:type="dxa"/>
            <w:vAlign w:val="bottom"/>
          </w:tcPr>
          <w:p>
            <w:pPr>
              <w:jc w:val="right"/>
              <w:ind w:right="128"/>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jc w:val="right"/>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360" w:type="dxa"/>
            <w:vAlign w:val="bottom"/>
          </w:tcPr>
          <w:p>
            <w:pPr>
              <w:spacing w:after="0"/>
              <w:rPr>
                <w:sz w:val="13"/>
                <w:szCs w:val="13"/>
                <w:color w:val="auto"/>
              </w:rPr>
            </w:pPr>
          </w:p>
        </w:tc>
        <w:tc>
          <w:tcPr>
            <w:tcW w:w="170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of Shares That Have Been</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right"/>
              <w:ind w:right="108"/>
              <w:spacing w:after="0" w:line="160"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100" w:type="dxa"/>
            <w:vAlign w:val="bottom"/>
          </w:tcPr>
          <w:p>
            <w:pPr>
              <w:spacing w:after="0"/>
              <w:rPr>
                <w:sz w:val="13"/>
                <w:szCs w:val="13"/>
                <w:color w:val="auto"/>
              </w:rPr>
            </w:pPr>
          </w:p>
        </w:tc>
      </w:tr>
      <w:tr>
        <w:trPr>
          <w:trHeight w:val="189"/>
        </w:trPr>
        <w:tc>
          <w:tcPr>
            <w:tcW w:w="3440" w:type="dxa"/>
            <w:vAlign w:val="bottom"/>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360" w:type="dxa"/>
            <w:vAlign w:val="bottom"/>
          </w:tcPr>
          <w:p>
            <w:pPr>
              <w:spacing w:after="0"/>
              <w:rPr>
                <w:sz w:val="16"/>
                <w:szCs w:val="16"/>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Purchased Under the Plan</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Purchased Under the Plan</w:t>
            </w:r>
          </w:p>
        </w:tc>
        <w:tc>
          <w:tcPr>
            <w:tcW w:w="100" w:type="dxa"/>
            <w:vAlign w:val="bottom"/>
          </w:tcPr>
          <w:p>
            <w:pPr>
              <w:spacing w:after="0"/>
              <w:rPr>
                <w:sz w:val="16"/>
                <w:szCs w:val="16"/>
                <w:color w:val="auto"/>
              </w:rPr>
            </w:pPr>
          </w:p>
        </w:tc>
      </w:tr>
      <w:tr>
        <w:trPr>
          <w:trHeight w:val="169"/>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Quarter ended March 31, 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31,782</w:t>
            </w:r>
          </w:p>
        </w:tc>
        <w:tc>
          <w:tcPr>
            <w:tcW w:w="38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12.88</w:t>
            </w:r>
          </w:p>
        </w:tc>
        <w:tc>
          <w:tcPr>
            <w:tcW w:w="3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409,223</w:t>
            </w:r>
          </w:p>
        </w:tc>
        <w:tc>
          <w:tcPr>
            <w:tcW w:w="3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24,590,777</w:t>
            </w:r>
          </w:p>
        </w:tc>
        <w:tc>
          <w:tcPr>
            <w:tcW w:w="100" w:type="dxa"/>
            <w:vAlign w:val="bottom"/>
            <w:shd w:val="clear" w:color="auto" w:fill="CFF0FC"/>
          </w:tcPr>
          <w:p>
            <w:pPr>
              <w:spacing w:after="0"/>
              <w:rPr>
                <w:sz w:val="14"/>
                <w:szCs w:val="14"/>
                <w:color w:val="auto"/>
              </w:rPr>
            </w:pPr>
          </w:p>
        </w:tc>
      </w:tr>
      <w:tr>
        <w:trPr>
          <w:trHeight w:val="175"/>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Quarter ended June 30, 2022</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381,710</w:t>
            </w: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4,870,014</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19,720,763</w:t>
            </w:r>
          </w:p>
        </w:tc>
        <w:tc>
          <w:tcPr>
            <w:tcW w:w="100" w:type="dxa"/>
            <w:vAlign w:val="bottom"/>
          </w:tcPr>
          <w:p>
            <w:pPr>
              <w:spacing w:after="0"/>
              <w:rPr>
                <w:sz w:val="15"/>
                <w:szCs w:val="15"/>
                <w:color w:val="auto"/>
              </w:rPr>
            </w:pPr>
          </w:p>
        </w:tc>
      </w:tr>
      <w:tr>
        <w:trPr>
          <w:trHeight w:val="176"/>
        </w:trPr>
        <w:tc>
          <w:tcPr>
            <w:tcW w:w="3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Quarter ended September 30, 2022</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331,264</w:t>
            </w:r>
          </w:p>
        </w:tc>
        <w:tc>
          <w:tcPr>
            <w:tcW w:w="3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3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4,022,696</w:t>
            </w:r>
          </w:p>
        </w:tc>
        <w:tc>
          <w:tcPr>
            <w:tcW w:w="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15,698,067</w:t>
            </w:r>
          </w:p>
        </w:tc>
        <w:tc>
          <w:tcPr>
            <w:tcW w:w="100" w:type="dxa"/>
            <w:vAlign w:val="bottom"/>
            <w:shd w:val="clear" w:color="auto" w:fill="CFF0FC"/>
          </w:tcPr>
          <w:p>
            <w:pPr>
              <w:spacing w:after="0"/>
              <w:rPr>
                <w:sz w:val="15"/>
                <w:szCs w:val="15"/>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749"/>
        <w:spacing w:after="0" w:line="219" w:lineRule="exact"/>
        <w:rPr>
          <w:sz w:val="20"/>
          <w:szCs w:val="20"/>
          <w:color w:val="auto"/>
        </w:rPr>
      </w:pPr>
      <w:r>
        <w:rPr>
          <w:rFonts w:ascii="Times New Roman" w:cs="Times New Roman" w:eastAsia="Times New Roman" w:hAnsi="Times New Roman"/>
          <w:sz w:val="18"/>
          <w:szCs w:val="18"/>
          <w:color w:val="auto"/>
        </w:rPr>
        <w:t>At September 30, 2022, the Company had $329,284,615 in unfunded loan commitments, many of which are subject to portfolio company performance milestones, to provide debt financing to 18 portfolio companies. The Company’s management believes that its available cash balances and availability under the Credit Facility, provides sufficient funds to cover its unfunded commitments as of September 30, 2022. See “Note 10 – Borrowings” to our financial statements in Part I, Item 1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more information on the Company's borrowings.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Company</w:t>
            </w:r>
          </w:p>
        </w:tc>
        <w:tc>
          <w:tcPr>
            <w:tcW w:w="200" w:type="dxa"/>
            <w:vAlign w:val="bottom"/>
          </w:tcPr>
          <w:p>
            <w:pPr>
              <w:spacing w:after="0"/>
              <w:rPr>
                <w:sz w:val="16"/>
                <w:szCs w:val="16"/>
                <w:color w:val="auto"/>
              </w:rPr>
            </w:pPr>
          </w:p>
        </w:tc>
        <w:tc>
          <w:tcPr>
            <w:tcW w:w="34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Investment Type</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r>
      <w:tr>
        <w:trPr>
          <w:trHeight w:val="169"/>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Allurion Technologies, Inc.</w:t>
            </w:r>
          </w:p>
        </w:tc>
        <w:tc>
          <w:tcPr>
            <w:tcW w:w="200" w:type="dxa"/>
            <w:vAlign w:val="bottom"/>
            <w:shd w:val="clear" w:color="auto" w:fill="CFF0FC"/>
          </w:tcPr>
          <w:p>
            <w:pPr>
              <w:spacing w:after="0"/>
              <w:rPr>
                <w:sz w:val="14"/>
                <w:szCs w:val="14"/>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00" w:type="dxa"/>
            <w:vAlign w:val="bottom"/>
            <w:shd w:val="clear" w:color="auto" w:fill="CFF0FC"/>
          </w:tcPr>
          <w:p>
            <w:pPr>
              <w:spacing w:after="0"/>
              <w:rPr>
                <w:sz w:val="14"/>
                <w:szCs w:val="14"/>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CloudPay,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Dtex Systems,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EBR Systems,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INRIX,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Intellisite Holdings, Inc. (dba Epic IO Technologies,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Interactions Corporation</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Kin Insurance,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Moximed,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Mustang Bio,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Revelle Aesthetics,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12,500,000</w:t>
            </w:r>
          </w:p>
        </w:tc>
        <w:tc>
          <w:tcPr>
            <w:tcW w:w="100" w:type="dxa"/>
            <w:vAlign w:val="bottom"/>
            <w:shd w:val="clear" w:color="auto" w:fill="CFF0FC"/>
          </w:tcPr>
          <w:p>
            <w:pPr>
              <w:spacing w:after="0"/>
              <w:rPr>
                <w:sz w:val="15"/>
                <w:szCs w:val="15"/>
                <w:color w:val="auto"/>
              </w:rPr>
            </w:pPr>
          </w:p>
        </w:tc>
      </w:tr>
      <w:tr>
        <w:trPr>
          <w:trHeight w:val="175"/>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Route 92 Medical,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42,000,000</w:t>
            </w:r>
          </w:p>
        </w:tc>
        <w:tc>
          <w:tcPr>
            <w:tcW w:w="100" w:type="dxa"/>
            <w:vAlign w:val="bottom"/>
          </w:tcPr>
          <w:p>
            <w:pPr>
              <w:spacing w:after="0"/>
              <w:rPr>
                <w:sz w:val="15"/>
                <w:szCs w:val="15"/>
                <w:color w:val="auto"/>
              </w:rPr>
            </w:pPr>
          </w:p>
        </w:tc>
      </w:tr>
      <w:tr>
        <w:trPr>
          <w:trHeight w:val="176"/>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SetPoint Medical Corporation</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ShareThis,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Snagajob.com,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6,784,615</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Synack, Inc.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tcPr>
          <w:p>
            <w:pPr>
              <w:spacing w:after="0"/>
              <w:rPr>
                <w:sz w:val="15"/>
                <w:szCs w:val="15"/>
                <w:color w:val="auto"/>
              </w:rPr>
            </w:pPr>
          </w:p>
        </w:tc>
      </w:tr>
      <w:tr>
        <w:trPr>
          <w:trHeight w:val="175"/>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TRACON Pharmaceuticals, Inc.</w:t>
            </w:r>
          </w:p>
        </w:tc>
        <w:tc>
          <w:tcPr>
            <w:tcW w:w="200" w:type="dxa"/>
            <w:vAlign w:val="bottom"/>
            <w:shd w:val="clear" w:color="auto" w:fill="CFF0FC"/>
          </w:tcPr>
          <w:p>
            <w:pPr>
              <w:spacing w:after="0"/>
              <w:rPr>
                <w:sz w:val="15"/>
                <w:szCs w:val="15"/>
                <w:color w:val="auto"/>
              </w:rPr>
            </w:pPr>
          </w:p>
        </w:tc>
        <w:tc>
          <w:tcPr>
            <w:tcW w:w="3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25,000,000</w:t>
            </w:r>
          </w:p>
        </w:tc>
        <w:tc>
          <w:tcPr>
            <w:tcW w:w="100" w:type="dxa"/>
            <w:vAlign w:val="bottom"/>
            <w:shd w:val="clear" w:color="auto" w:fill="CFF0FC"/>
          </w:tcPr>
          <w:p>
            <w:pPr>
              <w:spacing w:after="0"/>
              <w:rPr>
                <w:sz w:val="15"/>
                <w:szCs w:val="15"/>
                <w:color w:val="auto"/>
              </w:rPr>
            </w:pPr>
          </w:p>
        </w:tc>
      </w:tr>
      <w:tr>
        <w:trPr>
          <w:trHeight w:val="176"/>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VERO Biotech LLC</w:t>
            </w:r>
          </w:p>
        </w:tc>
        <w:tc>
          <w:tcPr>
            <w:tcW w:w="200" w:type="dxa"/>
            <w:vAlign w:val="bottom"/>
          </w:tcPr>
          <w:p>
            <w:pPr>
              <w:spacing w:after="0"/>
              <w:rPr>
                <w:sz w:val="15"/>
                <w:szCs w:val="15"/>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Senior Secured Term Loan</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10,000,000</w:t>
            </w:r>
          </w:p>
        </w:tc>
        <w:tc>
          <w:tcPr>
            <w:tcW w:w="100" w:type="dxa"/>
            <w:vAlign w:val="bottom"/>
          </w:tcPr>
          <w:p>
            <w:pPr>
              <w:spacing w:after="0"/>
              <w:rPr>
                <w:sz w:val="15"/>
                <w:szCs w:val="15"/>
                <w:color w:val="auto"/>
              </w:rPr>
            </w:pPr>
          </w:p>
        </w:tc>
      </w:tr>
      <w:tr>
        <w:trPr>
          <w:trHeight w:val="209"/>
        </w:trPr>
        <w:tc>
          <w:tcPr>
            <w:tcW w:w="556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unused commitments to extend financing</w:t>
            </w:r>
          </w:p>
        </w:tc>
        <w:tc>
          <w:tcPr>
            <w:tcW w:w="200" w:type="dxa"/>
            <w:vAlign w:val="bottom"/>
            <w:tcBorders>
              <w:bottom w:val="single" w:sz="8" w:color="CFF0FC"/>
            </w:tcBorders>
            <w:shd w:val="clear" w:color="auto" w:fill="CFF0FC"/>
          </w:tcPr>
          <w:p>
            <w:pPr>
              <w:spacing w:after="0"/>
              <w:rPr>
                <w:sz w:val="18"/>
                <w:szCs w:val="18"/>
                <w:color w:val="auto"/>
              </w:rPr>
            </w:pPr>
          </w:p>
        </w:tc>
        <w:tc>
          <w:tcPr>
            <w:tcW w:w="34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329,284,615</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20" w:type="dxa"/>
            <w:vAlign w:val="bottom"/>
          </w:tcPr>
          <w:p>
            <w:pPr>
              <w:spacing w:after="0"/>
              <w:rPr>
                <w:sz w:val="14"/>
                <w:szCs w:val="14"/>
                <w:color w:val="auto"/>
              </w:rPr>
            </w:pPr>
          </w:p>
        </w:tc>
        <w:tc>
          <w:tcPr>
            <w:tcW w:w="11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100" w:type="dxa"/>
            <w:vAlign w:val="bottom"/>
          </w:tcPr>
          <w:p>
            <w:pPr>
              <w:spacing w:after="0"/>
              <w:rPr>
                <w:sz w:val="14"/>
                <w:szCs w:val="14"/>
                <w:color w:val="auto"/>
              </w:rPr>
            </w:pPr>
          </w:p>
        </w:tc>
      </w:tr>
      <w:tr>
        <w:trPr>
          <w:trHeight w:val="16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Credit Facility</w:t>
            </w: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175,000,000</w:t>
            </w:r>
          </w:p>
        </w:tc>
        <w:tc>
          <w:tcPr>
            <w:tcW w:w="3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top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175,000,000</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top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4"/>
                <w:szCs w:val="14"/>
                <w:color w:val="auto"/>
              </w:rPr>
            </w:pPr>
          </w:p>
        </w:tc>
      </w:tr>
      <w:tr>
        <w:trPr>
          <w:trHeight w:val="17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 Notes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70,000,000</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ind w:left="10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70,000,000</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ind w:left="12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r>
      <w:tr>
        <w:trPr>
          <w:trHeight w:val="175"/>
        </w:trPr>
        <w:tc>
          <w:tcPr>
            <w:tcW w:w="2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2027 Notes</w:t>
            </w: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100,500,000</w:t>
            </w:r>
          </w:p>
        </w:tc>
        <w:tc>
          <w:tcPr>
            <w:tcW w:w="3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ind w:left="1140"/>
              <w:spacing w:after="0"/>
              <w:rPr>
                <w:sz w:val="20"/>
                <w:szCs w:val="20"/>
                <w:color w:val="auto"/>
              </w:rPr>
            </w:pPr>
            <w:r>
              <w:rPr>
                <w:rFonts w:ascii="Times New Roman" w:cs="Times New Roman" w:eastAsia="Times New Roman" w:hAnsi="Times New Roman"/>
                <w:sz w:val="14"/>
                <w:szCs w:val="14"/>
                <w:color w:val="auto"/>
                <w:w w:val="99"/>
              </w:rPr>
              <w:t>—</w:t>
            </w:r>
          </w:p>
        </w:tc>
        <w:tc>
          <w:tcPr>
            <w:tcW w:w="34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100,500,000</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4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27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345,500,000</w:t>
            </w:r>
          </w:p>
        </w:tc>
        <w:tc>
          <w:tcPr>
            <w:tcW w:w="4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ind w:left="106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4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40" w:type="dxa"/>
            <w:vAlign w:val="bottom"/>
            <w:gridSpan w:val="2"/>
          </w:tcPr>
          <w:p>
            <w:pPr>
              <w:ind w:left="11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345,500,000</w:t>
            </w:r>
          </w:p>
        </w:tc>
        <w:tc>
          <w:tcPr>
            <w:tcW w:w="4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ind w:left="126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r>
      <w:tr>
        <w:trPr>
          <w:trHeight w:val="20"/>
        </w:trPr>
        <w:tc>
          <w:tcPr>
            <w:tcW w:w="2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-145415</wp:posOffset>
            </wp:positionV>
            <wp:extent cx="76835" cy="1460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-145415</wp:posOffset>
            </wp:positionV>
            <wp:extent cx="68580" cy="1460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-145415</wp:posOffset>
            </wp:positionV>
            <wp:extent cx="68580" cy="1460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-145415</wp:posOffset>
            </wp:positionV>
            <wp:extent cx="68580" cy="1460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1460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1460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currently have no off-balance sheet arrangements, including any risk management of commodity pricing or other hedging practices.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1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6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If newly issued shares are used to implement the dividend reinvestment plan, the number of shares to be issued to a shareholder will be determined by dividing the total dollar amount of the cash dividend or distribution payable to a shareholder by the market price per share of our common stock at the close of regular trading on the Nasdaq Global Select Market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 (ii) 95% of the current market price per share (or such lesser discount to the current market price per share that still exceeded the most recently computed net asset value per share).</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shares are purchased in the open market to implement the dividend reinvestment plan, the number of shares to be issued to a shareholder shall be determined by dividing the dollar amount of the cash dividend payable to such shareholder by the weighted average price per share for all shares purchased by the plan administrator in the open market in connection with the dividend.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6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 xml:space="preserve">During the three and nine months ended September 30, 2022, we declared and paid dividends in the amount of $13,450,710 and $37,005,717, respectively, of which $12,783,588 and $26,708,902, respectively, was distributed in cash and the remainder distributed in shares to stockholders pursuant to the Company’s dividend reinvestment plan. </w:t>
      </w:r>
      <w:r>
        <w:rPr>
          <w:rFonts w:ascii="Times New Roman" w:cs="Times New Roman" w:eastAsia="Times New Roman" w:hAnsi="Times New Roman"/>
          <w:sz w:val="18"/>
          <w:szCs w:val="18"/>
          <w:color w:val="231F20"/>
        </w:rPr>
        <w:t>During the year ended December 31, 2021, we declared and paid dividends in the amount of $44,942,937,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which $17,948,126 was distributed in cash and the remainder distributed in shares to stockholders pursuant to our dividend reinvestment plan.</w:t>
      </w:r>
    </w:p>
    <w:p>
      <w:pPr>
        <w:spacing w:after="0" w:line="19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September 30, 2022.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0" w:type="dxa"/>
            <w:vAlign w:val="bottom"/>
          </w:tcPr>
          <w:p>
            <w:pPr>
              <w:spacing w:after="0"/>
              <w:rPr>
                <w:sz w:val="16"/>
                <w:szCs w:val="16"/>
                <w:color w:val="auto"/>
              </w:rPr>
            </w:pPr>
          </w:p>
        </w:tc>
        <w:tc>
          <w:tcPr>
            <w:tcW w:w="16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 w:type="dxa"/>
            <w:vAlign w:val="bottom"/>
          </w:tcPr>
          <w:p>
            <w:pPr>
              <w:spacing w:after="0"/>
              <w:rPr>
                <w:sz w:val="16"/>
                <w:szCs w:val="16"/>
                <w:color w:val="auto"/>
              </w:rPr>
            </w:pPr>
          </w:p>
        </w:tc>
        <w:tc>
          <w:tcPr>
            <w:tcW w:w="16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Amount per Share</w:t>
            </w: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3, 2018</w:t>
            </w:r>
          </w:p>
        </w:tc>
        <w:tc>
          <w:tcPr>
            <w:tcW w:w="16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15, 2018</w:t>
            </w:r>
          </w:p>
        </w:tc>
        <w:tc>
          <w:tcPr>
            <w:tcW w:w="1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31, 2018</w:t>
            </w:r>
          </w:p>
        </w:tc>
        <w:tc>
          <w:tcPr>
            <w:tcW w:w="1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Pr>
          <w:p>
            <w:pPr>
              <w:spacing w:after="0"/>
              <w:rPr>
                <w:sz w:val="14"/>
                <w:szCs w:val="14"/>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26, 2018</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15, 2018</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31, 2018</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shd w:val="clear" w:color="auto" w:fill="CFF0FC"/>
          </w:tcPr>
          <w:p>
            <w:pPr>
              <w:spacing w:after="0"/>
              <w:rPr>
                <w:sz w:val="15"/>
                <w:szCs w:val="15"/>
                <w:color w:val="auto"/>
              </w:rPr>
            </w:pPr>
          </w:p>
        </w:tc>
      </w:tr>
      <w:tr>
        <w:trPr>
          <w:trHeight w:val="176"/>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November 1, 2018</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31, 2018</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15, 2018</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22, 2019</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22, 2019</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26, 2019</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2, 2019</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7, 2019</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21, 2019</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May 2, 2019</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May 31, 2019</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16, 2019</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0.46</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July 30, 2019</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5, 2019</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August 26, 2019</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September 27, 2019</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September 30, 2019</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November 12, 2019</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December 9, 2019</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10, 2019</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December 23, 2019</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5, 2020</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6, 2020</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20, 2020</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0.40</w:t>
            </w:r>
          </w:p>
        </w:tc>
        <w:tc>
          <w:tcPr>
            <w:tcW w:w="100" w:type="dxa"/>
            <w:vAlign w:val="bottom"/>
            <w:shd w:val="clear" w:color="auto" w:fill="CFF0FC"/>
          </w:tcPr>
          <w:p>
            <w:pPr>
              <w:spacing w:after="0"/>
              <w:rPr>
                <w:sz w:val="15"/>
                <w:szCs w:val="15"/>
                <w:color w:val="auto"/>
              </w:rPr>
            </w:pPr>
          </w:p>
        </w:tc>
      </w:tr>
      <w:tr>
        <w:trPr>
          <w:trHeight w:val="176"/>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7, 2020</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8, 2020</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21, 2020</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0.35</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August 5, 2020</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6, 2020</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20, 2020</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100" w:type="dxa"/>
            <w:vAlign w:val="bottom"/>
            <w:shd w:val="clear" w:color="auto" w:fill="CFF0FC"/>
          </w:tcPr>
          <w:p>
            <w:pPr>
              <w:spacing w:after="0"/>
              <w:rPr>
                <w:sz w:val="15"/>
                <w:szCs w:val="15"/>
                <w:color w:val="auto"/>
              </w:rPr>
            </w:pPr>
          </w:p>
        </w:tc>
      </w:tr>
      <w:tr>
        <w:trPr>
          <w:trHeight w:val="176"/>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1, 2020</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October 1, 2020</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12, 2020</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100" w:type="dxa"/>
            <w:vAlign w:val="bottom"/>
          </w:tcPr>
          <w:p>
            <w:pPr>
              <w:spacing w:after="0"/>
              <w:rPr>
                <w:sz w:val="15"/>
                <w:szCs w:val="15"/>
                <w:color w:val="auto"/>
              </w:rPr>
            </w:pPr>
          </w:p>
        </w:tc>
      </w:tr>
      <w:tr>
        <w:trPr>
          <w:trHeight w:val="17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March 4, 2021</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5, 2021</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19, 2021</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shd w:val="clear" w:color="auto" w:fill="CFF0FC"/>
          </w:tcPr>
          <w:p>
            <w:pPr>
              <w:spacing w:after="0"/>
              <w:rPr>
                <w:sz w:val="15"/>
                <w:szCs w:val="15"/>
                <w:color w:val="auto"/>
              </w:rPr>
            </w:pPr>
          </w:p>
        </w:tc>
      </w:tr>
      <w:tr>
        <w:trPr>
          <w:trHeight w:val="176"/>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29, 2021</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April 30, 2021</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13, 2021</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0.37</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19, 2021</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July 20, 2021</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12, 2021</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October 28, 2021</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8, 2021</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November 22, 2021</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February 24, 2022</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8, 2022</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March 2, 2022</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0.27</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April 28, 2022</w:t>
            </w:r>
          </w:p>
        </w:tc>
        <w:tc>
          <w:tcPr>
            <w:tcW w:w="16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10, 2022</w:t>
            </w:r>
          </w:p>
        </w:tc>
        <w:tc>
          <w:tcPr>
            <w:tcW w:w="16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May 24, 2022</w:t>
            </w:r>
          </w:p>
        </w:tc>
        <w:tc>
          <w:tcPr>
            <w:tcW w:w="30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July 28, 2022</w:t>
            </w:r>
          </w:p>
        </w:tc>
        <w:tc>
          <w:tcPr>
            <w:tcW w:w="160" w:type="dxa"/>
            <w:vAlign w:val="bottom"/>
            <w:shd w:val="clear" w:color="auto" w:fill="CFF0FC"/>
          </w:tcPr>
          <w:p>
            <w:pPr>
              <w:spacing w:after="0"/>
              <w:rPr>
                <w:sz w:val="15"/>
                <w:szCs w:val="15"/>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9, 2022</w:t>
            </w:r>
          </w:p>
        </w:tc>
        <w:tc>
          <w:tcPr>
            <w:tcW w:w="16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August 23, 2022</w:t>
            </w:r>
          </w:p>
        </w:tc>
        <w:tc>
          <w:tcPr>
            <w:tcW w:w="30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00" w:type="dxa"/>
            <w:vAlign w:val="bottom"/>
            <w:shd w:val="clear" w:color="auto" w:fill="CFF0FC"/>
          </w:tcPr>
          <w:p>
            <w:pPr>
              <w:spacing w:after="0"/>
              <w:rPr>
                <w:sz w:val="15"/>
                <w:szCs w:val="15"/>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749"/>
        <w:spacing w:after="0" w:line="211" w:lineRule="exact"/>
        <w:rPr>
          <w:sz w:val="20"/>
          <w:szCs w:val="20"/>
          <w:color w:val="auto"/>
        </w:rPr>
      </w:pPr>
      <w:r>
        <w:rPr>
          <w:rFonts w:ascii="Times New Roman" w:cs="Times New Roman" w:eastAsia="Times New Roman" w:hAnsi="Times New Roman"/>
          <w:sz w:val="18"/>
          <w:szCs w:val="18"/>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which describes our critical accounting policies and recently adopted accounting pronouncements not yet required to be adopted by 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14"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8"/>
          <w:szCs w:val="18"/>
          <w:color w:val="auto"/>
        </w:rPr>
        <w:t xml:space="preserve">We measure the value of our portfolio investments at fair value in accordance with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6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of such portfolio investments in accordance with the valuation policy approved by our Board of Directors. If more than one valuation method is used to measure fair value, the results are evaluated and weighted, as appropriate, considering the reasonableness of the range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4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9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94"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are based on quoted prices in active markets for identical assets or liabilities that are accessible at the measurement date.</w:t>
      </w:r>
    </w:p>
    <w:p>
      <w:pPr>
        <w:spacing w:after="0" w:line="17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07"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9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9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8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With respect to investments for which market quotations are not readily available, our Board of Directors undertakes a multi-step valuation process each quarter, as described below:</w:t>
      </w:r>
    </w:p>
    <w:p>
      <w:pPr>
        <w:spacing w:after="0" w:line="108" w:lineRule="exact"/>
        <w:rPr>
          <w:sz w:val="20"/>
          <w:szCs w:val="20"/>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valuation process begins with each portfolio company investment being initially valued by RGC’s investment professionals that are responsible for the portfolio investment;</w:t>
      </w:r>
    </w:p>
    <w:p>
      <w:pPr>
        <w:spacing w:after="0" w:line="10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valuation conclusions are then documented and discussed with RGC’s senior investment team;</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2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07"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Our investments are primarily loans made to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9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Rule 2a-5 under the 1940 Act was adopted by the SEC in December 2020 and establishes a framework for determining fair value in good faith for purposes of the 1940 Act. The Company complied with the mandatory provision of Rule 2a-5 by the September 2022 compliance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Valuation Techniques</w:t>
      </w:r>
    </w:p>
    <w:p>
      <w:pPr>
        <w:spacing w:after="0" w:line="22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Debt Investments. </w:t>
      </w:r>
      <w:r>
        <w:rPr>
          <w:rFonts w:ascii="Times New Roman" w:cs="Times New Roman" w:eastAsia="Times New Roman" w:hAnsi="Times New Roman"/>
          <w:sz w:val="18"/>
          <w:szCs w:val="18"/>
          <w:color w:val="auto"/>
        </w:rPr>
        <w:t>To determine the fair value of our debt investments, we compare the cost basis of the debt investment, which includes original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 however, a significantly higher or lower fair value measurement of any of the Company’s portfolio investments may occur regardless of whether there is a significant increase or decrease in these unobservable inputs.</w:t>
      </w:r>
    </w:p>
    <w:p>
      <w:pPr>
        <w:spacing w:after="0" w:line="19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7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Fair value of warrants is primarily determined using a Black Scholes option-pricing model. Privately held warrants and equity-related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are valued based on an analysis of various factors including, but not limited to, the following:</w:t>
      </w:r>
    </w:p>
    <w:p>
      <w:pPr>
        <w:spacing w:after="0" w:line="134" w:lineRule="exact"/>
        <w:rPr>
          <w:sz w:val="20"/>
          <w:szCs w:val="20"/>
          <w:color w:val="auto"/>
        </w:rPr>
      </w:pPr>
    </w:p>
    <w:p>
      <w:pPr>
        <w:jc w:val="both"/>
        <w:ind w:left="760" w:hanging="378"/>
        <w:spacing w:after="0" w:line="243"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59"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36"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left="760" w:hanging="378"/>
        <w:spacing w:after="0" w:line="250"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0" w:lineRule="exact"/>
        <w:rPr>
          <w:rFonts w:ascii="Times New Roman" w:cs="Times New Roman" w:eastAsia="Times New Roman" w:hAnsi="Times New Roman"/>
          <w:sz w:val="18"/>
          <w:szCs w:val="18"/>
          <w:color w:val="auto"/>
        </w:rPr>
      </w:pPr>
    </w:p>
    <w:p>
      <w:pPr>
        <w:jc w:val="both"/>
        <w:ind w:left="760" w:hanging="378"/>
        <w:spacing w:after="0" w:line="244" w:lineRule="auto"/>
        <w:tabs>
          <w:tab w:leader="none" w:pos="7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9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9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fair value of an equity investment in a privately held company is initially the face value of the amount invested.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assets measured at fair value on a recurring basis subject to the requirements of ASC Topic 820 at September 30, 2022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As of September 30, 2022 (Unaudited)</w:t>
            </w:r>
          </w:p>
        </w:tc>
        <w:tc>
          <w:tcPr>
            <w:tcW w:w="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62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1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114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496,498</w:t>
            </w:r>
          </w:p>
        </w:tc>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1,413,356</w:t>
            </w:r>
          </w:p>
        </w:tc>
        <w:tc>
          <w:tcPr>
            <w:tcW w:w="64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1,228,197</w:t>
            </w:r>
          </w:p>
        </w:tc>
        <w:tc>
          <w:tcPr>
            <w:tcW w:w="7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3,138,051</w:t>
            </w:r>
          </w:p>
        </w:tc>
        <w:tc>
          <w:tcPr>
            <w:tcW w:w="100" w:type="dxa"/>
            <w:vAlign w:val="bottom"/>
          </w:tcPr>
          <w:p>
            <w:pPr>
              <w:spacing w:after="0"/>
              <w:rPr>
                <w:sz w:val="15"/>
                <w:szCs w:val="15"/>
                <w:color w:val="auto"/>
              </w:rPr>
            </w:pPr>
          </w:p>
        </w:tc>
      </w:tr>
      <w:tr>
        <w:trPr>
          <w:trHeight w:val="175"/>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1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862,527,989</w:t>
            </w:r>
          </w:p>
        </w:tc>
        <w:tc>
          <w:tcPr>
            <w:tcW w:w="3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862,527,989</w:t>
            </w:r>
          </w:p>
        </w:tc>
        <w:tc>
          <w:tcPr>
            <w:tcW w:w="100" w:type="dxa"/>
            <w:vAlign w:val="bottom"/>
            <w:shd w:val="clear" w:color="auto" w:fill="CFF0FC"/>
          </w:tcPr>
          <w:p>
            <w:pPr>
              <w:spacing w:after="0"/>
              <w:rPr>
                <w:sz w:val="15"/>
                <w:szCs w:val="15"/>
                <w:color w:val="auto"/>
              </w:rPr>
            </w:pPr>
          </w:p>
        </w:tc>
      </w:tr>
      <w:tr>
        <w:trPr>
          <w:trHeight w:val="175"/>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1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13,403,245</w:t>
            </w: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13,403,245</w:t>
            </w:r>
          </w:p>
        </w:tc>
        <w:tc>
          <w:tcPr>
            <w:tcW w:w="100" w:type="dxa"/>
            <w:vAlign w:val="bottom"/>
          </w:tcPr>
          <w:p>
            <w:pPr>
              <w:spacing w:after="0"/>
              <w:rPr>
                <w:sz w:val="15"/>
                <w:szCs w:val="15"/>
                <w:color w:val="auto"/>
              </w:rPr>
            </w:pPr>
          </w:p>
        </w:tc>
      </w:tr>
      <w:tr>
        <w:trPr>
          <w:trHeight w:val="176"/>
        </w:trPr>
        <w:tc>
          <w:tcPr>
            <w:tcW w:w="36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1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12,327,868</w:t>
            </w: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384,685</w:t>
            </w:r>
          </w:p>
        </w:tc>
        <w:tc>
          <w:tcPr>
            <w:tcW w:w="3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12,712,553</w:t>
            </w:r>
          </w:p>
        </w:tc>
        <w:tc>
          <w:tcPr>
            <w:tcW w:w="100" w:type="dxa"/>
            <w:vAlign w:val="bottom"/>
            <w:shd w:val="clear" w:color="auto" w:fill="CFF0FC"/>
          </w:tcPr>
          <w:p>
            <w:pPr>
              <w:spacing w:after="0"/>
              <w:rPr>
                <w:sz w:val="15"/>
                <w:szCs w:val="15"/>
                <w:color w:val="auto"/>
              </w:rPr>
            </w:pPr>
          </w:p>
        </w:tc>
      </w:tr>
      <w:tr>
        <w:trPr>
          <w:trHeight w:val="175"/>
        </w:trPr>
        <w:tc>
          <w:tcPr>
            <w:tcW w:w="3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1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66,950</w:t>
            </w:r>
          </w:p>
        </w:tc>
        <w:tc>
          <w:tcPr>
            <w:tcW w:w="3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18,320,157</w:t>
            </w:r>
          </w:p>
        </w:tc>
        <w:tc>
          <w:tcPr>
            <w:tcW w:w="3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18,387,107</w:t>
            </w:r>
          </w:p>
        </w:tc>
        <w:tc>
          <w:tcPr>
            <w:tcW w:w="100" w:type="dxa"/>
            <w:vAlign w:val="bottom"/>
          </w:tcPr>
          <w:p>
            <w:pPr>
              <w:spacing w:after="0"/>
              <w:rPr>
                <w:sz w:val="15"/>
                <w:szCs w:val="15"/>
                <w:color w:val="auto"/>
              </w:rPr>
            </w:pPr>
          </w:p>
        </w:tc>
      </w:tr>
      <w:tr>
        <w:trPr>
          <w:trHeight w:val="169"/>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1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12,824,366</w:t>
            </w:r>
          </w:p>
        </w:tc>
        <w:tc>
          <w:tcPr>
            <w:tcW w:w="340" w:type="dxa"/>
            <w:vAlign w:val="bottom"/>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1,480,306</w:t>
            </w:r>
          </w:p>
        </w:tc>
        <w:tc>
          <w:tcPr>
            <w:tcW w:w="320" w:type="dxa"/>
            <w:vAlign w:val="bottom"/>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895,864,273</w:t>
            </w:r>
          </w:p>
        </w:tc>
        <w:tc>
          <w:tcPr>
            <w:tcW w:w="320" w:type="dxa"/>
            <w:vAlign w:val="bottom"/>
            <w:shd w:val="clear" w:color="auto" w:fill="CFF0FC"/>
          </w:tcPr>
          <w:p>
            <w:pPr>
              <w:spacing w:after="0"/>
              <w:rPr>
                <w:sz w:val="14"/>
                <w:szCs w:val="14"/>
                <w:color w:val="auto"/>
              </w:rPr>
            </w:pPr>
          </w:p>
        </w:tc>
        <w:tc>
          <w:tcPr>
            <w:tcW w:w="3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910,168,945</w:t>
            </w:r>
          </w:p>
        </w:tc>
        <w:tc>
          <w:tcPr>
            <w:tcW w:w="100" w:type="dxa"/>
            <w:vAlign w:val="bottom"/>
            <w:shd w:val="clear" w:color="auto" w:fill="CFF0FC"/>
          </w:tcPr>
          <w:p>
            <w:pPr>
              <w:spacing w:after="0"/>
              <w:rPr>
                <w:sz w:val="14"/>
                <w:szCs w:val="14"/>
                <w:color w:val="auto"/>
              </w:rPr>
            </w:pPr>
          </w:p>
        </w:tc>
      </w:tr>
      <w:tr>
        <w:trPr>
          <w:trHeight w:val="169"/>
        </w:trPr>
        <w:tc>
          <w:tcPr>
            <w:tcW w:w="3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1140" w:type="dxa"/>
            <w:vAlign w:val="bottom"/>
            <w:tcBorders>
              <w:bottom w:val="single" w:sz="8" w:color="auto"/>
            </w:tcBorders>
          </w:tcPr>
          <w:p>
            <w:pPr>
              <w:jc w:val="right"/>
              <w:ind w:right="968"/>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12,824,366</w:t>
            </w:r>
          </w:p>
        </w:tc>
        <w:tc>
          <w:tcPr>
            <w:tcW w:w="34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1,480,306</w:t>
            </w:r>
          </w:p>
        </w:tc>
        <w:tc>
          <w:tcPr>
            <w:tcW w:w="32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895,864,273</w:t>
            </w:r>
          </w:p>
        </w:tc>
        <w:tc>
          <w:tcPr>
            <w:tcW w:w="320" w:type="dxa"/>
            <w:vAlign w:val="bottom"/>
          </w:tcPr>
          <w:p>
            <w:pPr>
              <w:spacing w:after="0"/>
              <w:rPr>
                <w:sz w:val="14"/>
                <w:szCs w:val="14"/>
                <w:color w:val="auto"/>
              </w:rPr>
            </w:pPr>
          </w:p>
        </w:tc>
        <w:tc>
          <w:tcPr>
            <w:tcW w:w="380" w:type="dxa"/>
            <w:vAlign w:val="bottom"/>
            <w:tcBorders>
              <w:bottom w:val="single" w:sz="8" w:color="auto"/>
            </w:tcBorders>
          </w:tcPr>
          <w:p>
            <w:pPr>
              <w:jc w:val="right"/>
              <w:ind w:right="2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910,168,945</w:t>
            </w:r>
          </w:p>
        </w:tc>
        <w:tc>
          <w:tcPr>
            <w:tcW w:w="100" w:type="dxa"/>
            <w:vAlign w:val="bottom"/>
          </w:tcPr>
          <w:p>
            <w:pPr>
              <w:spacing w:after="0"/>
              <w:rPr>
                <w:sz w:val="14"/>
                <w:szCs w:val="14"/>
                <w:color w:val="auto"/>
              </w:rPr>
            </w:pPr>
          </w:p>
        </w:tc>
      </w:tr>
      <w:tr>
        <w:trPr>
          <w:trHeight w:val="20"/>
        </w:trPr>
        <w:tc>
          <w:tcPr>
            <w:tcW w:w="3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10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3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Portfolio Investments</w:t>
            </w: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2,559,932</w:t>
            </w:r>
          </w:p>
        </w:tc>
        <w:tc>
          <w:tcPr>
            <w:tcW w:w="68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8,903,933</w:t>
            </w:r>
          </w:p>
        </w:tc>
        <w:tc>
          <w:tcPr>
            <w:tcW w:w="940" w:type="dxa"/>
            <w:vAlign w:val="bottom"/>
            <w:gridSpan w:val="2"/>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11,463,865</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Senior Secured Term Loans</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623,053,646</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623,053,646</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Second Lien Term Loans</w:t>
            </w: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12,872,588</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12,872,588</w:t>
            </w:r>
          </w:p>
        </w:tc>
        <w:tc>
          <w:tcPr>
            <w:tcW w:w="100" w:type="dxa"/>
            <w:vAlign w:val="bottom"/>
          </w:tcPr>
          <w:p>
            <w:pPr>
              <w:spacing w:after="0"/>
              <w:rPr>
                <w:sz w:val="15"/>
                <w:szCs w:val="15"/>
                <w:color w:val="auto"/>
              </w:rPr>
            </w:pPr>
          </w:p>
        </w:tc>
      </w:tr>
      <w:tr>
        <w:trPr>
          <w:trHeight w:val="175"/>
        </w:trPr>
        <w:tc>
          <w:tcPr>
            <w:tcW w:w="3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15,704,705</w:t>
            </w:r>
          </w:p>
        </w:tc>
        <w:tc>
          <w:tcPr>
            <w:tcW w:w="3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1,332,420</w:t>
            </w:r>
          </w:p>
        </w:tc>
        <w:tc>
          <w:tcPr>
            <w:tcW w:w="30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17,037,125</w:t>
            </w:r>
          </w:p>
        </w:tc>
        <w:tc>
          <w:tcPr>
            <w:tcW w:w="100" w:type="dxa"/>
            <w:vAlign w:val="bottom"/>
            <w:shd w:val="clear" w:color="auto" w:fill="CFF0FC"/>
          </w:tcPr>
          <w:p>
            <w:pPr>
              <w:spacing w:after="0"/>
              <w:rPr>
                <w:sz w:val="15"/>
                <w:szCs w:val="15"/>
                <w:color w:val="auto"/>
              </w:rPr>
            </w:pPr>
          </w:p>
        </w:tc>
      </w:tr>
      <w:tr>
        <w:trPr>
          <w:trHeight w:val="176"/>
        </w:trPr>
        <w:tc>
          <w:tcPr>
            <w:tcW w:w="3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20,087,550</w:t>
            </w:r>
          </w:p>
        </w:tc>
        <w:tc>
          <w:tcPr>
            <w:tcW w:w="3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20,087,550</w:t>
            </w:r>
          </w:p>
        </w:tc>
        <w:tc>
          <w:tcPr>
            <w:tcW w:w="100" w:type="dxa"/>
            <w:vAlign w:val="bottom"/>
          </w:tcPr>
          <w:p>
            <w:pPr>
              <w:spacing w:after="0"/>
              <w:rPr>
                <w:sz w:val="15"/>
                <w:szCs w:val="15"/>
                <w:color w:val="auto"/>
              </w:rPr>
            </w:pPr>
          </w:p>
        </w:tc>
      </w:tr>
      <w:tr>
        <w:trPr>
          <w:trHeight w:val="169"/>
        </w:trPr>
        <w:tc>
          <w:tcPr>
            <w:tcW w:w="33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Portfolio Investments</w:t>
            </w:r>
          </w:p>
        </w:tc>
        <w:tc>
          <w:tcPr>
            <w:tcW w:w="36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18,264,637</w:t>
            </w:r>
          </w:p>
        </w:tc>
        <w:tc>
          <w:tcPr>
            <w:tcW w:w="3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8,903,933</w:t>
            </w:r>
          </w:p>
        </w:tc>
        <w:tc>
          <w:tcPr>
            <w:tcW w:w="34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657,346,204</w:t>
            </w:r>
          </w:p>
        </w:tc>
        <w:tc>
          <w:tcPr>
            <w:tcW w:w="30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684,514,774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U.S. Treasury Bill</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45,001,500</w:t>
            </w:r>
          </w:p>
        </w:tc>
        <w:tc>
          <w:tcPr>
            <w:tcW w:w="3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45,001,500</w:t>
            </w:r>
          </w:p>
        </w:tc>
        <w:tc>
          <w:tcPr>
            <w:tcW w:w="100" w:type="dxa"/>
            <w:vAlign w:val="bottom"/>
          </w:tcPr>
          <w:p>
            <w:pPr>
              <w:spacing w:after="0"/>
              <w:rPr>
                <w:sz w:val="14"/>
                <w:szCs w:val="14"/>
                <w:color w:val="auto"/>
              </w:rPr>
            </w:pPr>
          </w:p>
        </w:tc>
      </w:tr>
      <w:tr>
        <w:trPr>
          <w:trHeight w:val="209"/>
        </w:trPr>
        <w:tc>
          <w:tcPr>
            <w:tcW w:w="3380" w:type="dxa"/>
            <w:vAlign w:val="bottom"/>
            <w:tcBorders>
              <w:bottom w:val="single" w:sz="8" w:color="CFF0FC"/>
            </w:tcBorders>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360" w:type="dxa"/>
            <w:vAlign w:val="bottom"/>
            <w:tcBorders>
              <w:bottom w:val="single" w:sz="8" w:color="auto"/>
            </w:tcBorders>
            <w:shd w:val="clear" w:color="auto" w:fill="CFF0FC"/>
          </w:tcPr>
          <w:p>
            <w:pPr>
              <w:jc w:val="right"/>
              <w:ind w:right="2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63,266,137</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8,903,933</w:t>
            </w:r>
          </w:p>
        </w:tc>
        <w:tc>
          <w:tcPr>
            <w:tcW w:w="3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4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657,346,204</w:t>
            </w:r>
          </w:p>
        </w:tc>
        <w:tc>
          <w:tcPr>
            <w:tcW w:w="3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729,516,274</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-264795</wp:posOffset>
            </wp:positionV>
            <wp:extent cx="76835" cy="1289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-264795</wp:posOffset>
            </wp:positionV>
            <wp:extent cx="77470" cy="12890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-264795</wp:posOffset>
            </wp:positionV>
            <wp:extent cx="68580" cy="12890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12890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-25400</wp:posOffset>
            </wp:positionV>
            <wp:extent cx="7683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7747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7747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-25400</wp:posOffset>
            </wp:positionV>
            <wp:extent cx="6858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wp:posOffset>
            </wp:positionV>
            <wp:extent cx="6858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Transactions and Related Investment Income</w:t>
      </w:r>
    </w:p>
    <w:p>
      <w:pPr>
        <w:spacing w:after="0" w:line="21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on the statement of operations.</w:t>
      </w:r>
    </w:p>
    <w:p>
      <w:pPr>
        <w:spacing w:after="0" w:line="177"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Dividends are recorded on the applicable ex-dividend date. Interest income, if any, adjusted for amortization of market premium and accretion of market discount, is recorded on an accrual basis to the extent that we expect to collect such amounts. OID,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and Incentive Fees</w:t>
      </w:r>
    </w:p>
    <w:p>
      <w:pPr>
        <w:spacing w:after="0" w:line="216" w:lineRule="exact"/>
        <w:rPr>
          <w:sz w:val="20"/>
          <w:szCs w:val="20"/>
          <w:color w:val="auto"/>
        </w:rPr>
      </w:pPr>
    </w:p>
    <w:p>
      <w:pPr>
        <w:jc w:val="both"/>
        <w:ind w:firstLine="749"/>
        <w:spacing w:after="0" w:line="214" w:lineRule="exact"/>
        <w:rPr>
          <w:sz w:val="20"/>
          <w:szCs w:val="20"/>
          <w:color w:val="auto"/>
        </w:rPr>
      </w:pPr>
      <w:r>
        <w:rPr>
          <w:rFonts w:ascii="Times New Roman" w:cs="Times New Roman" w:eastAsia="Times New Roman" w:hAnsi="Times New Roman"/>
          <w:sz w:val="18"/>
          <w:szCs w:val="18"/>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–Related Party Agreements and Transactions” to our financial statements in Part I, Item 1 of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more information on the Advisory Agreement and the fee structure thereunder.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18"/>
          <w:szCs w:val="18"/>
          <w:color w:val="auto"/>
        </w:rPr>
        <w:t>We have elected to be treated, have qualified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evaluated events subsequent to September 30, 2022 through November 3, 2022.</w:t>
      </w:r>
    </w:p>
    <w:p>
      <w:pPr>
        <w:spacing w:after="0" w:line="21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October 4, 2022, our investment in Fidelis Cybersecurity, Inc was partially repaid resulting in $6,000,000 being repaid and a final payment fee of $600,000 for total proceeds of $6,600.000.</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12, 2022, we funded an investment of $20,000,000 to Nalu Medical, Inc.</w:t>
      </w: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20, 2022, we funded an investment of $44,000,000 to Brivo Systems,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27, 2022, we declared a dividend of $0.36 per share payable on November 22, 2022 to shareholders of record as of November 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On October 27, 2022, we funded an investment of $5,000,000 to Allurion Technologies, Inc.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commenced investment activities in portfolio securities during the quarter ended June 30, 2017 and commenced investment activities in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Bills during the quarter ended December 31, 2016.</w:t>
      </w:r>
    </w:p>
    <w:p>
      <w:pPr>
        <w:spacing w:after="0" w:line="19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22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In connection with the COVID-19 pandemic, the U.S. Federal Reserve and other central banks have reduced certain interest rates and LIBOR has decreased.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8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18"/>
          <w:szCs w:val="18"/>
          <w:color w:val="auto"/>
        </w:rPr>
        <w:t>We typically expect that interest rates on the investments held in our portfolio will be based on LIBOR, SOFR or the U.S. Prime Rate, with many of these investments also having a floor. As of September 30, 2022, 97%, or $869,649,915 (at cost), of our debt portfolio investments bore interest at variable rates, which are U.S. Prime Rate, SOFR or LIBOR-based and subject to certain floors, and one of our debt portfolio investments bore interest at a fixed rate. Interest rate floors are established based on prevailing rates at the time of the investment.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$17,460,063 and decrease our investment income by a maximum of $16,166,067, due to certain floors, on an annual basis. In a low interest rate environment, debt investments with interest rate floors substantially in excess of current prevailing interest rates may be more likely to experience early termination.</w:t>
      </w:r>
    </w:p>
    <w:p>
      <w:pPr>
        <w:spacing w:after="0" w:line="20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Borrowings under the Credit Facility bear interest, at our election at the time of drawdown, at a rate per annum equal to the SOFR rate for the applicable interest period, subject to a SOFR rate floor of 0.15%, plus (1) 3.35% at any time that there are fourteen or fewer obligors that are not affiliates of the Company with respect to the loan; (2) 3.10% at any time that there are fifteen or more obligors that are not affiliates but fewer than thirty obligors that are not affiliates with respect to the loan; and (3) 2.95% at any time that there are thirty or more obligors that are not affiliates with respect to the loan; and (b) when the Company’s leverage ratio on the last day of the immediately preceding interest period was greater than 1.0x, 3.35%.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On March 5, 2021, the United Kingdom’s Financial Conduct Authority (the “FCA”), which regulates LIBOR, announced that (i) 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and (ii) the overnight and 1, 3, 6 and 12-month US LIBOR settings would cease to exist after June 30, 2023; and (iii) the FCA would consult on whether the remaining LIBOR settings should continue to be published on a synthetic basis for a certain period using the FCA’s proposed new powers that the UK government is legislating to grant to them. Additionally, on March 15, 2022, President Biden signed into law the Consolidated Appropriations Act of 2022, which among other things, provides for the use of interest rates based on SOFR in certain contracts currently based on LIBOR and a safe harbor from liability for utilizing SOFR-based interest rates as a replacement for LIBOR.</w:t>
      </w:r>
    </w:p>
    <w:p>
      <w:pPr>
        <w:spacing w:after="0" w:line="179"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18"/>
          <w:szCs w:val="18"/>
          <w:color w:val="auto"/>
        </w:rPr>
        <w:t>The elimination of LIBOR could have an adverse impact on the market for or value of any LIBOR-linked securities, loans, and other financial obligations or extensions of credit held by or due to us or on our overall financial condition or results of operations. In addition,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In addition, the amendments to the terms of our Credit Facility in connection with the discontinuation of LIBOR may cause the Credit Facility to bear interest at a higher rate, which would increase the cost of our borrowings and, in turn, affect our results of operations.</w:t>
      </w:r>
    </w:p>
    <w:p>
      <w:pPr>
        <w:spacing w:after="0" w:line="18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9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8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market disruptions, including the continued impact of the COVID-19 pandemic on foreign financial markets.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6" w:lineRule="exact"/>
        <w:rPr>
          <w:sz w:val="20"/>
          <w:szCs w:val="20"/>
          <w:color w:val="auto"/>
        </w:rPr>
      </w:pPr>
    </w:p>
    <w:p>
      <w:pPr>
        <w:jc w:val="both"/>
        <w:ind w:firstLine="749"/>
        <w:spacing w:after="0" w:line="212" w:lineRule="exact"/>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9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will have a material effect upon our financial condition or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jc w:val="both"/>
        <w:ind w:firstLine="749"/>
        <w:spacing w:after="0" w:line="221" w:lineRule="exact"/>
        <w:rPr>
          <w:sz w:val="20"/>
          <w:szCs w:val="20"/>
          <w:color w:val="auto"/>
        </w:rPr>
      </w:pPr>
      <w:r>
        <w:rPr>
          <w:rFonts w:ascii="Times New Roman" w:cs="Times New Roman" w:eastAsia="Times New Roman" w:hAnsi="Times New Roman"/>
          <w:sz w:val="18"/>
          <w:szCs w:val="18"/>
          <w:color w:val="auto"/>
        </w:rPr>
        <w:t>You should carefully consider the risks described below and all other information contained 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Q, including our interim financial statements and the related notes thereto, before making a decision to purchase our securities. The risks and uncertainties described below are not the only ones facing us. Additional risks and uncertainties not currently known to us or that we currently deem to be immaterial also may materially adversely affect our business, financial condition and/or operating results.</w:t>
      </w:r>
    </w:p>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known to us during the period ended September 30, 2022 to the risk factors discussed in “Risk Factors” in Part I, Item 1A of our annual report on Form 10-K, as modified by the annual report on Form 10-K/A for the year ended December 31, 2021, filed with the SEC on March 2, 2022 and March 14, 2022,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Russian invasion of Ukraine may have a material adverse impact on us and our portfolio companies.</w:t>
      </w:r>
    </w:p>
    <w:p>
      <w:pPr>
        <w:spacing w:after="0" w:line="22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18"/>
          <w:szCs w:val="18"/>
          <w:color w:val="auto"/>
        </w:rPr>
        <w:t>On February 24, 2022, the President of Russia, Vladimir Putin, announced a military invasion of Ukraine. In response, countries worldwide, including the United States, have imposed sanctions against Russia on certain businesses and individuals, including, but not limited to, those in the banking, import and export sectors. This invasion has led, is currently leading, and for an unknown period of time will continue to lead to disruptions in local, regional, national, and global markets and economies affected thereby. These disruptions caused by the invasion have included, and may continue to include, political, social, and economic disruptions and uncertainties that may affect our business operations or the business operations of our portfolio companies.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our business by impacting the results of operations and the financial condition of our portfolio companies.</w:t>
      </w:r>
    </w:p>
    <w:p>
      <w:pPr>
        <w:spacing w:after="0" w:line="200" w:lineRule="exact"/>
        <w:rPr>
          <w:sz w:val="20"/>
          <w:szCs w:val="20"/>
          <w:color w:val="auto"/>
        </w:rPr>
      </w:pPr>
    </w:p>
    <w:p>
      <w:pPr>
        <w:spacing w:after="0" w:line="21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18"/>
          <w:szCs w:val="18"/>
          <w:color w:val="auto"/>
        </w:rPr>
        <w:t>Recent market indicators show a rise in inflation, and the Federal Reserve has raised certain benchmark interest rates in an effort to slow inflation. As inflation increases, certain of our portfolio companies may be impacted, which could adversely affect their operating results and impact their ability to pay interest and principal on our loans. In addition, a decrease in our portfolio companies’ operating results may adversely impact the fair value of those investments, which could result in future realized or unrealized losses, reducing our net assets from operations.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87" w:lineRule="exact"/>
        <w:rPr>
          <w:sz w:val="20"/>
          <w:szCs w:val="20"/>
          <w:color w:val="auto"/>
        </w:rPr>
      </w:pPr>
    </w:p>
    <w:p>
      <w:pPr>
        <w:jc w:val="both"/>
        <w:ind w:firstLine="749"/>
        <w:spacing w:after="0" w:line="250" w:lineRule="exact"/>
        <w:rPr>
          <w:sz w:val="20"/>
          <w:szCs w:val="20"/>
          <w:color w:val="auto"/>
        </w:rPr>
      </w:pPr>
      <w:r>
        <w:rPr>
          <w:rFonts w:ascii="Times New Roman" w:cs="Times New Roman" w:eastAsia="Times New Roman" w:hAnsi="Times New Roman"/>
          <w:sz w:val="18"/>
          <w:szCs w:val="18"/>
          <w:color w:val="auto"/>
        </w:rPr>
        <w:t>Other than pursuant to our dividend reinvestment plan, and except as previously reported by us on our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we did not sell any securities during the period covered by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that were not registered under the Securities Act.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0520" w:type="dxa"/>
            <w:vAlign w:val="bottom"/>
            <w:gridSpan w:val="24"/>
          </w:tcPr>
          <w:p>
            <w:pPr>
              <w:ind w:left="4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 to exhibits previously filed with the SEC:</w:t>
            </w:r>
          </w:p>
        </w:tc>
        <w:tc>
          <w:tcPr>
            <w:tcW w:w="0" w:type="dxa"/>
            <w:vAlign w:val="bottom"/>
          </w:tcPr>
          <w:p>
            <w:pPr>
              <w:spacing w:after="0"/>
              <w:rPr>
                <w:sz w:val="1"/>
                <w:szCs w:val="1"/>
                <w:color w:val="auto"/>
              </w:rPr>
            </w:pPr>
          </w:p>
        </w:tc>
      </w:tr>
      <w:tr>
        <w:trPr>
          <w:trHeight w:val="297"/>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2980" w:type="dxa"/>
            <w:vAlign w:val="bottom"/>
            <w:gridSpan w:val="9"/>
            <w:vMerge w:val="restart"/>
          </w:tcPr>
          <w:p>
            <w:pPr>
              <w:spacing w:after="0"/>
              <w:rPr>
                <w:rFonts w:ascii="Times New Roman" w:cs="Times New Roman" w:eastAsia="Times New Roman" w:hAnsi="Times New Roman"/>
                <w:sz w:val="18"/>
                <w:szCs w:val="18"/>
                <w:color w:val="0000FF"/>
              </w:rPr>
            </w:pPr>
            <w:hyperlink r:id="rId697">
              <w:r>
                <w:rPr>
                  <w:rFonts w:ascii="Times New Roman" w:cs="Times New Roman" w:eastAsia="Times New Roman" w:hAnsi="Times New Roman"/>
                  <w:sz w:val="18"/>
                  <w:szCs w:val="18"/>
                  <w:color w:val="0000FF"/>
                </w:rPr>
                <w:t>Articles of Amendment and Restatement</w:t>
              </w:r>
            </w:hyperlink>
          </w:p>
        </w:tc>
        <w:tc>
          <w:tcPr>
            <w:tcW w:w="14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5"/>
              </w:rPr>
            </w:pPr>
            <w:hyperlink r:id="rId697">
              <w:r>
                <w:rPr>
                  <w:rFonts w:ascii="Times New Roman" w:cs="Times New Roman" w:eastAsia="Times New Roman" w:hAnsi="Times New Roman"/>
                  <w:sz w:val="12"/>
                  <w:szCs w:val="12"/>
                  <w:color w:val="0000FF"/>
                  <w:w w:val="85"/>
                </w:rPr>
                <w:t>(1)</w:t>
              </w:r>
            </w:hyperlink>
          </w:p>
        </w:tc>
        <w:tc>
          <w:tcPr>
            <w:tcW w:w="540" w:type="dxa"/>
            <w:vAlign w:val="bottom"/>
            <w:gridSpan w:val="2"/>
            <w:vMerge w:val="restart"/>
          </w:tcPr>
          <w:p>
            <w:pPr>
              <w:spacing w:after="0"/>
              <w:rPr>
                <w:sz w:val="24"/>
                <w:szCs w:val="24"/>
                <w:color w:val="auto"/>
              </w:rPr>
            </w:pPr>
          </w:p>
        </w:tc>
        <w:tc>
          <w:tcPr>
            <w:tcW w:w="320" w:type="dxa"/>
            <w:vAlign w:val="bottom"/>
            <w:gridSpan w:val="2"/>
            <w:vMerge w:val="restart"/>
          </w:tcPr>
          <w:p>
            <w:pPr>
              <w:spacing w:after="0"/>
              <w:rPr>
                <w:sz w:val="24"/>
                <w:szCs w:val="24"/>
                <w:color w:val="auto"/>
              </w:rPr>
            </w:pPr>
          </w:p>
        </w:tc>
        <w:tc>
          <w:tcPr>
            <w:tcW w:w="634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980" w:type="dxa"/>
            <w:vAlign w:val="bottom"/>
            <w:tcBorders>
              <w:bottom w:val="single" w:sz="8" w:color="0000FF"/>
            </w:tcBorders>
            <w:gridSpan w:val="9"/>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6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1740" w:type="dxa"/>
            <w:vAlign w:val="bottom"/>
            <w:gridSpan w:val="5"/>
            <w:vMerge w:val="restart"/>
          </w:tcPr>
          <w:p>
            <w:pPr>
              <w:spacing w:after="0"/>
              <w:rPr>
                <w:rFonts w:ascii="Times New Roman" w:cs="Times New Roman" w:eastAsia="Times New Roman" w:hAnsi="Times New Roman"/>
                <w:sz w:val="18"/>
                <w:szCs w:val="18"/>
                <w:color w:val="0000FF"/>
              </w:rPr>
            </w:pPr>
            <w:hyperlink r:id="rId698">
              <w:r>
                <w:rPr>
                  <w:rFonts w:ascii="Times New Roman" w:cs="Times New Roman" w:eastAsia="Times New Roman" w:hAnsi="Times New Roman"/>
                  <w:sz w:val="18"/>
                  <w:szCs w:val="18"/>
                  <w:color w:val="0000FF"/>
                </w:rPr>
                <w:t>Articles of Amendment</w:t>
              </w:r>
            </w:hyperlink>
          </w:p>
        </w:tc>
        <w:tc>
          <w:tcPr>
            <w:tcW w:w="16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99"/>
              </w:rPr>
            </w:pPr>
            <w:hyperlink r:id="rId698">
              <w:r>
                <w:rPr>
                  <w:rFonts w:ascii="Times New Roman" w:cs="Times New Roman" w:eastAsia="Times New Roman" w:hAnsi="Times New Roman"/>
                  <w:sz w:val="12"/>
                  <w:szCs w:val="12"/>
                  <w:color w:val="0000FF"/>
                  <w:w w:val="99"/>
                </w:rPr>
                <w:t>(2)</w:t>
              </w:r>
            </w:hyperlink>
          </w:p>
        </w:tc>
        <w:tc>
          <w:tcPr>
            <w:tcW w:w="1120" w:type="dxa"/>
            <w:vAlign w:val="bottom"/>
            <w:gridSpan w:val="3"/>
            <w:vMerge w:val="restart"/>
          </w:tcPr>
          <w:p>
            <w:pPr>
              <w:spacing w:after="0"/>
              <w:rPr>
                <w:sz w:val="24"/>
                <w:szCs w:val="24"/>
                <w:color w:val="auto"/>
              </w:rPr>
            </w:pPr>
          </w:p>
        </w:tc>
        <w:tc>
          <w:tcPr>
            <w:tcW w:w="640" w:type="dxa"/>
            <w:vAlign w:val="bottom"/>
            <w:gridSpan w:val="3"/>
            <w:vMerge w:val="restart"/>
          </w:tcPr>
          <w:p>
            <w:pPr>
              <w:spacing w:after="0"/>
              <w:rPr>
                <w:sz w:val="24"/>
                <w:szCs w:val="24"/>
                <w:color w:val="auto"/>
              </w:rPr>
            </w:pPr>
          </w:p>
        </w:tc>
        <w:tc>
          <w:tcPr>
            <w:tcW w:w="320" w:type="dxa"/>
            <w:vAlign w:val="bottom"/>
            <w:gridSpan w:val="2"/>
            <w:vMerge w:val="restart"/>
          </w:tcPr>
          <w:p>
            <w:pPr>
              <w:spacing w:after="0"/>
              <w:rPr>
                <w:sz w:val="24"/>
                <w:szCs w:val="24"/>
                <w:color w:val="auto"/>
              </w:rPr>
            </w:pPr>
          </w:p>
        </w:tc>
        <w:tc>
          <w:tcPr>
            <w:tcW w:w="634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740" w:type="dxa"/>
            <w:vAlign w:val="bottom"/>
            <w:tcBorders>
              <w:bottom w:val="single" w:sz="8" w:color="0000FF"/>
            </w:tcBorders>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6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2880" w:type="dxa"/>
            <w:vAlign w:val="bottom"/>
            <w:gridSpan w:val="8"/>
            <w:vMerge w:val="restart"/>
          </w:tcPr>
          <w:p>
            <w:pPr>
              <w:spacing w:after="0"/>
              <w:rPr>
                <w:rFonts w:ascii="Times New Roman" w:cs="Times New Roman" w:eastAsia="Times New Roman" w:hAnsi="Times New Roman"/>
                <w:sz w:val="18"/>
                <w:szCs w:val="18"/>
                <w:color w:val="0000FF"/>
              </w:rPr>
            </w:pPr>
            <w:hyperlink r:id="rId699">
              <w:r>
                <w:rPr>
                  <w:rFonts w:ascii="Times New Roman" w:cs="Times New Roman" w:eastAsia="Times New Roman" w:hAnsi="Times New Roman"/>
                  <w:sz w:val="18"/>
                  <w:szCs w:val="18"/>
                  <w:color w:val="0000FF"/>
                </w:rPr>
                <w:t>Second Amended and Restated Bylaws</w:t>
              </w:r>
            </w:hyperlink>
          </w:p>
        </w:tc>
        <w:tc>
          <w:tcPr>
            <w:tcW w:w="140" w:type="dxa"/>
            <w:vAlign w:val="bottom"/>
            <w:tcBorders>
              <w:bottom w:val="single" w:sz="8" w:color="0000FF"/>
            </w:tcBorders>
            <w:gridSpan w:val="2"/>
          </w:tcPr>
          <w:p>
            <w:pPr>
              <w:jc w:val="right"/>
              <w:spacing w:after="0"/>
              <w:rPr>
                <w:rFonts w:ascii="Times New Roman" w:cs="Times New Roman" w:eastAsia="Times New Roman" w:hAnsi="Times New Roman"/>
                <w:sz w:val="12"/>
                <w:szCs w:val="12"/>
                <w:color w:val="0000FF"/>
                <w:w w:val="85"/>
              </w:rPr>
            </w:pPr>
            <w:hyperlink r:id="rId699">
              <w:r>
                <w:rPr>
                  <w:rFonts w:ascii="Times New Roman" w:cs="Times New Roman" w:eastAsia="Times New Roman" w:hAnsi="Times New Roman"/>
                  <w:sz w:val="12"/>
                  <w:szCs w:val="12"/>
                  <w:color w:val="0000FF"/>
                  <w:w w:val="85"/>
                </w:rPr>
                <w:t>(2)</w:t>
              </w:r>
            </w:hyperlink>
          </w:p>
        </w:tc>
        <w:tc>
          <w:tcPr>
            <w:tcW w:w="640" w:type="dxa"/>
            <w:vAlign w:val="bottom"/>
            <w:gridSpan w:val="3"/>
            <w:vMerge w:val="restart"/>
          </w:tcPr>
          <w:p>
            <w:pPr>
              <w:spacing w:after="0"/>
              <w:rPr>
                <w:sz w:val="24"/>
                <w:szCs w:val="24"/>
                <w:color w:val="auto"/>
              </w:rPr>
            </w:pPr>
          </w:p>
        </w:tc>
        <w:tc>
          <w:tcPr>
            <w:tcW w:w="320" w:type="dxa"/>
            <w:vAlign w:val="bottom"/>
            <w:gridSpan w:val="2"/>
            <w:vMerge w:val="restart"/>
          </w:tcPr>
          <w:p>
            <w:pPr>
              <w:spacing w:after="0"/>
              <w:rPr>
                <w:sz w:val="24"/>
                <w:szCs w:val="24"/>
                <w:color w:val="auto"/>
              </w:rPr>
            </w:pPr>
          </w:p>
        </w:tc>
        <w:tc>
          <w:tcPr>
            <w:tcW w:w="634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880" w:type="dxa"/>
            <w:vAlign w:val="bottom"/>
            <w:tcBorders>
              <w:bottom w:val="single" w:sz="8" w:color="0000FF"/>
            </w:tcBorders>
            <w:gridSpan w:val="8"/>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6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10320" w:type="dxa"/>
            <w:vAlign w:val="bottom"/>
            <w:gridSpan w:val="23"/>
          </w:tcPr>
          <w:p>
            <w:pPr>
              <w:spacing w:after="0"/>
              <w:rPr>
                <w:rFonts w:ascii="Times New Roman" w:cs="Times New Roman" w:eastAsia="Times New Roman" w:hAnsi="Times New Roman"/>
                <w:sz w:val="18"/>
                <w:szCs w:val="18"/>
                <w:color w:val="0000FF"/>
              </w:rPr>
            </w:pPr>
            <w:hyperlink r:id="rId700">
              <w:r>
                <w:rPr>
                  <w:rFonts w:ascii="Times New Roman" w:cs="Times New Roman" w:eastAsia="Times New Roman" w:hAnsi="Times New Roman"/>
                  <w:sz w:val="18"/>
                  <w:szCs w:val="18"/>
                  <w:color w:val="0000FF"/>
                </w:rPr>
                <w:t>Indenture, dated July 28, 2022, by and between Runway Growth Finance Corp. and US Bank Trust Company, National Association as</w:t>
              </w:r>
            </w:hyperlink>
          </w:p>
        </w:tc>
        <w:tc>
          <w:tcPr>
            <w:tcW w:w="0" w:type="dxa"/>
            <w:vAlign w:val="bottom"/>
          </w:tcPr>
          <w:p>
            <w:pPr>
              <w:spacing w:after="0"/>
              <w:rPr>
                <w:sz w:val="1"/>
                <w:szCs w:val="1"/>
                <w:color w:val="auto"/>
              </w:rPr>
            </w:pPr>
          </w:p>
        </w:tc>
      </w:tr>
      <w:tr>
        <w:trPr>
          <w:trHeight w:val="88"/>
        </w:trPr>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top w:val="single" w:sz="8" w:color="0000FF"/>
              <w:bottom w:val="single" w:sz="8" w:color="0000FF"/>
            </w:tcBorders>
            <w:vMerge w:val="restart"/>
          </w:tcPr>
          <w:p>
            <w:pPr>
              <w:spacing w:after="0" w:line="169" w:lineRule="exact"/>
              <w:rPr>
                <w:rFonts w:ascii="Times New Roman" w:cs="Times New Roman" w:eastAsia="Times New Roman" w:hAnsi="Times New Roman"/>
                <w:sz w:val="18"/>
                <w:szCs w:val="18"/>
                <w:color w:val="0000FF"/>
                <w:w w:val="95"/>
              </w:rPr>
            </w:pPr>
            <w:hyperlink r:id="rId700">
              <w:r>
                <w:rPr>
                  <w:rFonts w:ascii="Times New Roman" w:cs="Times New Roman" w:eastAsia="Times New Roman" w:hAnsi="Times New Roman"/>
                  <w:sz w:val="18"/>
                  <w:szCs w:val="18"/>
                  <w:color w:val="0000FF"/>
                  <w:w w:val="95"/>
                </w:rPr>
                <w:t>trustee</w:t>
              </w:r>
            </w:hyperlink>
          </w:p>
        </w:tc>
        <w:tc>
          <w:tcPr>
            <w:tcW w:w="140" w:type="dxa"/>
            <w:vAlign w:val="bottom"/>
            <w:tcBorders>
              <w:top w:val="single" w:sz="8" w:color="0000FF"/>
              <w:bottom w:val="single" w:sz="8" w:color="0000FF"/>
            </w:tcBorders>
            <w:gridSpan w:val="2"/>
          </w:tcPr>
          <w:p>
            <w:pPr>
              <w:jc w:val="right"/>
              <w:spacing w:after="0" w:line="75" w:lineRule="exact"/>
              <w:rPr>
                <w:rFonts w:ascii="Times New Roman" w:cs="Times New Roman" w:eastAsia="Times New Roman" w:hAnsi="Times New Roman"/>
                <w:sz w:val="8"/>
                <w:szCs w:val="8"/>
                <w:color w:val="0000FF"/>
              </w:rPr>
            </w:pPr>
            <w:hyperlink r:id="rId700">
              <w:r>
                <w:rPr>
                  <w:rFonts w:ascii="Times New Roman" w:cs="Times New Roman" w:eastAsia="Times New Roman" w:hAnsi="Times New Roman"/>
                  <w:sz w:val="8"/>
                  <w:szCs w:val="8"/>
                  <w:color w:val="0000FF"/>
                </w:rPr>
                <w:t>(3)</w:t>
              </w:r>
            </w:hyperlink>
          </w:p>
        </w:tc>
        <w:tc>
          <w:tcPr>
            <w:tcW w:w="1180" w:type="dxa"/>
            <w:vAlign w:val="bottom"/>
            <w:tcBorders>
              <w:top w:val="single" w:sz="8" w:color="0000FF"/>
              <w:bottom w:val="single" w:sz="8" w:color="0000FF"/>
            </w:tcBorders>
            <w:gridSpan w:val="3"/>
            <w:vMerge w:val="restart"/>
          </w:tcPr>
          <w:p>
            <w:pPr>
              <w:spacing w:after="0"/>
              <w:rPr>
                <w:sz w:val="7"/>
                <w:szCs w:val="7"/>
                <w:color w:val="auto"/>
              </w:rPr>
            </w:pPr>
          </w:p>
        </w:tc>
        <w:tc>
          <w:tcPr>
            <w:tcW w:w="1860" w:type="dxa"/>
            <w:vAlign w:val="bottom"/>
            <w:tcBorders>
              <w:top w:val="single" w:sz="8" w:color="0000FF"/>
              <w:bottom w:val="single" w:sz="8" w:color="0000FF"/>
            </w:tcBorders>
            <w:gridSpan w:val="7"/>
            <w:vMerge w:val="restart"/>
          </w:tcPr>
          <w:p>
            <w:pPr>
              <w:spacing w:after="0"/>
              <w:rPr>
                <w:sz w:val="7"/>
                <w:szCs w:val="7"/>
                <w:color w:val="auto"/>
              </w:rPr>
            </w:pPr>
          </w:p>
        </w:tc>
        <w:tc>
          <w:tcPr>
            <w:tcW w:w="320" w:type="dxa"/>
            <w:vAlign w:val="bottom"/>
            <w:tcBorders>
              <w:top w:val="single" w:sz="8" w:color="0000FF"/>
              <w:bottom w:val="single" w:sz="8" w:color="0000FF"/>
            </w:tcBorders>
            <w:gridSpan w:val="2"/>
            <w:vMerge w:val="restart"/>
          </w:tcPr>
          <w:p>
            <w:pPr>
              <w:spacing w:after="0"/>
              <w:rPr>
                <w:sz w:val="7"/>
                <w:szCs w:val="7"/>
                <w:color w:val="auto"/>
              </w:rPr>
            </w:pPr>
          </w:p>
        </w:tc>
        <w:tc>
          <w:tcPr>
            <w:tcW w:w="6320" w:type="dxa"/>
            <w:vAlign w:val="bottom"/>
            <w:tcBorders>
              <w:top w:val="single" w:sz="8" w:color="0000FF"/>
              <w:bottom w:val="single" w:sz="8" w:color="0000FF"/>
            </w:tcBorders>
            <w:gridSpan w:val="7"/>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Borders>
              <w:bottom w:val="single" w:sz="8" w:color="0000FF"/>
            </w:tcBorders>
            <w:vMerge w:val="continue"/>
          </w:tcPr>
          <w:p>
            <w:pPr>
              <w:spacing w:after="0"/>
              <w:rPr>
                <w:sz w:val="5"/>
                <w:szCs w:val="5"/>
                <w:color w:val="auto"/>
              </w:rPr>
            </w:pPr>
          </w:p>
        </w:tc>
        <w:tc>
          <w:tcPr>
            <w:tcW w:w="20" w:type="dxa"/>
            <w:vAlign w:val="bottom"/>
            <w:tcBorders>
              <w:bottom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860" w:type="dxa"/>
            <w:vAlign w:val="bottom"/>
            <w:gridSpan w:val="7"/>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6320" w:type="dxa"/>
            <w:vAlign w:val="bottom"/>
            <w:gridSpan w:val="7"/>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10320" w:type="dxa"/>
            <w:vAlign w:val="bottom"/>
            <w:gridSpan w:val="23"/>
          </w:tcPr>
          <w:p>
            <w:pPr>
              <w:spacing w:after="0"/>
              <w:rPr>
                <w:rFonts w:ascii="Times New Roman" w:cs="Times New Roman" w:eastAsia="Times New Roman" w:hAnsi="Times New Roman"/>
                <w:sz w:val="18"/>
                <w:szCs w:val="18"/>
                <w:color w:val="0000FF"/>
              </w:rPr>
            </w:pPr>
            <w:hyperlink r:id="rId701">
              <w:r>
                <w:rPr>
                  <w:rFonts w:ascii="Times New Roman" w:cs="Times New Roman" w:eastAsia="Times New Roman" w:hAnsi="Times New Roman"/>
                  <w:sz w:val="18"/>
                  <w:szCs w:val="18"/>
                  <w:color w:val="0000FF"/>
                </w:rPr>
                <w:t>First Supplemental Indenture, dated July 28, 2022, between Runway Growth Finance Corp. and U.S. Bank Trust Company, National</w:t>
              </w:r>
            </w:hyperlink>
          </w:p>
        </w:tc>
        <w:tc>
          <w:tcPr>
            <w:tcW w:w="0" w:type="dxa"/>
            <w:vAlign w:val="bottom"/>
          </w:tcPr>
          <w:p>
            <w:pPr>
              <w:spacing w:after="0"/>
              <w:rPr>
                <w:sz w:val="1"/>
                <w:szCs w:val="1"/>
                <w:color w:val="auto"/>
              </w:rPr>
            </w:pPr>
          </w:p>
        </w:tc>
      </w:tr>
      <w:tr>
        <w:trPr>
          <w:trHeight w:val="88"/>
        </w:trPr>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tcBorders>
              <w:top w:val="single" w:sz="8" w:color="0000FF"/>
              <w:bottom w:val="single" w:sz="8" w:color="0000FF"/>
            </w:tcBorders>
            <w:gridSpan w:val="4"/>
            <w:vMerge w:val="restart"/>
          </w:tcPr>
          <w:p>
            <w:pPr>
              <w:spacing w:after="0" w:line="169" w:lineRule="exact"/>
              <w:rPr>
                <w:rFonts w:ascii="Times New Roman" w:cs="Times New Roman" w:eastAsia="Times New Roman" w:hAnsi="Times New Roman"/>
                <w:sz w:val="18"/>
                <w:szCs w:val="18"/>
                <w:color w:val="0000FF"/>
              </w:rPr>
            </w:pPr>
            <w:hyperlink r:id="rId701">
              <w:r>
                <w:rPr>
                  <w:rFonts w:ascii="Times New Roman" w:cs="Times New Roman" w:eastAsia="Times New Roman" w:hAnsi="Times New Roman"/>
                  <w:sz w:val="18"/>
                  <w:szCs w:val="18"/>
                  <w:color w:val="0000FF"/>
                </w:rPr>
                <w:t>Association, as trustee</w:t>
              </w:r>
            </w:hyperlink>
          </w:p>
        </w:tc>
        <w:tc>
          <w:tcPr>
            <w:tcW w:w="140" w:type="dxa"/>
            <w:vAlign w:val="bottom"/>
            <w:tcBorders>
              <w:top w:val="single" w:sz="8" w:color="0000FF"/>
              <w:bottom w:val="single" w:sz="8" w:color="0000FF"/>
            </w:tcBorders>
            <w:gridSpan w:val="2"/>
          </w:tcPr>
          <w:p>
            <w:pPr>
              <w:jc w:val="right"/>
              <w:spacing w:after="0" w:line="75" w:lineRule="exact"/>
              <w:rPr>
                <w:rFonts w:ascii="Times New Roman" w:cs="Times New Roman" w:eastAsia="Times New Roman" w:hAnsi="Times New Roman"/>
                <w:sz w:val="8"/>
                <w:szCs w:val="8"/>
                <w:color w:val="0000FF"/>
              </w:rPr>
            </w:pPr>
            <w:hyperlink r:id="rId701">
              <w:r>
                <w:rPr>
                  <w:rFonts w:ascii="Times New Roman" w:cs="Times New Roman" w:eastAsia="Times New Roman" w:hAnsi="Times New Roman"/>
                  <w:sz w:val="8"/>
                  <w:szCs w:val="8"/>
                  <w:color w:val="0000FF"/>
                </w:rPr>
                <w:t>(3)</w:t>
              </w:r>
            </w:hyperlink>
          </w:p>
        </w:tc>
        <w:tc>
          <w:tcPr>
            <w:tcW w:w="1860" w:type="dxa"/>
            <w:vAlign w:val="bottom"/>
            <w:tcBorders>
              <w:top w:val="single" w:sz="8" w:color="0000FF"/>
              <w:bottom w:val="single" w:sz="8" w:color="0000FF"/>
            </w:tcBorders>
            <w:gridSpan w:val="7"/>
            <w:vMerge w:val="restart"/>
          </w:tcPr>
          <w:p>
            <w:pPr>
              <w:spacing w:after="0"/>
              <w:rPr>
                <w:sz w:val="7"/>
                <w:szCs w:val="7"/>
                <w:color w:val="auto"/>
              </w:rPr>
            </w:pPr>
          </w:p>
        </w:tc>
        <w:tc>
          <w:tcPr>
            <w:tcW w:w="320" w:type="dxa"/>
            <w:vAlign w:val="bottom"/>
            <w:tcBorders>
              <w:top w:val="single" w:sz="8" w:color="0000FF"/>
              <w:bottom w:val="single" w:sz="8" w:color="0000FF"/>
            </w:tcBorders>
            <w:gridSpan w:val="2"/>
            <w:vMerge w:val="restart"/>
          </w:tcPr>
          <w:p>
            <w:pPr>
              <w:spacing w:after="0"/>
              <w:rPr>
                <w:sz w:val="7"/>
                <w:szCs w:val="7"/>
                <w:color w:val="auto"/>
              </w:rPr>
            </w:pPr>
          </w:p>
        </w:tc>
        <w:tc>
          <w:tcPr>
            <w:tcW w:w="5620" w:type="dxa"/>
            <w:vAlign w:val="bottom"/>
            <w:tcBorders>
              <w:top w:val="single" w:sz="8" w:color="0000FF"/>
              <w:bottom w:val="single" w:sz="8" w:color="0000FF"/>
            </w:tcBorders>
            <w:gridSpan w:val="5"/>
            <w:vMerge w:val="restart"/>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60" w:type="dxa"/>
            <w:vAlign w:val="bottom"/>
            <w:tcBorders>
              <w:bottom w:val="single" w:sz="8" w:color="0000FF"/>
            </w:tcBorders>
            <w:gridSpan w:val="4"/>
            <w:vMerge w:val="continue"/>
          </w:tcPr>
          <w:p>
            <w:pPr>
              <w:spacing w:after="0"/>
              <w:rPr>
                <w:sz w:val="5"/>
                <w:szCs w:val="5"/>
                <w:color w:val="auto"/>
              </w:rPr>
            </w:pPr>
          </w:p>
        </w:tc>
        <w:tc>
          <w:tcPr>
            <w:tcW w:w="140" w:type="dxa"/>
            <w:vAlign w:val="bottom"/>
            <w:gridSpan w:val="2"/>
          </w:tcPr>
          <w:p>
            <w:pPr>
              <w:spacing w:after="0"/>
              <w:rPr>
                <w:sz w:val="5"/>
                <w:szCs w:val="5"/>
                <w:color w:val="auto"/>
              </w:rPr>
            </w:pPr>
          </w:p>
        </w:tc>
        <w:tc>
          <w:tcPr>
            <w:tcW w:w="1860" w:type="dxa"/>
            <w:vAlign w:val="bottom"/>
            <w:gridSpan w:val="7"/>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5620" w:type="dxa"/>
            <w:vAlign w:val="bottom"/>
            <w:gridSpan w:val="5"/>
            <w:vMerge w:val="continue"/>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24"/>
                <w:szCs w:val="24"/>
                <w:color w:val="auto"/>
              </w:rPr>
            </w:pPr>
          </w:p>
        </w:tc>
        <w:tc>
          <w:tcPr>
            <w:tcW w:w="10320" w:type="dxa"/>
            <w:vAlign w:val="bottom"/>
            <w:gridSpan w:val="23"/>
          </w:tcPr>
          <w:p>
            <w:pPr>
              <w:spacing w:after="0"/>
              <w:rPr>
                <w:rFonts w:ascii="Times New Roman" w:cs="Times New Roman" w:eastAsia="Times New Roman" w:hAnsi="Times New Roman"/>
                <w:sz w:val="18"/>
                <w:szCs w:val="18"/>
                <w:color w:val="0000FF"/>
              </w:rPr>
            </w:pPr>
            <w:hyperlink r:id="rId702">
              <w:r>
                <w:rPr>
                  <w:rFonts w:ascii="Times New Roman" w:cs="Times New Roman" w:eastAsia="Times New Roman" w:hAnsi="Times New Roman"/>
                  <w:sz w:val="18"/>
                  <w:szCs w:val="18"/>
                  <w:color w:val="0000FF"/>
                </w:rPr>
                <w:t>Underwriting Agreement, dated July 21, 2022, by and among the Company, Runway Growth Capital LLC and Oppenheimer &amp; Co. Inc., as</w:t>
              </w:r>
            </w:hyperlink>
          </w:p>
        </w:tc>
        <w:tc>
          <w:tcPr>
            <w:tcW w:w="0" w:type="dxa"/>
            <w:vAlign w:val="bottom"/>
          </w:tcPr>
          <w:p>
            <w:pPr>
              <w:spacing w:after="0"/>
              <w:rPr>
                <w:sz w:val="1"/>
                <w:szCs w:val="1"/>
                <w:color w:val="auto"/>
              </w:rPr>
            </w:pPr>
          </w:p>
        </w:tc>
      </w:tr>
      <w:tr>
        <w:trPr>
          <w:trHeight w:val="88"/>
        </w:trPr>
        <w:tc>
          <w:tcPr>
            <w:tcW w:w="7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520" w:type="dxa"/>
            <w:vAlign w:val="bottom"/>
            <w:tcBorders>
              <w:top w:val="single" w:sz="8" w:color="0000FF"/>
              <w:bottom w:val="single" w:sz="8" w:color="0000FF"/>
            </w:tcBorders>
            <w:gridSpan w:val="12"/>
            <w:vMerge w:val="restart"/>
          </w:tcPr>
          <w:p>
            <w:pPr>
              <w:spacing w:after="0" w:line="169" w:lineRule="exact"/>
              <w:rPr>
                <w:rFonts w:ascii="Times New Roman" w:cs="Times New Roman" w:eastAsia="Times New Roman" w:hAnsi="Times New Roman"/>
                <w:sz w:val="18"/>
                <w:szCs w:val="18"/>
                <w:color w:val="0000FF"/>
              </w:rPr>
            </w:pPr>
            <w:hyperlink r:id="rId702">
              <w:r>
                <w:rPr>
                  <w:rFonts w:ascii="Times New Roman" w:cs="Times New Roman" w:eastAsia="Times New Roman" w:hAnsi="Times New Roman"/>
                  <w:sz w:val="18"/>
                  <w:szCs w:val="18"/>
                  <w:color w:val="0000FF"/>
                </w:rPr>
                <w:t>representative of each of the several underwriter</w:t>
              </w:r>
            </w:hyperlink>
          </w:p>
        </w:tc>
        <w:tc>
          <w:tcPr>
            <w:tcW w:w="140" w:type="dxa"/>
            <w:vAlign w:val="bottom"/>
            <w:tcBorders>
              <w:top w:val="single" w:sz="8" w:color="0000FF"/>
              <w:bottom w:val="single" w:sz="8" w:color="0000FF"/>
            </w:tcBorders>
          </w:tcPr>
          <w:p>
            <w:pPr>
              <w:jc w:val="right"/>
              <w:spacing w:after="0" w:line="75" w:lineRule="exact"/>
              <w:rPr>
                <w:rFonts w:ascii="Times New Roman" w:cs="Times New Roman" w:eastAsia="Times New Roman" w:hAnsi="Times New Roman"/>
                <w:sz w:val="8"/>
                <w:szCs w:val="8"/>
                <w:color w:val="0000FF"/>
              </w:rPr>
            </w:pPr>
            <w:hyperlink r:id="rId702">
              <w:r>
                <w:rPr>
                  <w:rFonts w:ascii="Times New Roman" w:cs="Times New Roman" w:eastAsia="Times New Roman" w:hAnsi="Times New Roman"/>
                  <w:sz w:val="8"/>
                  <w:szCs w:val="8"/>
                  <w:color w:val="0000FF"/>
                </w:rPr>
                <w:t>(4)</w:t>
              </w:r>
            </w:hyperlink>
          </w:p>
        </w:tc>
        <w:tc>
          <w:tcPr>
            <w:tcW w:w="320" w:type="dxa"/>
            <w:vAlign w:val="bottom"/>
            <w:tcBorders>
              <w:top w:val="single" w:sz="8" w:color="0000FF"/>
              <w:bottom w:val="single" w:sz="8" w:color="0000FF"/>
            </w:tcBorders>
            <w:gridSpan w:val="2"/>
            <w:vMerge w:val="restart"/>
          </w:tcPr>
          <w:p>
            <w:pPr>
              <w:spacing w:after="0"/>
              <w:rPr>
                <w:sz w:val="7"/>
                <w:szCs w:val="7"/>
                <w:color w:val="auto"/>
              </w:rPr>
            </w:pPr>
          </w:p>
        </w:tc>
        <w:tc>
          <w:tcPr>
            <w:tcW w:w="6100" w:type="dxa"/>
            <w:vAlign w:val="bottom"/>
            <w:tcBorders>
              <w:top w:val="single" w:sz="8" w:color="0000FF"/>
              <w:bottom w:val="single" w:sz="8" w:color="0000FF"/>
            </w:tcBorders>
            <w:gridSpan w:val="6"/>
            <w:vMerge w:val="restart"/>
          </w:tcPr>
          <w:p>
            <w:pPr>
              <w:spacing w:after="0"/>
              <w:rPr>
                <w:sz w:val="7"/>
                <w:szCs w:val="7"/>
                <w:color w:val="auto"/>
              </w:rPr>
            </w:pPr>
          </w:p>
        </w:tc>
        <w:tc>
          <w:tcPr>
            <w:tcW w:w="24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520" w:type="dxa"/>
            <w:vAlign w:val="bottom"/>
            <w:tcBorders>
              <w:bottom w:val="single" w:sz="8" w:color="0000FF"/>
            </w:tcBorders>
            <w:gridSpan w:val="12"/>
            <w:vMerge w:val="continue"/>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6100" w:type="dxa"/>
            <w:vAlign w:val="bottom"/>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24"/>
                <w:szCs w:val="24"/>
                <w:color w:val="auto"/>
              </w:rPr>
            </w:pPr>
          </w:p>
        </w:tc>
        <w:tc>
          <w:tcPr>
            <w:tcW w:w="3840" w:type="dxa"/>
            <w:vAlign w:val="bottom"/>
            <w:gridSpan w:val="14"/>
            <w:vMerge w:val="restart"/>
          </w:tcPr>
          <w:p>
            <w:pPr>
              <w:spacing w:after="0"/>
              <w:rPr>
                <w:rFonts w:ascii="Times New Roman" w:cs="Times New Roman" w:eastAsia="Times New Roman" w:hAnsi="Times New Roman"/>
                <w:sz w:val="18"/>
                <w:szCs w:val="18"/>
                <w:color w:val="0000FF"/>
              </w:rPr>
            </w:pPr>
            <w:hyperlink r:id="rId703">
              <w:r>
                <w:rPr>
                  <w:rFonts w:ascii="Times New Roman" w:cs="Times New Roman" w:eastAsia="Times New Roman" w:hAnsi="Times New Roman"/>
                  <w:sz w:val="18"/>
                  <w:szCs w:val="18"/>
                  <w:color w:val="0000FF"/>
                </w:rPr>
                <w:t>Amended and Restated Dividend Reinvestment Plan</w:t>
              </w:r>
            </w:hyperlink>
          </w:p>
        </w:tc>
        <w:tc>
          <w:tcPr>
            <w:tcW w:w="140" w:type="dxa"/>
            <w:vAlign w:val="bottom"/>
            <w:tcBorders>
              <w:bottom w:val="single" w:sz="8" w:color="0000FF"/>
            </w:tcBorders>
          </w:tcPr>
          <w:p>
            <w:pPr>
              <w:jc w:val="right"/>
              <w:spacing w:after="0"/>
              <w:rPr>
                <w:rFonts w:ascii="Times New Roman" w:cs="Times New Roman" w:eastAsia="Times New Roman" w:hAnsi="Times New Roman"/>
                <w:sz w:val="12"/>
                <w:szCs w:val="12"/>
                <w:color w:val="0000FF"/>
                <w:w w:val="85"/>
              </w:rPr>
            </w:pPr>
            <w:hyperlink r:id="rId703">
              <w:r>
                <w:rPr>
                  <w:rFonts w:ascii="Times New Roman" w:cs="Times New Roman" w:eastAsia="Times New Roman" w:hAnsi="Times New Roman"/>
                  <w:sz w:val="12"/>
                  <w:szCs w:val="12"/>
                  <w:color w:val="0000FF"/>
                  <w:w w:val="85"/>
                </w:rPr>
                <w:t>(5)</w:t>
              </w:r>
            </w:hyperlink>
          </w:p>
        </w:tc>
        <w:tc>
          <w:tcPr>
            <w:tcW w:w="6340" w:type="dxa"/>
            <w:vAlign w:val="bottom"/>
            <w:gridSpan w:val="8"/>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840" w:type="dxa"/>
            <w:vAlign w:val="bottom"/>
            <w:tcBorders>
              <w:bottom w:val="single" w:sz="8" w:color="0000FF"/>
            </w:tcBorders>
            <w:gridSpan w:val="14"/>
            <w:vMerge w:val="continue"/>
          </w:tcPr>
          <w:p>
            <w:pPr>
              <w:spacing w:after="0"/>
              <w:rPr>
                <w:sz w:val="5"/>
                <w:szCs w:val="5"/>
                <w:color w:val="auto"/>
              </w:rPr>
            </w:pPr>
          </w:p>
        </w:tc>
        <w:tc>
          <w:tcPr>
            <w:tcW w:w="140" w:type="dxa"/>
            <w:vAlign w:val="bottom"/>
          </w:tcPr>
          <w:p>
            <w:pPr>
              <w:spacing w:after="0"/>
              <w:rPr>
                <w:sz w:val="5"/>
                <w:szCs w:val="5"/>
                <w:color w:val="auto"/>
              </w:rPr>
            </w:pPr>
          </w:p>
        </w:tc>
        <w:tc>
          <w:tcPr>
            <w:tcW w:w="634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10320" w:type="dxa"/>
            <w:vAlign w:val="bottom"/>
            <w:gridSpan w:val="23"/>
          </w:tcPr>
          <w:p>
            <w:pPr>
              <w:spacing w:after="0" w:line="207"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 of the Securities Exchange Act of 1934, as amended*</w:t>
            </w: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8520" w:type="dxa"/>
            <w:vAlign w:val="bottom"/>
            <w:tcBorders>
              <w:top w:val="single" w:sz="8" w:color="0000FF"/>
              <w:bottom w:val="single" w:sz="8" w:color="0000FF"/>
            </w:tcBorders>
            <w:gridSpan w:val="18"/>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14 of the Securities Exchange Act of 1934, as amended*</w:t>
            </w:r>
          </w:p>
        </w:tc>
        <w:tc>
          <w:tcPr>
            <w:tcW w:w="40" w:type="dxa"/>
            <w:vAlign w:val="bottom"/>
            <w:tcBorders>
              <w:top w:val="single" w:sz="8" w:color="0000FF"/>
            </w:tcBorders>
          </w:tcPr>
          <w:p>
            <w:pPr>
              <w:spacing w:after="0"/>
              <w:rPr>
                <w:sz w:val="24"/>
                <w:szCs w:val="24"/>
                <w:color w:val="auto"/>
              </w:rPr>
            </w:pPr>
          </w:p>
        </w:tc>
        <w:tc>
          <w:tcPr>
            <w:tcW w:w="17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72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906 of the Sarbanes-Oxley Act of 2002*</w:t>
            </w:r>
          </w:p>
        </w:tc>
        <w:tc>
          <w:tcPr>
            <w:tcW w:w="30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260" w:type="dxa"/>
            <w:vAlign w:val="bottom"/>
            <w:tcBorders>
              <w:right w:val="single" w:sz="8" w:color="0000EE"/>
            </w:tcBorders>
            <w:shd w:val="clear" w:color="auto" w:fill="0000FF"/>
          </w:tcPr>
          <w:p>
            <w:pPr>
              <w:spacing w:after="0" w:line="20" w:lineRule="exact"/>
              <w:rPr>
                <w:sz w:val="1"/>
                <w:szCs w:val="1"/>
                <w:color w:val="auto"/>
              </w:rPr>
            </w:pPr>
          </w:p>
        </w:tc>
        <w:tc>
          <w:tcPr>
            <w:tcW w:w="30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0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0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0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0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0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00" w:type="dxa"/>
            <w:vAlign w:val="bottom"/>
          </w:tcPr>
          <w:p>
            <w:pPr>
              <w:spacing w:after="0"/>
              <w:rPr>
                <w:sz w:val="24"/>
                <w:szCs w:val="24"/>
                <w:color w:val="auto"/>
              </w:rPr>
            </w:pPr>
          </w:p>
        </w:tc>
        <w:tc>
          <w:tcPr>
            <w:tcW w:w="103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520" w:firstLine="21"/>
        <w:spacing w:after="0" w:line="586" w:lineRule="auto"/>
        <w:tabs>
          <w:tab w:leader="none" w:pos="91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80" w:hanging="372"/>
        <w:spacing w:after="0" w:line="207" w:lineRule="exact"/>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 on December 19, 2016.</w:t>
      </w:r>
    </w:p>
    <w:p>
      <w:pPr>
        <w:spacing w:after="0" w:line="184" w:lineRule="exact"/>
        <w:rPr>
          <w:rFonts w:ascii="Times New Roman" w:cs="Times New Roman" w:eastAsia="Times New Roman" w:hAnsi="Times New Roman"/>
          <w:sz w:val="18"/>
          <w:szCs w:val="18"/>
          <w:color w:val="auto"/>
        </w:rPr>
      </w:pPr>
    </w:p>
    <w:p>
      <w:pPr>
        <w:ind w:left="380" w:hanging="372"/>
        <w:spacing w:after="0" w:line="207" w:lineRule="exact"/>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 on August 19, 2021.</w:t>
      </w:r>
    </w:p>
    <w:p>
      <w:pPr>
        <w:spacing w:after="0" w:line="171" w:lineRule="exact"/>
        <w:rPr>
          <w:rFonts w:ascii="Times New Roman" w:cs="Times New Roman" w:eastAsia="Times New Roman" w:hAnsi="Times New Roman"/>
          <w:sz w:val="18"/>
          <w:szCs w:val="18"/>
          <w:color w:val="auto"/>
        </w:rPr>
      </w:pPr>
    </w:p>
    <w:p>
      <w:pPr>
        <w:ind w:left="380" w:hanging="372"/>
        <w:spacing w:after="0" w:line="207" w:lineRule="exact"/>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with the SEC on July 28, 2022.</w:t>
      </w:r>
    </w:p>
    <w:p>
      <w:pPr>
        <w:spacing w:after="0" w:line="21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8-K filed with the SEC on July 22, 2022.</w:t>
      </w:r>
    </w:p>
    <w:p>
      <w:pPr>
        <w:spacing w:after="0" w:line="18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Registrant’s Current Report on Form 8-K filed with the SEC on October 27,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0563C1"/>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1089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RUNWAY GROWTH FINANCE CORP.</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3, 2022</w:t>
      </w:r>
    </w:p>
    <w:p>
      <w:pPr>
        <w:spacing w:after="0" w:line="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5715</wp:posOffset>
            </wp:positionV>
            <wp:extent cx="327469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8"/>
          <w:szCs w:val="18"/>
          <w:color w:val="auto"/>
        </w:rPr>
        <w:t>R. David Spreng</w:t>
      </w:r>
    </w:p>
    <w:p>
      <w:pPr>
        <w:spacing w:after="0" w:line="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President, Chief Executive Officer and Chairman of the Board of</w:t>
      </w:r>
    </w:p>
    <w:p>
      <w:pPr>
        <w:ind w:left="6100"/>
        <w:spacing w:after="0"/>
        <w:rPr>
          <w:sz w:val="20"/>
          <w:szCs w:val="20"/>
          <w:color w:val="auto"/>
        </w:rPr>
      </w:pPr>
      <w:r>
        <w:rPr>
          <w:rFonts w:ascii="Times New Roman" w:cs="Times New Roman" w:eastAsia="Times New Roman" w:hAnsi="Times New Roman"/>
          <w:sz w:val="18"/>
          <w:szCs w:val="18"/>
          <w:color w:val="auto"/>
        </w:rPr>
        <w:t>Directors</w:t>
      </w:r>
    </w:p>
    <w:p>
      <w:pPr>
        <w:spacing w:after="0" w:line="205"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Thomas B. Raterman</w:t>
      </w:r>
    </w:p>
    <w:p>
      <w:pPr>
        <w:spacing w:after="0" w:line="2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pacing w:after="0" w:line="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David Spreng, as Chief Executive Officer, certify that:</w:t>
      </w:r>
    </w:p>
    <w:p>
      <w:pPr>
        <w:spacing w:after="0" w:line="225" w:lineRule="exact"/>
        <w:rPr>
          <w:sz w:val="20"/>
          <w:szCs w:val="20"/>
          <w:color w:val="auto"/>
        </w:rPr>
      </w:pPr>
    </w:p>
    <w:p>
      <w:pPr>
        <w:ind w:left="520" w:hanging="512"/>
        <w:spacing w:after="0"/>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From 10-Q of Runway Growth Finance Corp.;</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60" w:val="left"/>
          <w:tab w:leader="none" w:pos="790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2">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R. David Spreng</w:t>
      </w:r>
    </w:p>
    <w:p>
      <w:pPr>
        <w:jc w:val="center"/>
        <w:ind w:left="5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20"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ind w:left="2020"/>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B. Raterman, as Chief Financial Officer, certify that:</w:t>
      </w:r>
    </w:p>
    <w:p>
      <w:pPr>
        <w:spacing w:after="0" w:line="225"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Runway Growth Finance Corp.;</w:t>
      </w:r>
    </w:p>
    <w:p>
      <w:pPr>
        <w:spacing w:after="0" w:line="211"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8"/>
          <w:szCs w:val="18"/>
          <w:color w:val="auto"/>
        </w:rPr>
      </w:pPr>
    </w:p>
    <w:p>
      <w:pPr>
        <w:ind w:left="520" w:right="22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right="260" w:hanging="512"/>
        <w:spacing w:after="0" w:line="258"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ind w:left="1020" w:right="320" w:hanging="503"/>
        <w:spacing w:after="0" w:line="258"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020" w:right="40" w:hanging="503"/>
        <w:spacing w:after="0" w:line="258"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8"/>
          <w:szCs w:val="18"/>
          <w:color w:val="auto"/>
        </w:rPr>
      </w:pPr>
    </w:p>
    <w:p>
      <w:pPr>
        <w:ind w:left="520" w:right="240" w:hanging="512"/>
        <w:spacing w:after="0" w:line="266" w:lineRule="auto"/>
        <w:tabs>
          <w:tab w:leader="none" w:pos="5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020" w:right="440" w:hanging="503"/>
        <w:spacing w:after="0" w:line="266" w:lineRule="auto"/>
        <w:tabs>
          <w:tab w:leader="none" w:pos="10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660" w:val="left"/>
          <w:tab w:leader="none" w:pos="772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17145</wp:posOffset>
            </wp:positionV>
            <wp:extent cx="332613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4">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5"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b w:val="1"/>
          <w:bCs w:val="1"/>
          <w:color w:val="auto"/>
        </w:rPr>
        <w:t>Thomas B. Raterman</w:t>
      </w:r>
    </w:p>
    <w:p>
      <w:pPr>
        <w:ind w:left="77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Runway Growth Finance Corp.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3, 2022</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David Spreng</w:t>
            </w:r>
          </w:p>
        </w:tc>
      </w:tr>
      <w:tr>
        <w:trPr>
          <w:trHeight w:val="160"/>
        </w:trPr>
        <w:tc>
          <w:tcPr>
            <w:tcW w:w="3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2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rPr>
              <w:t>R. David Spreng</w:t>
            </w:r>
          </w:p>
        </w:tc>
      </w:tr>
      <w:tr>
        <w:trPr>
          <w:trHeight w:val="238"/>
        </w:trPr>
        <w:tc>
          <w:tcPr>
            <w:tcW w:w="3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Executive Officer</w:t>
            </w:r>
          </w:p>
        </w:tc>
      </w:tr>
      <w:tr>
        <w:trPr>
          <w:trHeight w:val="533"/>
        </w:trPr>
        <w:tc>
          <w:tcPr>
            <w:tcW w:w="37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of Runway Growth Finance Corp. (the “Company”) on Form 10-Q for the period ending September 30, 2022 as filed with the Securities and Exchange Commission on the date hereof (the “Report”), I certify, pursuant to 18 U.S.C. § 1350, as adopted pursuant to § 906 of the Sarbanes-Oxley Act of 2002, that:</w:t>
      </w:r>
    </w:p>
    <w:p>
      <w:pPr>
        <w:spacing w:after="0" w:line="169" w:lineRule="exact"/>
        <w:rPr>
          <w:sz w:val="20"/>
          <w:szCs w:val="20"/>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620" w:hanging="503"/>
        <w:spacing w:after="0" w:line="266"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3, 2022</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Thomas B. Raterman</w:t>
            </w:r>
          </w:p>
        </w:tc>
      </w:tr>
      <w:tr>
        <w:trPr>
          <w:trHeight w:val="160"/>
        </w:trPr>
        <w:tc>
          <w:tcPr>
            <w:tcW w:w="3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524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b w:val="1"/>
                <w:bCs w:val="1"/>
                <w:color w:val="auto"/>
                <w:w w:val="99"/>
              </w:rPr>
              <w:t>Thomas B. Raterman</w:t>
            </w:r>
          </w:p>
        </w:tc>
      </w:tr>
      <w:tr>
        <w:trPr>
          <w:trHeight w:val="238"/>
        </w:trPr>
        <w:tc>
          <w:tcPr>
            <w:tcW w:w="374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750"/>
        </w:trPr>
        <w:tc>
          <w:tcPr>
            <w:tcW w:w="374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1"/>
    </w:lvl>
  </w:abstractNum>
  <w:abstractNum w:abstractNumId="3">
    <w:nsid w:val="3A95F874"/>
    <w:multiLevelType w:val="hybridMultilevel"/>
    <w:lvl w:ilvl="0">
      <w:lvlJc w:val="left"/>
      <w:lvlText w:val="*"/>
      <w:numFmt w:val="bullet"/>
      <w:start w:val="1"/>
    </w:lvl>
    <w:lvl w:ilvl="1">
      <w:lvlJc w:val="left"/>
      <w:lvlText w:val="(%2)"/>
      <w:numFmt w:val="decimal"/>
      <w:start w:val="2"/>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 "/>
      <w:numFmt w:val="bullet"/>
      <w:start w:val="1"/>
    </w:lvl>
  </w:abstractNum>
  <w:abstractNum w:abstractNumId="6">
    <w:nsid w:val="7C3DBD3D"/>
    <w:multiLevelType w:val="hybridMultilevel"/>
    <w:lvl w:ilvl="0">
      <w:lvlJc w:val="left"/>
      <w:lvlText w:val=" "/>
      <w:numFmt w:val="bullet"/>
      <w:start w:val="1"/>
    </w:lvl>
  </w:abstractNum>
  <w:abstractNum w:abstractNumId="7">
    <w:nsid w:val="737B8DDC"/>
    <w:multiLevelType w:val="hybridMultilevel"/>
    <w:lvl w:ilvl="0">
      <w:lvlJc w:val="left"/>
      <w:lvlText w:val=" "/>
      <w:numFmt w:val="bullet"/>
      <w:start w:val="1"/>
    </w:lvl>
  </w:abstractNum>
  <w:abstractNum w:abstractNumId="8">
    <w:nsid w:val="6CEAF087"/>
    <w:multiLevelType w:val="hybridMultilevel"/>
    <w:lvl w:ilvl="0">
      <w:lvlJc w:val="left"/>
      <w:lvlText w:val=" "/>
      <w:numFmt w:val="bullet"/>
      <w:start w:val="1"/>
    </w:lvl>
  </w:abstractNum>
  <w:abstractNum w:abstractNumId="9">
    <w:nsid w:val="22221A70"/>
    <w:multiLevelType w:val="hybridMultilevel"/>
    <w:lvl w:ilvl="0">
      <w:lvlJc w:val="left"/>
      <w:lvlText w:val=" "/>
      <w:numFmt w:val="bullet"/>
      <w:start w:val="1"/>
    </w:lvl>
  </w:abstractNum>
  <w:abstractNum w:abstractNumId="10">
    <w:nsid w:val="4516DDE9"/>
    <w:multiLevelType w:val="hybridMultilevel"/>
    <w:lvl w:ilvl="0">
      <w:lvlJc w:val="left"/>
      <w:lvlText w:val=" "/>
      <w:numFmt w:val="bullet"/>
      <w:start w:val="1"/>
    </w:lvl>
  </w:abstractNum>
  <w:abstractNum w:abstractNumId="11">
    <w:nsid w:val="3006C83E"/>
    <w:multiLevelType w:val="hybridMultilevel"/>
    <w:lvl w:ilvl="0">
      <w:lvlJc w:val="left"/>
      <w:lvlText w:val="(%1)"/>
      <w:numFmt w:val="decimal"/>
      <w:start w:val="1"/>
    </w:lvl>
  </w:abstractNum>
  <w:abstractNum w:abstractNumId="12">
    <w:nsid w:val="614FD4A1"/>
    <w:multiLevelType w:val="hybridMultilevel"/>
    <w:lvl w:ilvl="0">
      <w:lvlJc w:val="left"/>
      <w:lvlText w:val=" "/>
      <w:numFmt w:val="bullet"/>
      <w:start w:val="1"/>
    </w:lvl>
  </w:abstractNum>
  <w:abstractNum w:abstractNumId="13">
    <w:nsid w:val="419AC241"/>
    <w:multiLevelType w:val="hybridMultilevel"/>
    <w:lvl w:ilvl="0">
      <w:lvlJc w:val="left"/>
      <w:lvlText w:val="*"/>
      <w:numFmt w:val="bullet"/>
      <w:start w:val="1"/>
    </w:lvl>
    <w:lvl w:ilvl="1">
      <w:lvlJc w:val="left"/>
      <w:lvlText w:val="(%2)"/>
      <w:numFmt w:val="decimal"/>
      <w:start w:val="7"/>
    </w:lvl>
  </w:abstractNum>
  <w:abstractNum w:abstractNumId="14">
    <w:nsid w:val="5577F8E1"/>
    <w:multiLevelType w:val="hybridMultilevel"/>
    <w:lvl w:ilvl="0">
      <w:lvlJc w:val="left"/>
      <w:lvlText w:val=" "/>
      <w:numFmt w:val="bullet"/>
      <w:start w:val="1"/>
    </w:lvl>
  </w:abstractNum>
  <w:abstractNum w:abstractNumId="15">
    <w:nsid w:val="440BADFC"/>
    <w:multiLevelType w:val="hybridMultilevel"/>
    <w:lvl w:ilvl="0">
      <w:lvlJc w:val="left"/>
      <w:lvlText w:val="(%1)"/>
      <w:numFmt w:val="decimal"/>
      <w:start w:val="1"/>
    </w:lvl>
  </w:abstractNum>
  <w:abstractNum w:abstractNumId="16">
    <w:nsid w:val="5072367"/>
    <w:multiLevelType w:val="hybridMultilevel"/>
    <w:lvl w:ilvl="0">
      <w:lvlJc w:val="left"/>
      <w:lvlText w:val="(%1)"/>
      <w:numFmt w:val="decimal"/>
      <w:start w:val="1"/>
    </w:lvl>
    <w:lvl w:ilvl="1">
      <w:lvlJc w:val="left"/>
      <w:lvlText w:val=" "/>
      <w:numFmt w:val="bullet"/>
      <w:start w:val="1"/>
    </w:lvl>
  </w:abstractNum>
  <w:abstractNum w:abstractNumId="17">
    <w:nsid w:val="3804823E"/>
    <w:multiLevelType w:val="hybridMultilevel"/>
    <w:lvl w:ilvl="0">
      <w:lvlJc w:val="left"/>
      <w:lvlText w:val=" "/>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
      <w:numFmt w:val="bullet"/>
      <w:start w:val="1"/>
    </w:lvl>
    <w:lvl w:ilvl="1">
      <w:lvlJc w:val="left"/>
      <w:lvlText w:val="•"/>
      <w:numFmt w:val="bullet"/>
      <w:start w:val="1"/>
    </w:lvl>
  </w:abstractNum>
  <w:abstractNum w:abstractNumId="25">
    <w:nsid w:val="580BD78F"/>
    <w:multiLevelType w:val="hybridMultilevel"/>
    <w:lvl w:ilvl="0">
      <w:lvlJc w:val="left"/>
      <w:lvlText w:val="(%1)"/>
      <w:numFmt w:val="decimal"/>
      <w:start w:val="2"/>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lowerRoman"/>
      <w:start w:val="3"/>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bullet"/>
      <w:start w:val="1"/>
    </w:lvl>
  </w:abstractNum>
  <w:abstractNum w:abstractNumId="36">
    <w:nsid w:val="4B588F54"/>
    <w:multiLevelType w:val="hybridMultilevel"/>
    <w:lvl w:ilvl="0">
      <w:lvlJc w:val="left"/>
      <w:lvlText w:val="2"/>
      <w:numFmt w:val="bullet"/>
      <w:start w:val="1"/>
    </w:lvl>
  </w:abstractNum>
  <w:abstractNum w:abstractNumId="37">
    <w:nsid w:val="542289EC"/>
    <w:multiLevelType w:val="hybridMultilevel"/>
    <w:lvl w:ilvl="0">
      <w:lvlJc w:val="left"/>
      <w:lvlText w:val="3"/>
      <w:numFmt w:val="bullet"/>
      <w:start w:val="1"/>
    </w:lvl>
  </w:abstractNum>
  <w:abstractNum w:abstractNumId="38">
    <w:nsid w:val="6DE91B18"/>
    <w:multiLevelType w:val="hybridMultilevel"/>
    <w:lvl w:ilvl="0">
      <w:lvlJc w:val="left"/>
      <w:lvlText w:val="4"/>
      <w:numFmt w:val="bullet"/>
      <w:start w:val="1"/>
    </w:lvl>
  </w:abstractNum>
  <w:abstractNum w:abstractNumId="39">
    <w:nsid w:val="38437FDB"/>
    <w:multiLevelType w:val="hybridMultilevel"/>
    <w:lvl w:ilvl="0">
      <w:lvlJc w:val="left"/>
      <w:lvlText w:val="5"/>
      <w:numFmt w:val="bullet"/>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
      <w:numFmt w:val="bullet"/>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lvl w:ilvl="1">
      <w:lvlJc w:val="left"/>
      <w:lvlText w:val="%2"/>
      <w:numFmt w:val="decimal"/>
      <w:start w:val="104"/>
    </w:lvl>
  </w:abstractNum>
  <w:abstractNum w:abstractNumId="50">
    <w:nsid w:val="70C6A529"/>
    <w:multiLevelType w:val="hybridMultilevel"/>
    <w:lvl w:ilvl="0">
      <w:lvlJc w:val="left"/>
      <w:lvlText w:val="(%1)"/>
      <w:numFmt w:val="decimal"/>
      <w:start w:val="1"/>
    </w:lvl>
  </w:abstractNum>
  <w:abstractNum w:abstractNumId="51">
    <w:nsid w:val="520EEDD1"/>
    <w:multiLevelType w:val="hybridMultilevel"/>
    <w:lvl w:ilvl="0">
      <w:lvlJc w:val="left"/>
      <w:lvlText w:val="%1."/>
      <w:numFmt w:val="decimal"/>
      <w:start w:val="1"/>
    </w:lvl>
    <w:lvl w:ilvl="1">
      <w:lvlJc w:val="left"/>
      <w:lvlText w:val="(%2)"/>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704" Type="http://schemas.openxmlformats.org/officeDocument/2006/relationships/image" Target="media/image690.png"/><Relationship Id="rId705" Type="http://schemas.openxmlformats.org/officeDocument/2006/relationships/image" Target="media/image691.png"/><Relationship Id="rId706" Type="http://schemas.openxmlformats.org/officeDocument/2006/relationships/image" Target="media/image692.png"/><Relationship Id="rId707" Type="http://schemas.openxmlformats.org/officeDocument/2006/relationships/image" Target="media/image693.png"/><Relationship Id="rId708" Type="http://schemas.openxmlformats.org/officeDocument/2006/relationships/image" Target="media/image694.png"/><Relationship Id="rId709" Type="http://schemas.openxmlformats.org/officeDocument/2006/relationships/image" Target="media/image695.png"/><Relationship Id="rId710" Type="http://schemas.openxmlformats.org/officeDocument/2006/relationships/image" Target="media/image696.png"/><Relationship Id="rId711" Type="http://schemas.openxmlformats.org/officeDocument/2006/relationships/image" Target="media/image697.png"/><Relationship Id="rId712" Type="http://schemas.openxmlformats.org/officeDocument/2006/relationships/image" Target="media/image698.png"/><Relationship Id="rId713" Type="http://schemas.openxmlformats.org/officeDocument/2006/relationships/image" Target="media/image699.png"/><Relationship Id="rId714" Type="http://schemas.openxmlformats.org/officeDocument/2006/relationships/image" Target="media/image700.png"/><Relationship Id="rId715" Type="http://schemas.openxmlformats.org/officeDocument/2006/relationships/image" Target="media/image701.png"/><Relationship Id="rId716" Type="http://schemas.openxmlformats.org/officeDocument/2006/relationships/image" Target="media/image702.png"/><Relationship Id="rId717" Type="http://schemas.openxmlformats.org/officeDocument/2006/relationships/image" Target="media/image703.png"/><Relationship Id="rId718" Type="http://schemas.openxmlformats.org/officeDocument/2006/relationships/image" Target="media/image704.png"/><Relationship Id="rId719" Type="http://schemas.openxmlformats.org/officeDocument/2006/relationships/image" Target="media/image705.png"/><Relationship Id="rId697" Type="http://schemas.openxmlformats.org/officeDocument/2006/relationships/hyperlink" Target="https://www.sec.gov/Archives/edgar/data/1653384/000114420416140270/v454968_ex3-1.htm" TargetMode="External"/><Relationship Id="rId698" Type="http://schemas.openxmlformats.org/officeDocument/2006/relationships/hyperlink" Target="https://www.sec.gov/Archives/edgar/data/0001653384/000165338421000016/rgc-20210819ex31cb84ffa.htm" TargetMode="External"/><Relationship Id="rId699" Type="http://schemas.openxmlformats.org/officeDocument/2006/relationships/hyperlink" Target="https://www.sec.gov/Archives/edgar/data/0001653384/000165338421000016/rgc-20210819ex32804659c.htm" TargetMode="External"/><Relationship Id="rId700" Type="http://schemas.openxmlformats.org/officeDocument/2006/relationships/hyperlink" Target="https://www.sec.gov/Archives/edgar/data/1653384/000110465922083650/tm2222036d1_ex4-1.htm" TargetMode="External"/><Relationship Id="rId701" Type="http://schemas.openxmlformats.org/officeDocument/2006/relationships/hyperlink" Target="https://www.sec.gov/Archives/edgar/data/1653384/000110465922083650/tm2222036d1_ex4-2.htm" TargetMode="External"/><Relationship Id="rId702" Type="http://schemas.openxmlformats.org/officeDocument/2006/relationships/hyperlink" Target="https://www.sec.gov/Archives/edgar/data/1653384/000110465922082030/tm2221671d1_ex1-1.htm" TargetMode="External"/><Relationship Id="rId703" Type="http://schemas.openxmlformats.org/officeDocument/2006/relationships/hyperlink" Target="https://www.sec.gov/Archives/edgar/data/0001653384/000165338421000025/rgc-20211027x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2022-11-09T20:20:04Z</dcterms:created>
  <dcterms:modified xsi:type="dcterms:W3CDTF">2022-11-09T20:20:04Z</dcterms:modified>
</cp:coreProperties>
</file>