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pPr>
      <w:bookmarkStart w:id="0" w:name="prelim_pro_supp_sept_202.htm"/>
      <w:bookmarkStart w:id="1" w:name="ksprelim_pro_supp_sept_202"/>
      <w:bookmarkEnd w:id="0"/>
      <w:bookmarkEnd w:id="1"/>
      <w:r>
        <w:rPr/>
        <w:t> </w:t>
      </w:r>
      <w:r>
        <mc:AlternateContent>
          <mc:Choice Requires="wps">
            <w:drawing>
              <wp:anchor behindDoc="0" distT="0" distB="0" distL="0" distR="0" simplePos="0" locked="0" layoutInCell="1" allowOverlap="1" relativeHeight="2">
                <wp:simplePos x="0" y="0"/>
                <wp:positionH relativeFrom="page">
                  <wp:posOffset>-3829050</wp:posOffset>
                </wp:positionH>
                <wp:positionV relativeFrom="page">
                  <wp:posOffset>4276725</wp:posOffset>
                </wp:positionV>
                <wp:extent cx="7560310" cy="941705"/>
                <wp:effectExtent l="0" t="0" r="0" b="0"/>
                <wp:wrapNone/>
                <wp:docPr id="1" name="Frame1"/>
                <a:graphic xmlns:a="http://schemas.openxmlformats.org/drawingml/2006/main">
                  <a:graphicData uri="http://schemas.microsoft.com/office/word/2010/wordprocessingShape">
                    <wps:wsp>
                      <wps:cNvSpPr txBox="1"/>
                      <wps:spPr>
                        <a:xfrm>
                          <a:off x="0" y="0"/>
                          <a:ext cx="7560310" cy="941705"/>
                        </a:xfrm>
                        <a:prstGeom prst="rect"/>
                        <a:solidFill>
                          <a:srgbClr val="FFFFFF"/>
                        </a:solidFill>
                      </wps:spPr>
                      <wps:txbx>
                        <w:txbxContent>
                          <w:p>
                            <w:pPr>
                              <w:pStyle w:val="TextBody"/>
                              <w:bidi w:val="0"/>
                              <w:jc w:val="left"/>
                              <w:rPr>
                                <w:rFonts w:ascii="Times New Roman" w:hAnsi="Times New Roman"/>
                                <w:b/>
                                <w:color w:val="FC0014"/>
                                <w:sz w:val="20"/>
                              </w:rPr>
                            </w:pPr>
                            <w:r>
                              <w:rPr>
                                <w:rFonts w:ascii="Times New Roman" w:hAnsi="Times New Roman"/>
                                <w:b/>
                                <w:color w:val="FC0014"/>
                                <w:sz w:val="20"/>
                              </w:rPr>
                              <w:t>This preliminary prospectus supplement relates to an effective registration statement under the Securities Act of 1933, as amended, but 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74.15pt;mso-wrap-distance-left:0pt;mso-wrap-distance-right:0pt;mso-wrap-distance-top:0pt;mso-wrap-distance-bottom:0pt;margin-top:336.75pt;mso-position-vertical-relative:page;margin-left:-301.5pt;mso-position-horizontal-relative:page">
                <v:textbox inset="0in,0in,0in,0in">
                  <w:txbxContent>
                    <w:p>
                      <w:pPr>
                        <w:pStyle w:val="TextBody"/>
                        <w:bidi w:val="0"/>
                        <w:jc w:val="left"/>
                        <w:rPr>
                          <w:rFonts w:ascii="Times New Roman" w:hAnsi="Times New Roman"/>
                          <w:b/>
                          <w:color w:val="FC0014"/>
                          <w:sz w:val="20"/>
                        </w:rPr>
                      </w:pPr>
                      <w:r>
                        <w:rPr>
                          <w:rFonts w:ascii="Times New Roman" w:hAnsi="Times New Roman"/>
                          <w:b/>
                          <w:color w:val="FC0014"/>
                          <w:sz w:val="20"/>
                        </w:rPr>
                        <w:t>This preliminary prospectus supplement relates to an effective registration statement under the Securities Act of 1933, as amended, but 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p>
                    <w:p>
                      <w:pPr>
                        <w:pStyle w:val="TextBody"/>
                        <w:bidi w:val="0"/>
                        <w:spacing w:before="0" w:after="283"/>
                        <w:jc w:val="left"/>
                        <w:rPr/>
                      </w:pPr>
                      <w:r>
                        <w:rPr/>
                        <w:t> </w:t>
                      </w:r>
                    </w:p>
                  </w:txbxContent>
                </v:textbox>
                <w10:wrap type="none"/>
              </v:rect>
            </w:pict>
          </mc:Fallback>
        </mc:AlternateContent>
      </w:r>
    </w:p>
    <w:p>
      <w:pPr>
        <w:pStyle w:val="TextBody"/>
        <w:bidi w:val="0"/>
        <w:jc w:val="right"/>
        <w:rPr>
          <w:rFonts w:ascii="Times New Roman" w:hAnsi="Times New Roman"/>
          <w:b/>
          <w:color w:val="000000"/>
          <w:sz w:val="16"/>
        </w:rPr>
      </w:pPr>
      <w:r>
        <w:rPr>
          <w:rFonts w:ascii="Times New Roman" w:hAnsi="Times New Roman"/>
          <w:b/>
          <w:color w:val="000000"/>
          <w:sz w:val="16"/>
        </w:rPr>
        <w:t>Filed pursuant to Rule 424(b)(2)</w:t>
      </w:r>
    </w:p>
    <w:p>
      <w:pPr>
        <w:pStyle w:val="TextBody"/>
        <w:bidi w:val="0"/>
        <w:jc w:val="right"/>
        <w:rPr>
          <w:rFonts w:ascii="Times New Roman" w:hAnsi="Times New Roman"/>
          <w:b/>
          <w:color w:val="000000"/>
          <w:sz w:val="16"/>
        </w:rPr>
      </w:pPr>
      <w:r>
        <w:rPr>
          <w:rFonts w:ascii="Times New Roman" w:hAnsi="Times New Roman"/>
          <w:b/>
          <w:color w:val="000000"/>
          <w:sz w:val="16"/>
        </w:rPr>
        <w:t>Registration No. 333-284781</w:t>
      </w:r>
    </w:p>
    <w:p>
      <w:pPr>
        <w:pStyle w:val="TextBody"/>
        <w:bidi w:val="0"/>
        <w:jc w:val="center"/>
        <w:rPr>
          <w:rFonts w:ascii="Times New Roman" w:hAnsi="Times New Roman"/>
          <w:b/>
          <w:color w:val="FF0000"/>
          <w:sz w:val="16"/>
        </w:rPr>
      </w:pPr>
      <w:r>
        <w:rPr>
          <w:rFonts w:ascii="Times New Roman" w:hAnsi="Times New Roman"/>
          <w:b/>
          <w:color w:val="FF0000"/>
          <w:sz w:val="16"/>
        </w:rPr>
        <w:t>Subject to Completion Dated September 23, 2026</w:t>
      </w:r>
    </w:p>
    <w:p>
      <w:pPr>
        <w:pStyle w:val="TextBody"/>
        <w:bidi w:val="0"/>
        <w:jc w:val="left"/>
        <w:rPr>
          <w:rFonts w:ascii="Times New Roman" w:hAnsi="Times New Roman"/>
          <w:sz w:val="16"/>
        </w:rPr>
      </w:pPr>
      <w:r>
        <w:rPr>
          <w:rFonts w:ascii="Times New Roman" w:hAnsi="Times New Roman"/>
          <w:b/>
          <w:color w:val="000000"/>
          <w:sz w:val="16"/>
        </w:rPr>
        <w:t>PRELIMINARY PROSPECTUS SUPPLEMENT</w:t>
        <w:br/>
        <w:t>(to Prospectus dated March 19, 2025)</w:t>
      </w:r>
      <w:r>
        <w:rPr>
          <w:rFonts w:ascii="Times New Roman" w:hAnsi="Times New Roman"/>
          <w:color w:val="000000"/>
          <w:sz w:val="16"/>
        </w:rPr>
        <w:t xml:space="preserve"> </w:t>
      </w:r>
    </w:p>
    <w:p>
      <w:pPr>
        <w:pStyle w:val="TextBody"/>
        <w:bidi w:val="0"/>
        <w:spacing w:before="80" w:after="283"/>
        <w:jc w:val="center"/>
        <w:rPr>
          <w:rFonts w:ascii="Times New Roman" w:hAnsi="Times New Roman"/>
          <w:sz w:val="24"/>
        </w:rPr>
      </w:pPr>
      <w:r>
        <w:rPr>
          <w:rFonts w:ascii="Times New Roman" w:hAnsi="Times New Roman"/>
          <w:b/>
          <w:color w:val="000000"/>
          <w:sz w:val="24"/>
        </w:rPr>
        <w:t>$</w:t>
      </w:r>
      <w:r>
        <w:rPr>
          <w:rFonts w:ascii="Times New Roman" w:hAnsi="Times New Roman"/>
          <w:color w:val="000000"/>
          <w:sz w:val="24"/>
        </w:rPr>
        <w:t xml:space="preserve"> </w:t>
      </w:r>
    </w:p>
    <w:p>
      <w:pPr>
        <w:pStyle w:val="TextBody"/>
        <w:bidi w:val="0"/>
        <w:spacing w:before="80" w:after="283"/>
        <w:jc w:val="center"/>
        <w:rPr>
          <w:rFonts w:ascii="Times New Roman" w:hAnsi="Times New Roman"/>
          <w:sz w:val="32"/>
        </w:rPr>
      </w:pPr>
      <w:r>
        <w:rPr>
          <w:rFonts w:ascii="Times New Roman" w:hAnsi="Times New Roman"/>
          <w:b/>
          <w:color w:val="000000"/>
          <w:sz w:val="32"/>
        </w:rPr>
        <w:t>Runway Growth Finance Corp.</w:t>
      </w:r>
      <w:r>
        <w:rPr>
          <w:rFonts w:ascii="Times New Roman" w:hAnsi="Times New Roman"/>
          <w:color w:val="000000"/>
          <w:sz w:val="32"/>
        </w:rPr>
        <w:t xml:space="preserve"> </w:t>
      </w:r>
    </w:p>
    <w:p>
      <w:pPr>
        <w:pStyle w:val="TextBody"/>
        <w:bidi w:val="0"/>
        <w:spacing w:before="100" w:after="283"/>
        <w:jc w:val="center"/>
        <w:rPr>
          <w:rFonts w:ascii="Times New Roman" w:hAnsi="Times New Roman"/>
          <w:sz w:val="24"/>
        </w:rPr>
      </w:pPr>
      <w:r>
        <w:rPr>
          <w:rFonts w:ascii="Times New Roman" w:hAnsi="Times New Roman"/>
          <w:b/>
          <w:color w:val="000000"/>
          <w:sz w:val="24"/>
        </w:rPr>
        <w:t>% Notes due 2031</w:t>
      </w:r>
      <w:r>
        <w:rPr>
          <w:rFonts w:ascii="Times New Roman" w:hAnsi="Times New Roman"/>
          <w:color w:val="000000"/>
          <w:sz w:val="24"/>
        </w:rPr>
        <w:t xml:space="preserve">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are a specialty finance company focused on providing senior secured loans to high growth-potential companies in technology, healthcare, business services, financial services, select consumer services and products and other high-growth industries. We invest in senior secured first lien loans and other senior debt obligations and may on occasion invest in senior secured second lien loans. We have and expect to continue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gains on our warrants and other equity positions.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are a closed-end management investment company that has elected to be regulated as a business development company (“BDC”) under the Investment Company Act of 1940, as amended (the “1940 Act”). We have elected to be treated, and intend to qualify annually, as a regulated investment company (“RIC”) under the Internal Revenue Code of 1986, as amended (the “Code”) for U.S. federal income tax purposes. As a BDC and a RIC, we are required to comply with certain regulatory requirements. </w:t>
      </w:r>
    </w:p>
    <w:p>
      <w:pPr>
        <w:pStyle w:val="TextBody"/>
        <w:bidi w:val="0"/>
        <w:spacing w:before="80" w:after="283"/>
        <w:jc w:val="both"/>
        <w:rPr>
          <w:rFonts w:ascii="Times New Roman" w:hAnsi="Times New Roman"/>
          <w:sz w:val="16"/>
        </w:rPr>
      </w:pPr>
      <w:r>
        <w:rPr>
          <w:rFonts w:ascii="Times New Roman" w:hAnsi="Times New Roman"/>
          <w:color w:val="000000"/>
          <w:sz w:val="16"/>
        </w:rPr>
        <w:t xml:space="preserve">We are offering $ in aggregate principal amount of % notes due 2031 (the “Notes”). The Notes will mature on , 2031. We will pay interest on the Notes quarterly on </w:t>
      </w:r>
      <w:r>
        <w:rPr>
          <w:rFonts w:ascii="Times New Roman" w:hAnsi="Times New Roman"/>
          <w:color w:val="FFFFFF"/>
          <w:sz w:val="16"/>
        </w:rPr>
        <w:t>,</w:t>
      </w:r>
      <w:r>
        <w:rPr>
          <w:rFonts w:ascii="Times New Roman" w:hAnsi="Times New Roman"/>
          <w:color w:val="000000"/>
          <w:sz w:val="16"/>
        </w:rPr>
        <w:t xml:space="preserve">, </w:t>
      </w:r>
      <w:r>
        <w:rPr>
          <w:rFonts w:ascii="Times New Roman" w:hAnsi="Times New Roman"/>
          <w:color w:val="FFFFFF"/>
          <w:sz w:val="16"/>
        </w:rPr>
        <w:t>,</w:t>
      </w:r>
      <w:r>
        <w:rPr>
          <w:rFonts w:ascii="Times New Roman" w:hAnsi="Times New Roman"/>
          <w:color w:val="000000"/>
          <w:sz w:val="16"/>
        </w:rPr>
        <w:t xml:space="preserve">, </w:t>
      </w:r>
      <w:r>
        <w:rPr>
          <w:rFonts w:ascii="Times New Roman" w:hAnsi="Times New Roman"/>
          <w:color w:val="FFFFFF"/>
          <w:sz w:val="16"/>
        </w:rPr>
        <w:t>,</w:t>
      </w:r>
      <w:r>
        <w:rPr>
          <w:rFonts w:ascii="Times New Roman" w:hAnsi="Times New Roman"/>
          <w:color w:val="000000"/>
          <w:sz w:val="16"/>
        </w:rPr>
        <w:t xml:space="preserve">, and </w:t>
      </w:r>
      <w:r>
        <w:rPr>
          <w:rFonts w:ascii="Times New Roman" w:hAnsi="Times New Roman"/>
          <w:color w:val="FFFFFF"/>
          <w:sz w:val="16"/>
        </w:rPr>
        <w:t>,</w:t>
      </w:r>
      <w:r>
        <w:rPr>
          <w:rFonts w:ascii="Times New Roman" w:hAnsi="Times New Roman"/>
          <w:color w:val="000000"/>
          <w:sz w:val="16"/>
        </w:rPr>
        <w:t xml:space="preserve"> of each year, beginning on , 2026. We may redeem the Notes in whole or in part at any time or from time to time, on or after , 2028, at our sole option at $25. Holders of the Notes will not have the option to have the Notes repaid prior to the stated maturity. The Notes will be issued in minimum denominations of $25 and integral multiples of $25 in excess thereof.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Notes will be our direct unsecured obligations and rank equal in right of payment with all outstanding and future unsecured, unsubordinated indebtedness issued by us.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Runway Growth Finance Corp. and not of any of our subsidiaries.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intend to list the Notes on the Nasdaq Global Select Market (“Nasdaq”), and we expect trading in the Notes on Nasdaq to begin within 30 days of the original issue date. The Notes are expected to trade “flat,” which means that purchasers will not pay, and sellers will not receive, any accrued and unpaid interest on the Notes that is not reflected in the trading price. Currently, there is no public market for the Notes.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underwriters may also purchase up to an additional $ aggregate principal amount of Notes offered hereby, within 30 days of the date of this prospectus supplement, to cover overallotments. If the underwriters exercise this overallotment option in full, the net proceeds to us, after payment of underwriting commissions but before deducting other expenses payable by us, will be $ </w:t>
      </w:r>
    </w:p>
    <w:p>
      <w:pPr>
        <w:pStyle w:val="TextBody"/>
        <w:bidi w:val="0"/>
        <w:spacing w:before="80" w:after="283"/>
        <w:jc w:val="both"/>
        <w:rPr/>
      </w:pPr>
      <w:r>
        <w:rPr>
          <w:rFonts w:ascii="Times New Roman" w:hAnsi="Times New Roman"/>
          <w:color w:val="000000"/>
          <w:sz w:val="16"/>
        </w:rPr>
        <w:t xml:space="preserve">We are an “emerging growth company,” as defined in Section 2(a) of the Securities Act of 1933, as amended (the “Securities Act”). As a result, we are subject to reduced public company reporting requirements and intend to take advantage of the extended transition period provided in Section 7(a)(2)(B) of the Securities Act. Investing in our securities is highly speculative and involves a high degree of risk, and you could lose your entire investment if any of the risks occur. Before buying any Notes, you should read the material risks described in the “Supplementary Risk Factors” section beginning on page </w:t>
      </w:r>
      <w:hyperlink w:anchor="ssrf">
        <w:r>
          <w:rPr>
            <w:rStyle w:val="InternetLink"/>
          </w:rPr>
          <w:t>S-14</w:t>
        </w:r>
      </w:hyperlink>
      <w:r>
        <w:rPr>
          <w:rFonts w:ascii="Times New Roman" w:hAnsi="Times New Roman"/>
          <w:color w:val="000000"/>
          <w:sz w:val="16"/>
        </w:rPr>
        <w:t xml:space="preserve"> of this prospectus supplement and “Risk Factors” beginning on page </w:t>
      </w:r>
      <w:hyperlink w:anchor="trifa">
        <w:r>
          <w:rPr>
            <w:rStyle w:val="InternetLink"/>
          </w:rPr>
          <w:t>18</w:t>
        </w:r>
      </w:hyperlink>
      <w:r>
        <w:rPr>
          <w:rFonts w:ascii="Times New Roman" w:hAnsi="Times New Roman"/>
          <w:color w:val="000000"/>
          <w:sz w:val="16"/>
        </w:rPr>
        <w:t xml:space="preserve"> of the accompanying prospectus and in our most recent Annual Report on Form 10-K, our most recent Quarterly Report on Form 10-Q as well as any of our subsequent SEC filings incorporated by reference herein. The individual securities in which we invest will not be rated by any rating agency. If they were, they would be rated as below investment grade or “junk.” Indebtedness of below investment grade quality has predominantly speculative characteristics with respect to the issuer’s capacity to pay interest and repay principal. </w:t>
      </w:r>
    </w:p>
    <w:p>
      <w:pPr>
        <w:pStyle w:val="TextBody"/>
        <w:bidi w:val="0"/>
        <w:spacing w:before="80" w:after="283"/>
        <w:jc w:val="both"/>
        <w:rPr>
          <w:rFonts w:ascii="Times New Roman" w:hAnsi="Times New Roman"/>
          <w:sz w:val="16"/>
        </w:rPr>
      </w:pPr>
      <w:r>
        <w:rPr>
          <w:rFonts w:ascii="Times New Roman" w:hAnsi="Times New Roman"/>
          <w:color w:val="000000"/>
          <w:sz w:val="16"/>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the Notes,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t>
      </w:r>
      <w:r>
        <w:rPr>
          <w:rFonts w:ascii="Times New Roman" w:hAnsi="Times New Roman"/>
          <w:i/>
          <w:color w:val="000000"/>
          <w:sz w:val="16"/>
        </w:rPr>
        <w:t>www.sec.gov</w:t>
      </w:r>
      <w:r>
        <w:rPr>
          <w:rFonts w:ascii="Times New Roman" w:hAnsi="Times New Roman"/>
          <w:color w:val="000000"/>
          <w:sz w:val="16"/>
        </w:rPr>
        <w:t xml:space="preserve">. We maintain a website at </w:t>
      </w:r>
      <w:r>
        <w:rPr>
          <w:rFonts w:ascii="Times New Roman" w:hAnsi="Times New Roman"/>
          <w:i/>
          <w:color w:val="000000"/>
          <w:sz w:val="16"/>
        </w:rPr>
        <w:t>https://investors.runwaygrowth.com</w:t>
      </w:r>
      <w:r>
        <w:rPr>
          <w:rFonts w:ascii="Times New Roman" w:hAnsi="Times New Roman"/>
          <w:color w:val="000000"/>
          <w:sz w:val="16"/>
        </w:rPr>
        <w:t xml:space="preserve"> and make all of the foregoing information available, free of charge, on or through our website. This information is also available free of charge by contacting us in writing at 205 N. Michigan Ave., Suite 4200, Chicago, IL 60601, calling us at (312) 698-6902 or visiting our corporate website located at </w:t>
      </w:r>
      <w:r>
        <w:rPr>
          <w:rFonts w:ascii="Times New Roman" w:hAnsi="Times New Roman"/>
          <w:i/>
          <w:color w:val="000000"/>
          <w:sz w:val="16"/>
        </w:rPr>
        <w:t>https://investors.runwaygrowth.com</w:t>
      </w:r>
      <w:r>
        <w:rPr>
          <w:rFonts w:ascii="Times New Roman" w:hAnsi="Times New Roman"/>
          <w:color w:val="000000"/>
          <w:sz w:val="16"/>
        </w:rPr>
        <w:t xml:space="preserve">.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Information contained on our website is not incorporated by reference into this prospectus supplement or the accompanying prospectus, and you should not consider information contained on our website to be part of this prospectus supplement or the accompanying prospectus. </w:t>
      </w:r>
    </w:p>
    <w:p>
      <w:pPr>
        <w:pStyle w:val="TextBody"/>
        <w:bidi w:val="0"/>
        <w:spacing w:before="80" w:after="80"/>
        <w:jc w:val="both"/>
        <w:rPr>
          <w:rFonts w:ascii="Times New Roman" w:hAnsi="Times New Roman"/>
          <w:sz w:val="16"/>
        </w:rPr>
      </w:pPr>
      <w:r>
        <w:rPr>
          <w:rFonts w:ascii="Times New Roman" w:hAnsi="Times New Roman"/>
          <w:b/>
          <w:color w:val="000000"/>
          <w:sz w:val="16"/>
        </w:rPr>
        <w:t>Neither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 w:hAnsi="Times New Roman"/>
          <w:color w:val="000000"/>
          <w:sz w:val="16"/>
        </w:rPr>
        <w:t xml:space="preserve"> </w:t>
      </w:r>
    </w:p>
    <w:tbl>
      <w:tblPr>
        <w:tblW w:w="4090" w:type="dxa"/>
        <w:jc w:val="left"/>
        <w:tblInd w:w="0" w:type="dxa"/>
        <w:tblLayout w:type="fixed"/>
        <w:tblCellMar>
          <w:top w:w="28" w:type="dxa"/>
          <w:left w:w="28" w:type="dxa"/>
          <w:bottom w:w="28" w:type="dxa"/>
          <w:right w:w="28" w:type="dxa"/>
        </w:tblCellMar>
      </w:tblPr>
      <w:tblGrid>
        <w:gridCol w:w="2506"/>
        <w:gridCol w:w="146"/>
        <w:gridCol w:w="751"/>
        <w:gridCol w:w="146"/>
        <w:gridCol w:w="54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Public offering price</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Underwriting discount (sales load)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Proceeds to us, before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5" w:space="1" w:color="000000"/>
        </w:pBdr>
        <w:bidi w:val="0"/>
        <w:spacing w:before="200" w:after="283"/>
        <w:ind w:left="0" w:right="8654" w:hanging="0"/>
        <w:jc w:val="left"/>
        <w:rPr/>
      </w:pPr>
      <w:r>
        <w:rPr/>
        <w:t> </w:t>
      </w:r>
    </w:p>
    <w:p>
      <w:pPr>
        <w:pStyle w:val="TextBody"/>
        <w:pBdr/>
        <w:bidi w:val="0"/>
        <w:spacing w:before="60" w:after="283"/>
        <w:ind w:left="0" w:right="0" w:hanging="400"/>
        <w:jc w:val="left"/>
        <w:rPr>
          <w:rFonts w:ascii="Times New Roman" w:hAnsi="Times New Roman"/>
          <w:color w:val="000000"/>
          <w:sz w:val="16"/>
        </w:rPr>
      </w:pPr>
      <w:r>
        <w:rPr>
          <w:rFonts w:ascii="Times New Roman" w:hAnsi="Times New Roman"/>
          <w:color w:val="000000"/>
          <w:sz w:val="16"/>
        </w:rPr>
        <w:t xml:space="preserve">(1) The public offering price set forth above does not include accrued interest, if any. Interest on the Notes will accrue from , 2026 and must be paid by the purchaser if the Notes are delivered after , 2026. </w:t>
      </w:r>
    </w:p>
    <w:p>
      <w:pPr>
        <w:pStyle w:val="TextBody"/>
        <w:pBdr/>
        <w:bidi w:val="0"/>
        <w:spacing w:before="60" w:after="283"/>
        <w:ind w:left="0" w:right="0" w:hanging="400"/>
        <w:jc w:val="left"/>
        <w:rPr>
          <w:rFonts w:ascii="Times New Roman" w:hAnsi="Times New Roman"/>
          <w:color w:val="000000"/>
          <w:sz w:val="16"/>
        </w:rPr>
      </w:pPr>
      <w:r>
        <w:rPr>
          <w:rFonts w:ascii="Times New Roman" w:hAnsi="Times New Roman"/>
          <w:color w:val="000000"/>
          <w:sz w:val="16"/>
        </w:rPr>
        <w:t>(2) Before deducting expenses payable by us related to this offering, estimated at $ .</w:t>
      </w:r>
    </w:p>
    <w:p>
      <w:pPr>
        <w:pStyle w:val="TextBody"/>
        <w:bidi w:val="0"/>
        <w:spacing w:before="100" w:after="100"/>
        <w:jc w:val="left"/>
        <w:rPr>
          <w:rFonts w:ascii="Times New Roman" w:hAnsi="Times New Roman"/>
          <w:color w:val="000000"/>
          <w:sz w:val="16"/>
        </w:rPr>
      </w:pPr>
      <w:r>
        <w:rPr>
          <w:rFonts w:ascii="Times New Roman" w:hAnsi="Times New Roman"/>
          <w:color w:val="000000"/>
          <w:sz w:val="16"/>
        </w:rPr>
        <w:t>The underwriters are offering the Notes as set forth in “Underwriting.” Delivery of the Notes in book-entry form through The Depository Trust Company (“DTC”) will be made on or about , 2026.</w:t>
      </w:r>
    </w:p>
    <w:p>
      <w:pPr>
        <w:pStyle w:val="TextBody"/>
        <w:bidi w:val="0"/>
        <w:ind w:left="0" w:right="0" w:firstLine="400"/>
        <w:jc w:val="center"/>
        <w:rPr>
          <w:color w:val="000000"/>
        </w:rPr>
      </w:pPr>
      <w:r>
        <w:rPr>
          <w:color w:val="000000"/>
        </w:rPr>
        <w:t>——————————————————</w:t>
      </w:r>
    </w:p>
    <w:p>
      <w:pPr>
        <w:pStyle w:val="TextBody"/>
        <w:bidi w:val="0"/>
        <w:spacing w:before="100" w:after="120"/>
        <w:ind w:left="0" w:right="0" w:firstLine="400"/>
        <w:jc w:val="center"/>
        <w:rPr>
          <w:rFonts w:ascii="Times New Roman" w:hAnsi="Times New Roman"/>
          <w:i/>
          <w:color w:val="000000"/>
          <w:sz w:val="16"/>
        </w:rPr>
      </w:pPr>
      <w:r>
        <w:rPr>
          <w:rFonts w:ascii="Times New Roman" w:hAnsi="Times New Roman"/>
          <w:i/>
          <w:color w:val="000000"/>
          <w:sz w:val="16"/>
        </w:rPr>
        <w:t>Joint Book-Running Managers</w:t>
      </w:r>
    </w:p>
    <w:tbl>
      <w:tblPr>
        <w:tblW w:w="7999" w:type="dxa"/>
        <w:jc w:val="left"/>
        <w:tblInd w:w="0" w:type="dxa"/>
        <w:tblLayout w:type="fixed"/>
        <w:tblCellMar>
          <w:top w:w="28" w:type="dxa"/>
          <w:left w:w="28" w:type="dxa"/>
          <w:bottom w:w="28" w:type="dxa"/>
          <w:right w:w="28" w:type="dxa"/>
        </w:tblCellMar>
      </w:tblPr>
      <w:tblGrid>
        <w:gridCol w:w="2326"/>
        <w:gridCol w:w="2131"/>
        <w:gridCol w:w="2626"/>
        <w:gridCol w:w="916"/>
      </w:tblGrid>
      <w:tr>
        <w:trPr/>
        <w:tc>
          <w:tcPr>
            <w:tcW w:w="232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Oppenheimer &amp; Co.</w:t>
            </w:r>
          </w:p>
        </w:tc>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B. Riley Securities</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Lucid Capital Markets</w:t>
            </w:r>
          </w:p>
        </w:tc>
        <w:tc>
          <w:tcPr>
            <w:tcW w:w="91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6"/>
              </w:rPr>
            </w:pPr>
            <w:r>
              <w:rPr>
                <w:rFonts w:ascii="Times New Roman" w:hAnsi="Times New Roman"/>
                <w:b/>
                <w:color w:val="000000"/>
                <w:sz w:val="26"/>
              </w:rPr>
              <w:t>MUFG</w:t>
            </w:r>
          </w:p>
        </w:tc>
      </w:tr>
    </w:tbl>
    <w:p>
      <w:pPr>
        <w:pStyle w:val="TextBody"/>
        <w:bidi w:val="0"/>
        <w:spacing w:before="100" w:after="120"/>
        <w:jc w:val="center"/>
        <w:rPr>
          <w:rFonts w:ascii="Times New Roman" w:hAnsi="Times New Roman"/>
          <w:i/>
          <w:color w:val="000000"/>
          <w:sz w:val="16"/>
        </w:rPr>
      </w:pPr>
      <w:r>
        <w:rPr>
          <w:rFonts w:ascii="Times New Roman" w:hAnsi="Times New Roman"/>
          <w:i/>
          <w:color w:val="000000"/>
          <w:sz w:val="16"/>
        </w:rPr>
        <w:t>Co-Managers</w:t>
      </w:r>
    </w:p>
    <w:tbl>
      <w:tblPr>
        <w:tblW w:w="9725" w:type="dxa"/>
        <w:jc w:val="left"/>
        <w:tblInd w:w="0" w:type="dxa"/>
        <w:tblLayout w:type="fixed"/>
        <w:tblCellMar>
          <w:top w:w="28" w:type="dxa"/>
          <w:left w:w="28" w:type="dxa"/>
          <w:bottom w:w="28" w:type="dxa"/>
          <w:right w:w="28" w:type="dxa"/>
        </w:tblCellMar>
      </w:tblPr>
      <w:tblGrid>
        <w:gridCol w:w="1771"/>
        <w:gridCol w:w="2506"/>
        <w:gridCol w:w="1126"/>
        <w:gridCol w:w="1636"/>
        <w:gridCol w:w="2686"/>
      </w:tblGrid>
      <w:tr>
        <w:trPr/>
        <w:tc>
          <w:tcPr>
            <w:tcW w:w="177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Compass Point</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Ladenburg Thalmann</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InspereX</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William Blair</w:t>
            </w:r>
          </w:p>
        </w:tc>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BC Partners Securities</w:t>
            </w:r>
          </w:p>
        </w:tc>
      </w:tr>
    </w:tbl>
    <w:p>
      <w:pPr>
        <w:pStyle w:val="TextBody"/>
        <w:bidi w:val="0"/>
        <w:spacing w:before="100" w:after="283"/>
        <w:ind w:left="0" w:right="0" w:firstLine="400"/>
        <w:jc w:val="center"/>
        <w:rPr>
          <w:color w:val="000000"/>
        </w:rPr>
      </w:pPr>
      <w:r>
        <w:rPr>
          <w:color w:val="000000"/>
        </w:rPr>
        <w:t>——————————————————</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The date of this prospectus supplement is ,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ABOUT THIS PROSPECTUS SUPPLEMENT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should rely only on the information contained in this prospectus supplement, the accompanying prospectus, any free writing prospectus, the documents incorporated by reference in this prospectus supplement and the accompanying prospectus, or any other information to which we have referred you. Neither we nor the underwriters have authorized any other person to provide you with different information from that contained in this prospectus supplement, the accompanying prospectus and in any free writing prospectus. If anyone provides you with different or inconsistent information, you should not rely on it. This prospectus supplement, the accompanying prospectus, or any free writing prospectus do not constitute an offer to sell, or a solicitation of an offer to buy, any Notes by any person in any jurisdiction where it is unlawful for that person to make such an offer or solicitation or to any person in any jurisdiction to whom it is unlawful to make such an offer or solicitation. The information contained in this prospectus supplement, the accompanying prospectus, and any free writing prospectus is complete and accurate only as of their respective dates, regardless of the time of their delivery or sale of the Notes. Our business, financial condition, results of operations and prospects may have changed since that date.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document is in two parts. The first part is this prospectus supplement, which describes the terms of this offering and the Notes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You should read this prospectus supplement and the accompanying prospectus together with the additional information described under the heading “Available Information” before investing in the Notes.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spacing w:before="260" w:after="283"/>
        <w:jc w:val="center"/>
        <w:rPr>
          <w:rFonts w:ascii="Times New Roman" w:hAnsi="Times New Roman"/>
          <w:sz w:val="20"/>
        </w:rPr>
      </w:pPr>
      <w:r>
        <w:rPr>
          <w:rFonts w:ascii="Times New Roman" w:hAnsi="Times New Roman"/>
          <w:b/>
          <w:color w:val="000000"/>
          <w:sz w:val="20"/>
        </w:rPr>
        <w:t>Prospectus Supplement</w:t>
      </w:r>
      <w:r>
        <w:rPr>
          <w:rFonts w:ascii="Times New Roman" w:hAnsi="Times New Roman"/>
          <w:color w:val="000000"/>
          <w:sz w:val="20"/>
        </w:rPr>
        <w:t xml:space="preserve"> </w:t>
      </w:r>
    </w:p>
    <w:p>
      <w:pPr>
        <w:pStyle w:val="TextBody"/>
        <w:bidi w:val="0"/>
        <w:jc w:val="left"/>
        <w:rPr/>
      </w:pPr>
      <w:r>
        <w:rPr/>
        <w:t> </w:t>
      </w:r>
    </w:p>
    <w:tbl>
      <w:tblPr>
        <w:tblW w:w="7400" w:type="dxa"/>
        <w:jc w:val="left"/>
        <w:tblInd w:w="0" w:type="dxa"/>
        <w:tblLayout w:type="fixed"/>
        <w:tblCellMar>
          <w:top w:w="28" w:type="dxa"/>
          <w:left w:w="28" w:type="dxa"/>
          <w:bottom w:w="28" w:type="dxa"/>
          <w:right w:w="28" w:type="dxa"/>
        </w:tblCellMar>
      </w:tblPr>
      <w:tblGrid>
        <w:gridCol w:w="6391"/>
        <w:gridCol w:w="146"/>
        <w:gridCol w:w="146"/>
        <w:gridCol w:w="526"/>
        <w:gridCol w:w="19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pss">
              <w:r>
                <w:rPr>
                  <w:rStyle w:val="InternetLink"/>
                  <w:rFonts w:ascii="Times New Roman" w:hAnsi="Times New Roman"/>
                  <w:color w:val="000000"/>
                  <w:sz w:val="20"/>
                </w:rPr>
                <w:t xml:space="preserve">PROSPECTUS SUPPLEMENT SUMMARY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thof">
              <w:r>
                <w:rPr>
                  <w:rStyle w:val="InternetLink"/>
                  <w:rFonts w:ascii="Times New Roman" w:hAnsi="Times New Roman"/>
                  <w:color w:val="000000"/>
                  <w:sz w:val="20"/>
                </w:rPr>
                <w:t xml:space="preserve">THE OFFERING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S-8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srf">
              <w:r>
                <w:rPr>
                  <w:rStyle w:val="InternetLink"/>
                  <w:rFonts w:ascii="Times New Roman" w:hAnsi="Times New Roman"/>
                  <w:color w:val="000000"/>
                  <w:sz w:val="20"/>
                </w:rPr>
                <w:t xml:space="preserve">SUPPLEMENTARY RISK FACTORS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cnrf">
              <w:r>
                <w:rPr>
                  <w:rStyle w:val="InternetLink"/>
                  <w:rFonts w:ascii="Times New Roman" w:hAnsi="Times New Roman"/>
                  <w:color w:val="000000"/>
                  <w:sz w:val="20"/>
                </w:rPr>
                <w:t xml:space="preserve">CAUTIONARY NOTE REGARDING FORWARD-LOOKING STATEMENTS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S-15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uop">
              <w:r>
                <w:rPr>
                  <w:rStyle w:val="InternetLink"/>
                  <w:rFonts w:ascii="Times New Roman" w:hAnsi="Times New Roman"/>
                  <w:color w:val="000000"/>
                  <w:sz w:val="20"/>
                </w:rPr>
                <w:t xml:space="preserve">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S-17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cap">
              <w:r>
                <w:rPr>
                  <w:rStyle w:val="InternetLink"/>
                  <w:rFonts w:ascii="Times New Roman" w:hAnsi="Times New Roman"/>
                  <w:color w:val="000000"/>
                  <w:sz w:val="20"/>
                </w:rPr>
                <w:t xml:space="preserve">CAPITALIZATION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S-18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dotn">
              <w:r>
                <w:rPr>
                  <w:rStyle w:val="InternetLink"/>
                  <w:rFonts w:ascii="Times New Roman" w:hAnsi="Times New Roman"/>
                  <w:color w:val="000000"/>
                  <w:sz w:val="20"/>
                </w:rPr>
                <w:t xml:space="preserve">DESCRIPTION OF THE NOTES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S-19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musf">
              <w:r>
                <w:rPr>
                  <w:rStyle w:val="InternetLink"/>
                  <w:rFonts w:ascii="Times New Roman" w:hAnsi="Times New Roman"/>
                  <w:color w:val="000000"/>
                  <w:sz w:val="20"/>
                </w:rPr>
                <w:t xml:space="preserve">MATERIAL UNITED STATES FEDERAL INCOME TAX CONSEQUENCES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S-28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und">
              <w:r>
                <w:rPr>
                  <w:rStyle w:val="InternetLink"/>
                  <w:rFonts w:ascii="Times New Roman" w:hAnsi="Times New Roman"/>
                  <w:color w:val="000000"/>
                  <w:sz w:val="20"/>
                </w:rPr>
                <w:t xml:space="preserve">UNDERWRITING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S-33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lema">
              <w:r>
                <w:rPr>
                  <w:rStyle w:val="InternetLink"/>
                  <w:rFonts w:ascii="Times New Roman" w:hAnsi="Times New Roman"/>
                  <w:color w:val="000000"/>
                  <w:sz w:val="20"/>
                </w:rPr>
                <w:t xml:space="preserve">LEGAL MATTERS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S-36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irpa">
              <w:r>
                <w:rPr>
                  <w:rStyle w:val="InternetLink"/>
                  <w:rFonts w:ascii="Times New Roman" w:hAnsi="Times New Roman"/>
                  <w:color w:val="000000"/>
                  <w:sz w:val="20"/>
                </w:rPr>
                <w:t xml:space="preserve">INDEPENDENT REGISTERED PUBLIC ACCOUNTING FIRM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S-36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avin">
              <w:r>
                <w:rPr>
                  <w:rStyle w:val="InternetLink"/>
                  <w:rFonts w:ascii="Times New Roman" w:hAnsi="Times New Roman"/>
                  <w:color w:val="000000"/>
                  <w:sz w:val="20"/>
                </w:rPr>
                <w:t xml:space="preserve">AVAILABLE INFORMATION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S-36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hyperlink w:anchor="sibr">
              <w:r>
                <w:rPr>
                  <w:rStyle w:val="InternetLink"/>
                  <w:rFonts w:ascii="Times New Roman" w:hAnsi="Times New Roman"/>
                  <w:color w:val="000000"/>
                  <w:sz w:val="20"/>
                </w:rPr>
                <w:t xml:space="preserve">INCORPORATION BY REFERENCE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S-37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20" w:after="283"/>
        <w:jc w:val="center"/>
        <w:rPr>
          <w:rFonts w:ascii="Times New Roman" w:hAnsi="Times New Roman"/>
          <w:sz w:val="20"/>
        </w:rPr>
      </w:pPr>
      <w:r>
        <w:rPr>
          <w:rFonts w:ascii="Times New Roman" w:hAnsi="Times New Roman"/>
          <w:b/>
          <w:color w:val="000000"/>
          <w:sz w:val="20"/>
        </w:rPr>
        <w:t>Prospectus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64"/>
        <w:gridCol w:w="146"/>
        <w:gridCol w:w="146"/>
        <w:gridCol w:w="357"/>
        <w:gridCol w:w="392"/>
      </w:tblGrid>
      <w:tr>
        <w:trPr/>
        <w:tc>
          <w:tcPr>
            <w:tcW w:w="9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atp">
              <w:r>
                <w:rPr>
                  <w:rStyle w:val="InternetLink"/>
                  <w:rFonts w:ascii="Times New Roman" w:hAnsi="Times New Roman"/>
                  <w:color w:val="000000"/>
                  <w:sz w:val="20"/>
                </w:rPr>
                <w:t xml:space="preserve">ABOUT THIS PROSPECTUS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rsu">
              <w:r>
                <w:rPr>
                  <w:rStyle w:val="InternetLink"/>
                  <w:rFonts w:ascii="Times New Roman" w:hAnsi="Times New Roman"/>
                  <w:color w:val="000000"/>
                  <w:sz w:val="20"/>
                </w:rPr>
                <w:t xml:space="preserve">PROSPECTUS SUMMARY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fae">
              <w:r>
                <w:rPr>
                  <w:rStyle w:val="InternetLink"/>
                  <w:rFonts w:ascii="Times New Roman" w:hAnsi="Times New Roman"/>
                  <w:color w:val="000000"/>
                  <w:sz w:val="20"/>
                </w:rPr>
                <w:t xml:space="preserve">FEES AND EXPENSES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fihi">
              <w:r>
                <w:rPr>
                  <w:rStyle w:val="InternetLink"/>
                  <w:rFonts w:ascii="Times New Roman" w:hAnsi="Times New Roman"/>
                  <w:color w:val="000000"/>
                  <w:sz w:val="20"/>
                </w:rPr>
                <w:t xml:space="preserve">FINANCIAL HIGHLIGHTS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fia">
              <w:r>
                <w:rPr>
                  <w:rStyle w:val="InternetLink"/>
                  <w:rFonts w:ascii="Times New Roman" w:hAnsi="Times New Roman"/>
                  <w:color w:val="000000"/>
                  <w:sz w:val="20"/>
                </w:rPr>
                <w:t xml:space="preserve">SELECTED FINANCIAL INFORMATION AND OTHER DATA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ifa">
              <w:r>
                <w:rPr>
                  <w:rStyle w:val="InternetLink"/>
                  <w:rFonts w:ascii="Times New Roman" w:hAnsi="Times New Roman"/>
                  <w:color w:val="000000"/>
                  <w:sz w:val="20"/>
                </w:rPr>
                <w:t xml:space="preserve">RISK FACTORS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nrf">
              <w:r>
                <w:rPr>
                  <w:rStyle w:val="InternetLink"/>
                  <w:rFonts w:ascii="Times New Roman" w:hAnsi="Times New Roman"/>
                  <w:color w:val="000000"/>
                  <w:sz w:val="20"/>
                </w:rPr>
                <w:t xml:space="preserve">SPECIAL NOTE REGARDING FORWARD-LOOKING STATEMENTS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uop">
              <w:r>
                <w:rPr>
                  <w:rStyle w:val="InternetLink"/>
                  <w:rFonts w:ascii="Times New Roman" w:hAnsi="Times New Roman"/>
                  <w:color w:val="000000"/>
                  <w:sz w:val="20"/>
                </w:rPr>
                <w:t xml:space="preserve">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roc">
              <w:r>
                <w:rPr>
                  <w:rStyle w:val="InternetLink"/>
                  <w:rFonts w:ascii="Times New Roman" w:hAnsi="Times New Roman"/>
                  <w:color w:val="000000"/>
                  <w:sz w:val="20"/>
                </w:rPr>
                <w:t xml:space="preserve">PRICE RANGE OF COMMON STOCK AND DISTRIBUTIONS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 </w:t>
            </w:r>
          </w:p>
        </w:tc>
        <w:tc>
          <w:tcPr>
            <w:tcW w:w="39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madi">
              <w:r>
                <w:rPr>
                  <w:rStyle w:val="InternetLink"/>
                  <w:rFonts w:ascii="Times New Roman" w:hAnsi="Times New Roman"/>
                  <w:color w:val="000080"/>
                  <w:sz w:val="20"/>
                </w:rPr>
                <w:t xml:space="preserve">MANAGEMENT’S DISCUSSION AND ANALYSIS OF FINANCIAL CONDITION AND </w:t>
              </w:r>
            </w:hyperlink>
            <w:hyperlink w:anchor="tmadi">
              <w:r>
                <w:rPr>
                  <w:rStyle w:val="InternetLink"/>
                  <w:rFonts w:ascii="Times New Roman" w:hAnsi="Times New Roman"/>
                  <w:color w:val="000080"/>
                  <w:sz w:val="20"/>
                </w:rPr>
                <w:t xml:space="preserve">RESULTS OF OPERATIONS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bus">
              <w:r>
                <w:rPr>
                  <w:rStyle w:val="InternetLink"/>
                  <w:rFonts w:ascii="Times New Roman" w:hAnsi="Times New Roman"/>
                  <w:color w:val="000000"/>
                  <w:sz w:val="20"/>
                </w:rPr>
                <w:t xml:space="preserve">BUSINESS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ese">
              <w:r>
                <w:rPr>
                  <w:rStyle w:val="InternetLink"/>
                  <w:rFonts w:ascii="Times New Roman" w:hAnsi="Times New Roman"/>
                  <w:color w:val="000000"/>
                  <w:sz w:val="20"/>
                </w:rPr>
                <w:t xml:space="preserve">SENIOR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oco">
              <w:r>
                <w:rPr>
                  <w:rStyle w:val="InternetLink"/>
                  <w:rFonts w:ascii="Times New Roman" w:hAnsi="Times New Roman"/>
                  <w:color w:val="000000"/>
                  <w:sz w:val="20"/>
                </w:rPr>
                <w:t xml:space="preserve">PORTFOLIO COMPANIES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man">
              <w:r>
                <w:rPr>
                  <w:rStyle w:val="InternetLink"/>
                  <w:rFonts w:ascii="Times New Roman" w:hAnsi="Times New Roman"/>
                  <w:color w:val="000000"/>
                  <w:sz w:val="20"/>
                </w:rPr>
                <w:t xml:space="preserve">MANAGEMENT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maoa">
              <w:r>
                <w:rPr>
                  <w:rStyle w:val="InternetLink"/>
                  <w:rFonts w:ascii="Times New Roman" w:hAnsi="Times New Roman"/>
                  <w:color w:val="000000"/>
                  <w:sz w:val="20"/>
                </w:rPr>
                <w:t xml:space="preserve">MANAGEMENT AND OTHER AGREEMENTS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tac">
              <w:r>
                <w:rPr>
                  <w:rStyle w:val="InternetLink"/>
                  <w:rFonts w:ascii="Times New Roman" w:hAnsi="Times New Roman"/>
                  <w:color w:val="000000"/>
                  <w:sz w:val="20"/>
                </w:rPr>
                <w:t xml:space="preserve">RELATED-PARTY TRANSACTIONS AND CERTAIN RELATIONSHIPS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pap">
              <w:r>
                <w:rPr>
                  <w:rStyle w:val="InternetLink"/>
                  <w:rFonts w:ascii="Times New Roman" w:hAnsi="Times New Roman"/>
                  <w:color w:val="000000"/>
                  <w:sz w:val="20"/>
                </w:rPr>
                <w:t xml:space="preserve">CONTROL PERSONS AND PRINCIPAL SHAREHOLDERS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na">
              <w:r>
                <w:rPr>
                  <w:rStyle w:val="InternetLink"/>
                  <w:rFonts w:ascii="Times New Roman" w:hAnsi="Times New Roman"/>
                  <w:color w:val="000000"/>
                  <w:sz w:val="20"/>
                </w:rPr>
                <w:t xml:space="preserve">DETERMINATION OF NET ASSET VALUE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rp">
              <w:r>
                <w:rPr>
                  <w:rStyle w:val="InternetLink"/>
                  <w:rFonts w:ascii="Times New Roman" w:hAnsi="Times New Roman"/>
                  <w:color w:val="000000"/>
                  <w:sz w:val="20"/>
                </w:rPr>
                <w:t xml:space="preserve">DIVIDEND REINVESTMENT PLAN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ufi">
              <w:r>
                <w:rPr>
                  <w:rStyle w:val="InternetLink"/>
                  <w:rFonts w:ascii="Times New Roman" w:hAnsi="Times New Roman"/>
                  <w:color w:val="000000"/>
                  <w:sz w:val="20"/>
                </w:rPr>
                <w:t xml:space="preserve">CERTAIN U.S. FEDERAL INCOME TAX CONSIDERATIONS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7610" w:type="dxa"/>
        <w:jc w:val="left"/>
        <w:tblInd w:w="0" w:type="dxa"/>
        <w:tblLayout w:type="fixed"/>
        <w:tblCellMar>
          <w:top w:w="28" w:type="dxa"/>
          <w:left w:w="28" w:type="dxa"/>
          <w:bottom w:w="28" w:type="dxa"/>
          <w:right w:w="28" w:type="dxa"/>
        </w:tblCellMar>
      </w:tblPr>
      <w:tblGrid>
        <w:gridCol w:w="6766"/>
        <w:gridCol w:w="146"/>
        <w:gridCol w:w="146"/>
        <w:gridCol w:w="361"/>
        <w:gridCol w:w="191"/>
      </w:tblGrid>
      <w:tr>
        <w:trPr/>
        <w:tc>
          <w:tcPr>
            <w:tcW w:w="6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s">
              <w:r>
                <w:rPr>
                  <w:rStyle w:val="InternetLink"/>
                  <w:rFonts w:ascii="Times New Roman" w:hAnsi="Times New Roman"/>
                  <w:color w:val="000000"/>
                  <w:sz w:val="20"/>
                </w:rPr>
                <w:t xml:space="preserve">DESCRIPTION OF OUR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c">
              <w:r>
                <w:rPr>
                  <w:rStyle w:val="InternetLink"/>
                  <w:rFonts w:ascii="Times New Roman" w:hAnsi="Times New Roman"/>
                  <w:color w:val="000000"/>
                  <w:sz w:val="20"/>
                </w:rPr>
                <w:t xml:space="preserve">DESCRIPTION OF OUR CAPITAL STOCK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p">
              <w:r>
                <w:rPr>
                  <w:rStyle w:val="InternetLink"/>
                  <w:rFonts w:ascii="Times New Roman" w:hAnsi="Times New Roman"/>
                  <w:color w:val="000000"/>
                  <w:sz w:val="20"/>
                </w:rPr>
                <w:t xml:space="preserve">DESCRIPTION OF OUR PREFERRED STOCK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60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s1">
              <w:r>
                <w:rPr>
                  <w:rStyle w:val="InternetLink"/>
                  <w:rFonts w:ascii="Times New Roman" w:hAnsi="Times New Roman"/>
                  <w:color w:val="000000"/>
                  <w:sz w:val="20"/>
                </w:rPr>
                <w:t xml:space="preserve">DESCRIPTION OF OUR SUBSCRIPTION RIGHTS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20" w:after="283"/>
              <w:jc w:val="left"/>
              <w:rPr/>
            </w:pPr>
            <w:hyperlink w:anchor="tdoow">
              <w:r>
                <w:rPr>
                  <w:rStyle w:val="InternetLink"/>
                  <w:rFonts w:ascii="Times New Roman" w:hAnsi="Times New Roman"/>
                  <w:color w:val="000000"/>
                  <w:sz w:val="20"/>
                </w:rPr>
                <w:t xml:space="preserve">DESCRIPTION OF OUR WARRANTS </w:t>
              </w:r>
            </w:hyperlink>
          </w:p>
        </w:tc>
        <w:tc>
          <w:tcPr>
            <w:tcW w:w="146" w:type="dxa"/>
            <w:tcBorders/>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20" w:after="283"/>
              <w:jc w:val="right"/>
              <w:rPr>
                <w:rFonts w:ascii="Times New Roman" w:hAnsi="Times New Roman"/>
                <w:color w:val="000000"/>
                <w:sz w:val="20"/>
              </w:rPr>
            </w:pPr>
            <w:r>
              <w:rPr>
                <w:rFonts w:ascii="Times New Roman" w:hAnsi="Times New Roman"/>
                <w:color w:val="000000"/>
                <w:sz w:val="20"/>
              </w:rPr>
              <w:t xml:space="preserve">62 </w:t>
            </w:r>
          </w:p>
        </w:tc>
        <w:tc>
          <w:tcPr>
            <w:tcW w:w="19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dood">
              <w:r>
                <w:rPr>
                  <w:rStyle w:val="InternetLink"/>
                  <w:rFonts w:ascii="Times New Roman" w:hAnsi="Times New Roman"/>
                  <w:color w:val="000000"/>
                  <w:sz w:val="20"/>
                </w:rPr>
                <w:t xml:space="preserve">DESCRIPTION OF OUR DEBT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reg">
              <w:r>
                <w:rPr>
                  <w:rStyle w:val="InternetLink"/>
                  <w:rFonts w:ascii="Times New Roman" w:hAnsi="Times New Roman"/>
                  <w:color w:val="000000"/>
                  <w:sz w:val="20"/>
                </w:rPr>
                <w:t xml:space="preserve">REGULATION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pod">
              <w:r>
                <w:rPr>
                  <w:rStyle w:val="InternetLink"/>
                  <w:rFonts w:ascii="Times New Roman" w:hAnsi="Times New Roman"/>
                  <w:color w:val="000000"/>
                  <w:sz w:val="20"/>
                </w:rPr>
                <w:t xml:space="preserve">PLAN OF DISTRIBUTION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79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ctad">
              <w:r>
                <w:rPr>
                  <w:rStyle w:val="InternetLink"/>
                  <w:rFonts w:ascii="Times New Roman" w:hAnsi="Times New Roman"/>
                  <w:color w:val="000000"/>
                  <w:sz w:val="20"/>
                </w:rPr>
                <w:t xml:space="preserve">CUSTODIAN, TRANSFER AND DIVIDEND PAYING AGENT AND REGISTRAR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baao">
              <w:r>
                <w:rPr>
                  <w:rStyle w:val="InternetLink"/>
                  <w:rFonts w:ascii="Times New Roman" w:hAnsi="Times New Roman"/>
                  <w:color w:val="000000"/>
                  <w:sz w:val="20"/>
                </w:rPr>
                <w:t xml:space="preserve">BROKERAGE ALLOCATION AND OTHER PRACTICES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lema">
              <w:r>
                <w:rPr>
                  <w:rStyle w:val="InternetLink"/>
                  <w:rFonts w:ascii="Times New Roman" w:hAnsi="Times New Roman"/>
                  <w:color w:val="000000"/>
                  <w:sz w:val="20"/>
                </w:rPr>
                <w:t xml:space="preserve">LEGAL MATTERS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irpa">
              <w:r>
                <w:rPr>
                  <w:rStyle w:val="InternetLink"/>
                  <w:rFonts w:ascii="Times New Roman" w:hAnsi="Times New Roman"/>
                  <w:color w:val="000000"/>
                  <w:sz w:val="20"/>
                </w:rPr>
                <w:t xml:space="preserve">INDEPENDENT REGISTERED PUBLIC ACCOUNTING FIRM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avin">
              <w:r>
                <w:rPr>
                  <w:rStyle w:val="InternetLink"/>
                  <w:rFonts w:ascii="Times New Roman" w:hAnsi="Times New Roman"/>
                  <w:color w:val="000000"/>
                  <w:sz w:val="20"/>
                </w:rPr>
                <w:t xml:space="preserve">AVAILABLE INFORMATION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hyperlink w:anchor="tioci">
              <w:r>
                <w:rPr>
                  <w:rStyle w:val="InternetLink"/>
                  <w:rFonts w:ascii="Times New Roman" w:hAnsi="Times New Roman"/>
                  <w:color w:val="000000"/>
                  <w:sz w:val="20"/>
                </w:rPr>
                <w:t xml:space="preserve">INCORPORATION OF CERTAIN INFORMATION BY REFERENCE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82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RUNWAY GROWTH FINANCE CORP.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S-ii</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ind w:left="0" w:right="0" w:hanging="0"/>
        <w:jc w:val="center"/>
        <w:rPr>
          <w:rFonts w:ascii="Times New Roman" w:hAnsi="Times New Roman"/>
          <w:sz w:val="20"/>
          <w:bdr w:val="single" w:sz="4" w:space="1" w:color="000000"/>
        </w:rPr>
      </w:pPr>
      <w:bookmarkStart w:id="2" w:name="spss"/>
      <w:bookmarkEnd w:id="2"/>
      <w:r>
        <w:rPr>
          <w:rFonts w:ascii="Times New Roman" w:hAnsi="Times New Roman"/>
          <w:b/>
          <w:color w:val="000000"/>
          <w:sz w:val="20"/>
          <w:bdr w:val="single" w:sz="4" w:space="1" w:color="000000"/>
        </w:rPr>
        <w:t>PROSPECTUS SUPPLEMENT SUMMARY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The following summary highlights some of the information included elsewhere, or incorporated by reference, in this prospectus supplement or the accompanying prospectus. It is not complete and may not contain all the information that you may want to consider before making any investment decision regarding the Notes offered hereby. To understand the terms of the Notes offered hereby before making any investment decision, you should carefully read this entire prospectus supplement and the accompanying prospectus, including the documents incorporated by reference herein or therein, and any free writing prospectus related to the offering of Notes, including “Supplementary Risk Factors,” “Risk Factors,” “Available Information,” “Incorporation by Reference,” and “Use of Proceeds” and the financial statements contained elsewhere or incorporated by reference in this prospectus supplement and the accompanying prospectus. Together, these documents describe the specific terms of the Notes we are offering. Throughout this prospectus we refer to Runway Growth Finance Corp. as “we,” “us,” “our” or the “Company,” and to “Runway Growth Capital LLC,” our investment adviser, as “Runway Growth Capital,” the “Adviser” or “RGC</w:t>
      </w:r>
      <w:r>
        <w:rPr>
          <w:rFonts w:ascii="Times New Roman" w:hAnsi="Times New Roman"/>
          <w:color w:val="000000"/>
          <w:sz w:val="20"/>
          <w:bdr w:val="single" w:sz="4" w:space="1" w:color="000000"/>
        </w:rPr>
        <w:t xml:space="preserve">.” </w:t>
      </w:r>
    </w:p>
    <w:p>
      <w:pPr>
        <w:pStyle w:val="TextBody"/>
        <w:bidi w:val="0"/>
        <w:spacing w:before="220" w:after="283"/>
        <w:jc w:val="left"/>
        <w:rPr>
          <w:rFonts w:ascii="Times New Roman" w:hAnsi="Times New Roman"/>
          <w:sz w:val="20"/>
          <w:bdr w:val="single" w:sz="4" w:space="1" w:color="000000"/>
        </w:rPr>
      </w:pPr>
      <w:r>
        <w:rPr>
          <w:rFonts w:ascii="Times New Roman" w:hAnsi="Times New Roman"/>
          <w:b/>
          <w:color w:val="000000"/>
          <w:sz w:val="20"/>
          <w:bdr w:val="single" w:sz="4" w:space="1" w:color="000000"/>
        </w:rPr>
        <w:t>Runway Growth Finance Corp.</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We are managed by Runway Growth Capital, an experienced provider of growth financing for dynamic, late- and growth-stage companies. As of June 30, 2026, we had an investment portfolio of $1.2 billion at fair value, and a net asset value of $502.6 million.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structured as an externally managed, non-diversified closed-end management investment company that has elected to be regulated as a business development company (“BDC”) under the Investment Company Act of 1940, as amended (the “1940 Act”). We have also elected to be treated, and intend to qualify annually, as a regulated investment company (“RIC”) under subchapter M of the Internal Revenue Code of 1986, as amended (the “Code”), for U.S. federal income tax purposes. See “Material United States Federal Income Tax Consequences.” </w:t>
      </w:r>
    </w:p>
    <w:p>
      <w:pPr>
        <w:pStyle w:val="TextBody"/>
        <w:bidi w:val="0"/>
        <w:spacing w:before="220" w:after="283"/>
        <w:jc w:val="left"/>
        <w:rPr>
          <w:rFonts w:ascii="Times New Roman" w:hAnsi="Times New Roman"/>
          <w:sz w:val="20"/>
          <w:bdr w:val="single" w:sz="4" w:space="1" w:color="000000"/>
        </w:rPr>
      </w:pPr>
      <w:r>
        <w:rPr>
          <w:rFonts w:ascii="Times New Roman" w:hAnsi="Times New Roman"/>
          <w:b/>
          <w:color w:val="000000"/>
          <w:sz w:val="20"/>
          <w:bdr w:val="single" w:sz="4" w:space="1" w:color="000000"/>
        </w:rPr>
        <w:t>Our Adviser</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externally managed by RGC. RGC was formed in 2015 to pursue an investment strategy focused on providing growth financing for dynamic, late- and growth-stage companies. David Spreng, our Co-Chief Executive Officer and President, formed RGC following a more than 25-year career in venture capital investing and lending. RGC has 28 employees across three offices in the United States, including 15 investment professionals focused on origination, underwriting, and managing our investment portfolio. RGC consistently demonstrates a credit-first culture while maintaining what they believe is an admirable reputation among borrowers for industry knowledge, creativity, and understanding of the challenges often faced by late- and growth-stage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January 2025, RGC was acquired by a private investment fund advised by BC Partners Advisors L.P. (“BC Partners Credit”) and Mount Logan Capital Inc. (“MLCI”), an affiliate of BC Partners Credit.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the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 </w:t>
      </w:r>
    </w:p>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RGC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RGC a fee for its investment advisory and management services consisting of two components: a base management fee and an incentive fee. The cost of the base management fee and incentive fee are each borne by our stockholders. For more information,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in the accompanying Prospectus.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left"/>
        <w:rPr>
          <w:rFonts w:ascii="Times New Roman" w:hAnsi="Times New Roman"/>
          <w:sz w:val="20"/>
          <w:bdr w:val="single" w:sz="4" w:space="1" w:color="000000"/>
        </w:rPr>
      </w:pPr>
      <w:r>
        <w:rPr>
          <w:rFonts w:ascii="Times New Roman" w:hAnsi="Times New Roman"/>
          <w:b/>
          <w:color w:val="000000"/>
          <w:sz w:val="20"/>
          <w:bdr w:val="single" w:sz="4" w:space="1" w:color="000000"/>
        </w:rPr>
        <w:t>Our Portfolio</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June 30, 2026, we had investments in 79 companies, representing 33 companies in which we held a combination of debt and equity investments, 13 companies in which we held debt investments only, 32 companies in which we held equity investments only, and one company in which we held equity interests only. As of June 30, 2026, our debt investment portfolio had an aggregate fair value of approximately $1.1 billion and our equity portfolio had an aggregate fair value of approximately $70.0 million.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June 30, 2026, approximately $1.1 billion, or 95.7%, of our debt investment portfolio at fair value consisted of first lien senior secured loans, approximately $22.3 million, or 2.0%, of second lien senior secured loans, and approximately $25.6 million, or 2.3%, of subordinated loans.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June 30, 2026, we had a total of $146.7 million in unfunded commitments, which was comprised of $123.9 million to provide debt financing to our portfolio companies and $22.8 million in unfunded commitments to provide equity financing to Runway-Cadma I LLC, a joint venture entity established with Cadma Capital Partners LLC, pursuant to a joint venture agreement dated March 6, 2024. We believe that our available cash balances and availability under our Credit Agreement with KeyBank National Association (as amended, the “Credit Facility”) provide sufficient funds to cover our unfunded commitments as of June 30, 2026.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For the three and six months ended June 30, 2026, our debt investment portfolio had a dollar-weighted annualized yield of 14.2% and 13.9%,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June 30, 2026, our debt investments had a dollar-weighted average term of 49 months at origination and a dollar-weighted average remaining term of 31 months, or approximately 2.6 years. As of June 30, 2026, substantially all of our debt investments had a committed principal amount between $5.5 million and $81.4 million and paid cash interest at annual interest rates between 6.3% and 14.7%. </w:t>
      </w:r>
    </w:p>
    <w:p>
      <w:pPr>
        <w:pStyle w:val="TextBody"/>
        <w:bidi w:val="0"/>
        <w:spacing w:before="160" w:after="16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following table shows our dollar-weighted annualized yield by investment type for the three and six months ended June 30, 2026 and 2025: </w:t>
      </w:r>
    </w:p>
    <w:tbl>
      <w:tblPr>
        <w:tblW w:w="10842" w:type="dxa"/>
        <w:jc w:val="left"/>
        <w:tblInd w:w="0" w:type="dxa"/>
        <w:tblLayout w:type="fixed"/>
        <w:tblCellMar>
          <w:top w:w="28" w:type="dxa"/>
          <w:left w:w="28" w:type="dxa"/>
          <w:bottom w:w="28" w:type="dxa"/>
          <w:right w:w="28" w:type="dxa"/>
        </w:tblCellMar>
      </w:tblPr>
      <w:tblGrid>
        <w:gridCol w:w="1031"/>
        <w:gridCol w:w="146"/>
        <w:gridCol w:w="146"/>
        <w:gridCol w:w="511"/>
        <w:gridCol w:w="146"/>
        <w:gridCol w:w="241"/>
        <w:gridCol w:w="146"/>
        <w:gridCol w:w="146"/>
        <w:gridCol w:w="511"/>
        <w:gridCol w:w="146"/>
        <w:gridCol w:w="241"/>
        <w:gridCol w:w="146"/>
        <w:gridCol w:w="146"/>
        <w:gridCol w:w="511"/>
        <w:gridCol w:w="146"/>
        <w:gridCol w:w="241"/>
        <w:gridCol w:w="146"/>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386"/>
      </w:tblGrid>
      <w:tr>
        <w:trPr/>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0" w:type="dxa"/>
            <w:gridSpan w:val="20"/>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9" w:type="dxa"/>
            <w:gridSpan w:val="19"/>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investments &amp;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5" w:space="1" w:color="000000"/>
        </w:pBdr>
        <w:bidi w:val="0"/>
        <w:jc w:val="left"/>
        <w:rPr>
          <w:bdr w:val="single" w:sz="4" w:space="1" w:color="000000"/>
        </w:rPr>
      </w:pPr>
      <w:r>
        <w:rPr>
          <w:bdr w:val="single" w:sz="4" w:space="1" w:color="000000"/>
        </w:rPr>
        <w:t>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 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(2) 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left"/>
        <w:rPr>
          <w:rFonts w:ascii="Times New Roman" w:hAnsi="Times New Roman"/>
          <w:sz w:val="20"/>
          <w:bdr w:val="single" w:sz="4" w:space="1" w:color="000000"/>
        </w:rPr>
      </w:pPr>
      <w:r>
        <w:rPr>
          <w:rFonts w:ascii="Times New Roman" w:hAnsi="Times New Roman"/>
          <w:b/>
          <w:color w:val="000000"/>
          <w:sz w:val="20"/>
          <w:bdr w:val="single" w:sz="4" w:space="1" w:color="000000"/>
        </w:rPr>
        <w:t>Investment Strategy and Approach</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investment objective is to maximize our total return to our stockholders primarily through current income on our loan portfolio and secondarily through capital gains on our warrants and other equity positions. We invest in senior secured first lien loans and other senior debt obligations and may on occasion invest in senior secured second lien loans. We have and expect to continue to acquire warrants and other equity securities from portfolio companies in connection with our investments in loans to these companies.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focus on lending to high growth-potential companies in technology, healthcare, business services, financial services, select consumer services and products and other high-growth industries.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originate our investments through two strategies: Sponsored Growth Lending and Non-Sponsored Growth Lending. In addition to our core strategies of providing Sponsored Growth Lending and Non-Sponsored Growth Lending, we may also opportunistically participate in the secondary markets for investments that are consistent with our broader investment strategy.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view acquisitions as a complement to, rather than a substitute for, organic growth. We remain committed to investing in our core business while simultaneously pursuing acquisitions that we believe will enhance our competitive position and our long-term growth.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 Certain of the loans in which we may invest or obtain exposure to through our investments may be deemed “covenant-lite” loans, which means the loans contain fewer or no maintenance covenants compared to other loans and do not include terms which allow the lender to monitor the performance of the borrower and declare a default if certain criteria are breached. See “Risk Factors — Risks Related to our Investments — We may be subject to risks associated with our investments in covenant-lite loans” in our most recent Annual Report on Form 10-K.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Sponsored Growth Lending</w:t>
      </w:r>
      <w:r>
        <w:rPr>
          <w:rFonts w:ascii="Times New Roman" w:hAnsi="Times New Roman"/>
          <w:color w:val="000000"/>
          <w:sz w:val="20"/>
          <w:bdr w:val="single" w:sz="4" w:space="1" w:color="000000"/>
        </w:rPr>
        <w:t xml:space="preserve">. Our Sponsored Growth Lending strategy generally includes loans to late- and growth-stage companies that are already backed by established venture capital and private equity firms. Our Sponsored Growth Lending strategy typically includes the receipt of warrants and/or other equity from these venture-backed companies.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provides us access to many high-quality companies backed by top-tier venture capital and private equity investors;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delivers consistent returns through double-digit loan yields; and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often offers us the ability to participate in equity upside of portfolio companies through the acquisition of warrants or success fees.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Non-Sponsored Growth Lending</w:t>
      </w:r>
      <w:r>
        <w:rPr>
          <w:rFonts w:ascii="Times New Roman" w:hAnsi="Times New Roman"/>
          <w:color w:val="000000"/>
          <w:sz w:val="20"/>
          <w:bdr w:val="single" w:sz="4" w:space="1" w:color="000000"/>
        </w:rPr>
        <w:t xml:space="preserve">. Our Non-Sponsored Growth Lending strategy generally includes loans to late- and growth-stage, private companies that are funded directly by entrepreneurs and founders, or companies that no longer require institutional equity investment (which may selectively include publicly traded companies). We refer to these target borrowers as “non-sponsored growth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Generally, financing available to these non-sponsored growth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Market Opportunity</w:t>
      </w:r>
      <w:r>
        <w:rPr>
          <w:rFonts w:ascii="Times New Roman" w:hAnsi="Times New Roman"/>
          <w:color w:val="000000"/>
          <w:sz w:val="20"/>
          <w:bdr w:val="single" w:sz="4" w:space="1" w:color="000000"/>
        </w:rPr>
        <w:t xml:space="preserve">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that the market environment is favorable for us to continue to pursue an investment strategy primarily focused on late-stage and high-growth companies in technology, healthcare, business services, financial services, and select consumer services and products in other high-growth industries.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ind w:left="0" w:right="0" w:hanging="0"/>
        <w:jc w:val="both"/>
        <w:rPr>
          <w:rFonts w:ascii="Times New Roman" w:hAnsi="Times New Roman"/>
          <w:sz w:val="20"/>
          <w:bdr w:val="single" w:sz="4" w:space="1" w:color="000000"/>
        </w:rPr>
      </w:pPr>
      <w:r>
        <w:rPr>
          <w:rFonts w:ascii="Times New Roman" w:hAnsi="Times New Roman"/>
          <w:b/>
          <w:i/>
          <w:color w:val="000000"/>
          <w:sz w:val="20"/>
          <w:bdr w:val="single" w:sz="4" w:space="1" w:color="000000"/>
        </w:rPr>
        <w:t>Focus on Innovative Companies Across a Variety of High-Growth Industries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Diversified high growth-potential industries</w:t>
      </w:r>
      <w:r>
        <w:rPr>
          <w:rFonts w:ascii="Times New Roman" w:hAnsi="Times New Roman"/>
          <w:color w:val="000000"/>
          <w:sz w:val="20"/>
          <w:bdr w:val="single" w:sz="4" w:space="1" w:color="000000"/>
        </w:rPr>
        <w:t xml:space="preserve">: We target companies active in industries that support high 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 </w:t>
      </w:r>
    </w:p>
    <w:p>
      <w:pPr>
        <w:pStyle w:val="TextBody"/>
        <w:bidi w:val="0"/>
        <w:spacing w:before="22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Sponsored and Non-Sponsored Growth Lending Represents an Attractive Source of Funding</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Sponsored Growth Lending</w:t>
      </w:r>
      <w:r>
        <w:rPr>
          <w:rFonts w:ascii="Times New Roman" w:hAnsi="Times New Roman"/>
          <w:color w:val="000000"/>
          <w:sz w:val="20"/>
          <w:bdr w:val="single" w:sz="4" w:space="1" w:color="000000"/>
        </w:rPr>
        <w:t xml:space="preserve">: An attractive market opportunity exists for a lender that invests in secured loans to late- and growth-stage companies that have not yet achieved profitability, but oftentimes have sustainable cash flow positive operations. Sponsored Growth Lending provides an attractive source of funds for venture-backed companies, their management teams, and their equity capital investors, as it: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is typically less dilutive and complements equity financing from venture capital and private equity funds;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often extends the time period during which a company can operate before seeking additional equity capital or pursuing a sale transaction or other liquidity event; and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generally allows companies to better match cash sources with uses. </w:t>
      </w:r>
    </w:p>
    <w:p>
      <w:pPr>
        <w:pStyle w:val="TextBody"/>
        <w:bidi w:val="0"/>
        <w:spacing w:before="14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Non-Sponsored Growth Lending</w:t>
      </w:r>
      <w:r>
        <w:rPr>
          <w:rFonts w:ascii="Times New Roman" w:hAnsi="Times New Roman"/>
          <w:color w:val="000000"/>
          <w:sz w:val="20"/>
          <w:bdr w:val="single" w:sz="4" w:space="1" w:color="000000"/>
        </w:rPr>
        <w:t xml:space="preserve">: An attractive market opportunity exists for a lender that invests in secured loans to late- and growth-stage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access to growth capital without the requirement to take on institutional-size investments that may exceed the company’s capital requirements;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tax deductible interest payments;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significant operational involvement;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personal guarantees;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very modest dilution, if any; and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loss of managerial control or forced redemption.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Large and Growing Market for Debt Financing to Venture Capital-Backed Companies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Healthy, stable venture environment: </w:t>
      </w:r>
      <w:r>
        <w:rPr>
          <w:rFonts w:ascii="Times New Roman" w:hAnsi="Times New Roman"/>
          <w:color w:val="000000"/>
          <w:sz w:val="20"/>
          <w:bdr w:val="single" w:sz="4" w:space="1" w:color="000000"/>
        </w:rPr>
        <w:t xml:space="preserve">Approximately 7,541 companies received venture capital financing in the first half of 2026, according to the Pitchbook-NVCA Venture Monitor, a quarterly report published jointly by NVCA and Pitchbook on venture capital activity (“Pitchbook-NVCA”). Deal activity remained steady through the first half of 2026, and deal value reached record levels of $412.7 billion as of Q2 2026, outperforming any single full year total over the past decade. We anticipate that the market for borrowers will gradually improve over the coming quarters, subject to market and economic conditions. The venture debt lending market, as defined in the Q2 2026 Pitchbook-NVCA Venture Monitor, is estimated at $64.7 billion, or roughly 15.7% of total U.S. venture capital deal value.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ind w:left="0" w:right="0" w:hanging="0"/>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Growing pool of target companies: </w:t>
      </w:r>
      <w:r>
        <w:rPr>
          <w:rFonts w:ascii="Times New Roman" w:hAnsi="Times New Roman"/>
          <w:color w:val="000000"/>
          <w:sz w:val="20"/>
          <w:bdr w:val="single" w:sz="4" w:space="1" w:color="000000"/>
        </w:rPr>
        <w:t xml:space="preserve">The time from initial venture capital investment to transaction exit of such investment, either by an initial public offering or merger and acquisition transaction, remained steady in the first half of 2026 at an average of 6.1 years. According to the Q2 2026 Pitchbook-NVCA Venture Monitor, in the first half of 2026, the median number of years from initial venture investment to initial public offering of a U.S. venture capital-backed company was 6.1 years, and the median number of years from initial venture investment to merger and acquisition transaction was 4.8 years. Exit transactions are a small proportion of companies financed by venture capital each year. As a result, the pool of target companies has grown larger with increased demand for private capital. </w:t>
      </w:r>
    </w:p>
    <w:p>
      <w:pPr>
        <w:pStyle w:val="TextBody"/>
        <w:bidi w:val="0"/>
        <w:spacing w:before="22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Highly Fragmented, Underserved Market with High Barriers to Entry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Unfulfilled demand and limited competition</w:t>
      </w:r>
      <w:r>
        <w:rPr>
          <w:rFonts w:ascii="Times New Roman" w:hAnsi="Times New Roman"/>
          <w:color w:val="000000"/>
          <w:sz w:val="20"/>
          <w:bdr w:val="single" w:sz="4" w:space="1" w:color="000000"/>
        </w:rPr>
        <w:t xml:space="preserve">: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Competitive Advantages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we are well positioned to address the market for growth lending in a manner that will result in a competitive advantage over other established sponsored growth lenders. We believe our competitive strengths and key differentiators include: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Experienced, Proven Management Team Supported by a Deep Bench of Dedicated Investment Professionals. </w:t>
      </w:r>
      <w:r>
        <w:rPr>
          <w:rFonts w:ascii="Times New Roman" w:hAnsi="Times New Roman"/>
          <w:color w:val="000000"/>
          <w:sz w:val="20"/>
          <w:bdr w:val="single" w:sz="4" w:space="1" w:color="000000"/>
        </w:rPr>
        <w:t xml:space="preserve">RGC’s executive team, with an average of more than 25 years of experience, and our senior investment professionals, including origination and underwriting, with an average of 24 years of experience, have developed a disciplined and repeatable approach to investing and managing investments in high-growth potential businesses. We believe that the experience, relationships and disciplined investment and risk management processes of RGC’s investment professionals are a competitive advantage for us.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Co-Chief Executive Officer and President, David Spreng, who is also the founder, Co-Chief Executive Officer and Co-Chief Investment Officer of RGC,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Mike Rovner, who serves alongside Mr. Spreng as our Co-Chief Executive Officer and as the Co-Chief Executive Officer and Co-Chief Investment Officer of RGC, has more than 30 years of industry experience spanning early- and growth-stage technology companies, private equity, private credit, and growth lending. Our Chief Financial Officer, Carmela Thomson, has over 15 years of experience as a finance and accounting professional, including 10 years of experience in audit, accounting and risk management for financial institutions. Ms. Thomson also played an integral role in Runway’s initial public offering, and continues to play a role in ongoing capital raising efforts and financial reporting processes.</w:t>
      </w:r>
    </w:p>
    <w:p>
      <w:pPr>
        <w:pStyle w:val="TextBody"/>
        <w:bidi w:val="0"/>
        <w:spacing w:before="16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RGC has a broad team of professionals focused on every aspect of the investment lifecycle.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 This team of experienced professionals is also complemented by our access to the teams of investment professionals at BC Partners Credit and across BC Partners LLP’s (“BC Partners”) integrated platform. </w:t>
      </w:r>
    </w:p>
    <w:p>
      <w:pPr>
        <w:pStyle w:val="TextBody"/>
        <w:bidi w:val="0"/>
        <w:spacing w:before="0" w:after="8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Access to BC Partners Credit Platform. </w:t>
      </w:r>
      <w:r>
        <w:rPr>
          <w:rFonts w:ascii="Times New Roman" w:hAnsi="Times New Roman"/>
          <w:color w:val="000000"/>
          <w:sz w:val="20"/>
          <w:bdr w:val="single" w:sz="4" w:space="1" w:color="000000"/>
        </w:rPr>
        <w:t xml:space="preserve">We believe that access to BC Partners Credit and BC Partners’ credit investment platform (the “BC Partners Credit Platform”) provides us with a strong competitive advantage. The BC Partners Credit Platform functions as an integrated business within the BC Partners organization, utilizing and benefiting from BC Partners’ existing infrastructure and other platforms, including its private equity investment platform. We believe that the BC Partners Credit Platform is synergistic and complementary to our business and will enable us to leverage its deal flow and sector knowledge, creating attractive new investment opportunities. BC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8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Partners Credit’s ability to leverage scale and enhance sourcing capabilities throughout the credit cycle is anticipated to be supported by the resources and expertise available to it from its integration within the broader BC Partners organization, which allows BC Partners Credit to leverage a team of investment professionals across BC Partners’ private equity and other platforms, including operations teams, to which we have access. </w:t>
      </w:r>
    </w:p>
    <w:p>
      <w:pPr>
        <w:pStyle w:val="TextBody"/>
        <w:bidi w:val="0"/>
        <w:spacing w:before="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Provide Capital to Robust, High-Growth Venture-Backed Companies</w:t>
      </w:r>
      <w:r>
        <w:rPr>
          <w:rFonts w:ascii="Times New Roman" w:hAnsi="Times New Roman"/>
          <w:color w:val="000000"/>
          <w:sz w:val="20"/>
          <w:bdr w:val="single" w:sz="4" w:space="1" w:color="000000"/>
        </w:rPr>
        <w:t xml:space="preserve">. We believe we are favorably positioned within the venture lending ecosystem, targeting primarily growth-focused technology and healthcare companies. We believe the technology and healthcare industries are among the most attractive industries within the venture lending space, primarily representing large, addressable markets with strong and consistent growth. According to the Q2 2026 Pitchbook-NVCA Venture Monitor and Pitchbook-NVCA industry classifications, venture capital deal volume in the technology industry totaled approximately $401.4 billion in the first half of 2026, representing a 19.2% CAGR from 2016 through Q2 2026. Venture capital deal volume in the life sciences industry totaled approximately $20.0 billion in the first half of 2026, representing a 2.4% CAGR from 2016 through Q2 2026. We believe companies within these industries can often be characterized as having asset-light business models, attractive recurring revenue streams and strong growth trajectories.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invest across industries to diversify risk and deliver more stable returns. The investment professionals at RGC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 </w:t>
      </w:r>
    </w:p>
    <w:p>
      <w:pPr>
        <w:pStyle w:val="TextBody"/>
        <w:bidi w:val="0"/>
        <w:spacing w:before="1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Robust, Disciplined Investment Process and Credit Analysis</w:t>
      </w:r>
      <w:r>
        <w:rPr>
          <w:rFonts w:ascii="Times New Roman" w:hAnsi="Times New Roman"/>
          <w:color w:val="000000"/>
          <w:sz w:val="20"/>
          <w:bdr w:val="single" w:sz="4" w:space="1" w:color="000000"/>
        </w:rPr>
        <w:t xml:space="preserve">. RGC’s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 </w:t>
      </w:r>
    </w:p>
    <w:p>
      <w:pPr>
        <w:pStyle w:val="TextBody"/>
        <w:bidi w:val="0"/>
        <w:spacing w:before="14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the focused and disciplined approach that RGC applies to our lending strategy enables us to deliver strong, consistent returns to our investors. As of June 30, 2026, our debt portfolio is 95.6% first lien senior secured loans. Of our $3.7 billion total commitments since inception, our cumulative gross loss rate as a percentage of total commitments since inception is 2.10%, and our net losses as a percentage of total commitments since inception is 1.72%. At the point of origination, our current portfolio companies have raised on average $167.5 million of equity proceeds relative to our average commitment size of $29.4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Proprietary Risk Analytics and Return Optimization</w:t>
      </w:r>
      <w:r>
        <w:rPr>
          <w:rFonts w:ascii="Times New Roman" w:hAnsi="Times New Roman"/>
          <w:color w:val="000000"/>
          <w:sz w:val="20"/>
          <w:bdr w:val="single" w:sz="4" w:space="1" w:color="000000"/>
        </w:rPr>
        <w:t xml:space="preserve">. Over the past 20 years, RGC’s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Flexible, Opportunity-Specific Pricing and Structure</w:t>
      </w:r>
      <w:r>
        <w:rPr>
          <w:rFonts w:ascii="Times New Roman" w:hAnsi="Times New Roman"/>
          <w:color w:val="000000"/>
          <w:sz w:val="20"/>
          <w:bdr w:val="single" w:sz="4" w:space="1" w:color="000000"/>
        </w:rPr>
        <w:t xml:space="preserve">. RGC’s comprehensive analysis assesses all factors and does not rely on any one criterion above or more than others. For example, we do not seek to provide financing to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Growth Lending and Non-Sponsored Growth Lending strategies, we target our loan to be less than 25% of enterprise value at inception.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Strong Reputation and Deep Relationships</w:t>
      </w:r>
      <w:r>
        <w:rPr>
          <w:rFonts w:ascii="Times New Roman" w:hAnsi="Times New Roman"/>
          <w:color w:val="000000"/>
          <w:sz w:val="20"/>
          <w:bdr w:val="single" w:sz="4" w:space="1" w:color="000000"/>
        </w:rPr>
        <w:t xml:space="preserve">. RGC’s senior investment professionals enjoy reputations as innovative thought leaders, ingrained in the fabric of the venture community. RGC’s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RGC’s senior investment professionals also have established a network of relationships over two decades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 </w:t>
      </w:r>
    </w:p>
    <w:p>
      <w:pPr>
        <w:pStyle w:val="TextBody"/>
        <w:bidi w:val="0"/>
        <w:spacing w:before="24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Company Information</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 xml:space="preserve">Our corporate headquarters are located at 205 N. Michigan Ave., Suite 4200, Chicago, IL 60601, and our telephone number is (312) 698-6902. Our corporate website is located at </w:t>
      </w:r>
      <w:r>
        <w:rPr>
          <w:rFonts w:ascii="Times New Roman" w:hAnsi="Times New Roman"/>
          <w:i/>
          <w:color w:val="000000"/>
          <w:sz w:val="20"/>
          <w:bdr w:val="single" w:sz="4" w:space="1" w:color="000000"/>
        </w:rPr>
        <w:t>https://investors.runwaygrowth.com</w:t>
      </w:r>
      <w:r>
        <w:rPr>
          <w:rFonts w:ascii="Times New Roman" w:hAnsi="Times New Roman"/>
          <w:color w:val="000000"/>
          <w:sz w:val="20"/>
          <w:bdr w:val="single" w:sz="4" w:space="1" w:color="000000"/>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 </w:t>
      </w:r>
    </w:p>
    <w:p>
      <w:pPr>
        <w:pStyle w:val="TextBody"/>
        <w:bidi w:val="0"/>
        <w:spacing w:before="24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Recent Developments</w:t>
      </w:r>
      <w:r>
        <w:rPr>
          <w:rFonts w:ascii="Times New Roman" w:hAnsi="Times New Roman"/>
          <w:color w:val="000000"/>
          <w:sz w:val="20"/>
          <w:bdr w:val="single" w:sz="4" w:space="1" w:color="000000"/>
        </w:rPr>
        <w:t xml:space="preserve"> </w:t>
      </w:r>
    </w:p>
    <w:p>
      <w:pPr>
        <w:pStyle w:val="TextBody"/>
        <w:bidi w:val="0"/>
        <w:spacing w:before="12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Distributions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August 5, 2026, our Board of Directors declared a quarterly distribution of $0.33 per share for our stockholders of record as of August 17, 2026, which was paid on August 31, 2026. </w:t>
      </w:r>
    </w:p>
    <w:p>
      <w:pPr>
        <w:pStyle w:val="TextBody"/>
        <w:bidi w:val="0"/>
        <w:spacing w:before="22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Recent Portfolio Activity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From July 1, 2026 through August 6, 2026, we funded $1.9 million in unfunded commitments on existing investments. We also received $17.1 million in debt prepayments.</w:t>
      </w:r>
    </w:p>
    <w:p>
      <w:pPr>
        <w:pStyle w:val="TextBody"/>
        <w:bidi w:val="0"/>
        <w:spacing w:before="220" w:after="283"/>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Credit Facility</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On July 13, 2026, we entered into the Eighth Amendment to our amended and restated credit agreement (the “Credit Facility Amendment”). The Credit Facility Amendment, effective as of June 30, 2026, (i) reduced the total commitments under the Credit Facility from $550.0 million to $425.0 million; (ii) permitted the future prepayment and termination of a certain lender’s commitments on a non-pro-rata basis; (iii) amended certain financial covenants; (iv) updated certain key-person trigger events; and (v) amended certain loan eligibility criteria and borrowing-base concentration limitations.</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center"/>
        <w:rPr>
          <w:rFonts w:ascii="Times New Roman" w:hAnsi="Times New Roman"/>
          <w:sz w:val="20"/>
          <w:bdr w:val="single" w:sz="4" w:space="1" w:color="000000"/>
        </w:rPr>
      </w:pPr>
      <w:bookmarkStart w:id="3" w:name="sthof"/>
      <w:bookmarkEnd w:id="3"/>
      <w:r>
        <w:rPr>
          <w:rFonts w:ascii="Times New Roman" w:hAnsi="Times New Roman"/>
          <w:b/>
          <w:color w:val="000000"/>
          <w:sz w:val="20"/>
          <w:bdr w:val="single" w:sz="4" w:space="1" w:color="000000"/>
        </w:rPr>
        <w:t>THE OFFERING</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section titled “Description of the Notes” and the more general description of our debt securities in the accompanying prospectus under the heading “Description of Our Debt Securities” before investing in the Notes.</w:t>
      </w:r>
      <w:r>
        <w:rPr>
          <w:rFonts w:ascii="Times New Roman" w:hAnsi="Times New Roman"/>
          <w:color w:val="000000"/>
          <w:sz w:val="20"/>
          <w:bdr w:val="single" w:sz="4" w:space="1" w:color="000000"/>
        </w:rPr>
        <w:t xml:space="preserve"> </w:t>
      </w:r>
    </w:p>
    <w:p>
      <w:pPr>
        <w:pStyle w:val="TextBody"/>
        <w:bidi w:val="0"/>
        <w:jc w:val="lef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2066"/>
        <w:gridCol w:w="8139"/>
      </w:tblGrid>
      <w:tr>
        <w:trPr/>
        <w:tc>
          <w:tcPr>
            <w:tcW w:w="2066" w:type="dxa"/>
            <w:tcBorders/>
            <w:vAlign w:val="center"/>
          </w:tcPr>
          <w:p>
            <w:pPr>
              <w:pStyle w:val="TableContents"/>
              <w:bidi w:val="0"/>
              <w:spacing w:before="0" w:after="283"/>
              <w:jc w:val="left"/>
              <w:rPr>
                <w:sz w:val="4"/>
                <w:szCs w:val="4"/>
              </w:rPr>
            </w:pPr>
            <w:r>
              <w:rPr>
                <w:sz w:val="4"/>
                <w:szCs w:val="4"/>
              </w:rPr>
            </w:r>
          </w:p>
        </w:tc>
        <w:tc>
          <w:tcPr>
            <w:tcW w:w="8139" w:type="dxa"/>
            <w:tcBorders/>
            <w:vAlign w:val="center"/>
          </w:tcPr>
          <w:p>
            <w:pPr>
              <w:pStyle w:val="TableContents"/>
              <w:bidi w:val="0"/>
              <w:spacing w:before="0" w:after="283"/>
              <w:jc w:val="left"/>
              <w:rPr>
                <w:sz w:val="4"/>
                <w:szCs w:val="4"/>
              </w:rPr>
            </w:pPr>
            <w:r>
              <w:rPr>
                <w:sz w:val="4"/>
                <w:szCs w:val="4"/>
              </w:rPr>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Issuer</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 xml:space="preserve">Runway Growth Finance Corp.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Title of the Securities</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     </w:t>
            </w:r>
            <w:r>
              <w:rPr>
                <w:rFonts w:ascii="Times New Roman" w:hAnsi="Times New Roman"/>
                <w:color w:val="000000"/>
                <w:sz w:val="20"/>
              </w:rPr>
              <w:t>% Notes due 2031</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Initial Aggregate Principal Amount</w:t>
              <w:br/>
              <w:t>Offered</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240" w:after="283"/>
              <w:ind w:left="0" w:right="0" w:firstLine="200"/>
              <w:jc w:val="left"/>
              <w:rPr>
                <w:rFonts w:ascii="Times New Roman" w:hAnsi="Times New Roman"/>
                <w:color w:val="000000"/>
                <w:sz w:val="20"/>
              </w:rPr>
            </w:pPr>
            <w:r>
              <w:rPr>
                <w:rFonts w:ascii="Times New Roman" w:hAnsi="Times New Roman"/>
                <w:color w:val="000000"/>
                <w:sz w:val="20"/>
              </w:rPr>
              <w:t xml:space="preserve">$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Overallotment Option</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 xml:space="preserve">The underwriters may also purchase from us up to an additional $ aggregate principal amount of Notes to cover overallotments, if any, within 30 days of the date of this prospectus supplement.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Listing</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We intend to list the Notes on the Nasdaq Global Select Market (“Nasdaq”) within 30 days of the original issue date under the trading symbol “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Interest Rate</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     </w:t>
            </w:r>
            <w:r>
              <w:rPr>
                <w:rFonts w:ascii="Times New Roman" w:hAnsi="Times New Roman"/>
                <w:color w:val="000000"/>
                <w:sz w:val="20"/>
              </w:rPr>
              <w:t>% per year</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Day Count Basis</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 xml:space="preserve">360-day year of twelve 30-day months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Original Issue Date</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              </w:t>
            </w:r>
            <w:r>
              <w:rPr>
                <w:rFonts w:ascii="Times New Roman" w:hAnsi="Times New Roman"/>
                <w:color w:val="000000"/>
                <w:sz w:val="20"/>
              </w:rPr>
              <w:t>, 2026</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Stated Maturity Date</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              </w:t>
            </w:r>
            <w:r>
              <w:rPr>
                <w:rFonts w:ascii="Times New Roman" w:hAnsi="Times New Roman"/>
                <w:color w:val="000000"/>
                <w:sz w:val="20"/>
              </w:rPr>
              <w:t>, 2031</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Date Interest Starts Accruing</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both"/>
              <w:rPr>
                <w:color w:val="000000"/>
              </w:rPr>
            </w:pPr>
            <w:r>
              <w:rPr>
                <w:color w:val="000000"/>
              </w:rPr>
              <w:t>              </w:t>
            </w:r>
            <w:r>
              <w:rPr>
                <w:rFonts w:ascii="Times New Roman" w:hAnsi="Times New Roman"/>
                <w:color w:val="000000"/>
                <w:sz w:val="20"/>
              </w:rPr>
              <w:t>, 2026</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both"/>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Interest Payment Dates</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sz w:val="20"/>
              </w:rPr>
            </w:pPr>
            <w:r>
              <w:rPr>
                <w:rFonts w:ascii="Times New Roman" w:hAnsi="Times New Roman"/>
                <w:color w:val="000000"/>
                <w:sz w:val="20"/>
              </w:rPr>
              <w:t xml:space="preserve">Every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and </w:t>
            </w:r>
            <w:r>
              <w:rPr>
                <w:rFonts w:ascii="Times New Roman" w:hAnsi="Times New Roman"/>
                <w:color w:val="FFFFFF"/>
                <w:sz w:val="20"/>
              </w:rPr>
              <w:t>,</w:t>
            </w:r>
            <w:r>
              <w:rPr>
                <w:rFonts w:ascii="Times New Roman" w:hAnsi="Times New Roman"/>
                <w:color w:val="000000"/>
                <w:sz w:val="20"/>
              </w:rPr>
              <w:t xml:space="preserve"> of each year, beginning , 2026. If an interest payment date falls on a non-business day, the applicable interest payment will be made on the next business day and no additional interest will accrue as a result of such delayed payment.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sz w:val="20"/>
              </w:rPr>
            </w:pPr>
            <w:r>
              <w:rPr>
                <w:rFonts w:ascii="Times New Roman" w:hAnsi="Times New Roman"/>
                <w:b/>
                <w:color w:val="000000"/>
                <w:sz w:val="20"/>
              </w:rPr>
              <w:t>Interest Periods</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75"/>
              <w:jc w:val="both"/>
              <w:rPr>
                <w:rFonts w:ascii="Times New Roman" w:hAnsi="Times New Roman"/>
                <w:color w:val="000000"/>
                <w:sz w:val="20"/>
              </w:rPr>
            </w:pPr>
            <w:r>
              <w:rPr>
                <w:rFonts w:ascii="Times New Roman" w:hAnsi="Times New Roman"/>
                <w:color w:val="000000"/>
                <w:sz w:val="20"/>
              </w:rPr>
              <w:t>The initial interest period will be the period from and including , 2026 to, but excluding, the initial interest payment date, and the subsequent interest periods will be the periods from and including an interest payment date to, but excluding, the next interest payment date or the stated maturity date, as the case may be.</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Regular Record Dates for Interest</w:t>
            </w:r>
            <w:r>
              <w:rPr>
                <w:rFonts w:ascii="Times New Roman" w:hAnsi="Times New Roman"/>
                <w:color w:val="000000"/>
                <w:sz w:val="20"/>
              </w:rPr>
              <w:t xml:space="preserve">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sz w:val="20"/>
              </w:rPr>
            </w:pP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and </w:t>
            </w:r>
            <w:r>
              <w:rPr>
                <w:rFonts w:ascii="Times New Roman" w:hAnsi="Times New Roman"/>
                <w:color w:val="FFFFFF"/>
                <w:sz w:val="20"/>
              </w:rPr>
              <w:t>,</w:t>
            </w:r>
            <w:r>
              <w:rPr>
                <w:rFonts w:ascii="Times New Roman" w:hAnsi="Times New Roman"/>
                <w:color w:val="000000"/>
                <w:sz w:val="20"/>
              </w:rPr>
              <w:t> of each year, beginning , 2026.</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13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b/>
                <w:color w:val="000000"/>
                <w:sz w:val="20"/>
              </w:rPr>
            </w:pPr>
            <w:r>
              <w:rPr>
                <w:rFonts w:ascii="Times New Roman" w:hAnsi="Times New Roman"/>
                <w:b/>
                <w:color w:val="000000"/>
                <w:sz w:val="20"/>
              </w:rPr>
              <w:t>Ranking of Notes</w:t>
            </w:r>
          </w:p>
        </w:tc>
        <w:tc>
          <w:tcPr>
            <w:tcW w:w="8139" w:type="dxa"/>
            <w:tcBorders/>
            <w:tcMar>
              <w:top w:w="0" w:type="dxa"/>
              <w:left w:w="0" w:type="dxa"/>
              <w:bottom w:w="0" w:type="dxa"/>
              <w:right w:w="0" w:type="dxa"/>
            </w:tcMar>
            <w:vAlign w:val="center"/>
          </w:tcPr>
          <w:p>
            <w:pPr>
              <w:pStyle w:val="TableContents"/>
              <w:bidi w:val="0"/>
              <w:ind w:left="0" w:right="0" w:firstLine="480"/>
              <w:jc w:val="left"/>
              <w:rPr>
                <w:rFonts w:ascii="Times New Roman" w:hAnsi="Times New Roman"/>
                <w:color w:val="000000"/>
                <w:sz w:val="20"/>
              </w:rPr>
            </w:pPr>
            <w:r>
              <w:rPr>
                <w:rFonts w:ascii="Times New Roman" w:hAnsi="Times New Roman"/>
                <w:color w:val="000000"/>
                <w:sz w:val="20"/>
              </w:rPr>
              <w:t>The Notes will be our direct unsecured obligations and will rank:</w:t>
            </w:r>
          </w:p>
          <w:p>
            <w:pPr>
              <w:pStyle w:val="TableContents"/>
              <w:bidi w:val="0"/>
              <w:ind w:left="0" w:right="0" w:firstLine="480"/>
              <w:jc w:val="left"/>
              <w:rPr/>
            </w:pPr>
            <w:r>
              <w:rPr/>
              <w:t> </w:t>
            </w:r>
          </w:p>
          <w:p>
            <w:pPr>
              <w:pStyle w:val="TableContents"/>
              <w:bidi w:val="0"/>
              <w:spacing w:before="0" w:after="283"/>
              <w:ind w:left="0" w:right="0" w:firstLine="48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pari passu</w:t>
            </w:r>
            <w:r>
              <w:rPr>
                <w:rFonts w:ascii="Times New Roman" w:hAnsi="Times New Roman"/>
                <w:color w:val="000000"/>
                <w:sz w:val="20"/>
              </w:rPr>
              <w:t xml:space="preserve">, or equal, with our current and future unsecured, unsubordinated indebtedness, including the 9.00% Senior Notes due 2027 issued by SWK Holdings Corporation and assumed by us (which we intend to redeem in full using the proceeds from this offering) (the “SWK 2027 Notes”), the 7.50% Notes due 2027 (the “July 2027 Notes”), the 7.51% Series 2025A Senior Notes due 2028 (the “April 2028 Notes”), the 7.00% Notes due 2029 (the “December 2029 Notes”), the 7.25% Notes due 2031 (the “February 2031 Notes” and, together with the SWK 2027 Notes, the July 2027 Notes, the April 2028 Notes, the December </w:t>
            </w:r>
          </w:p>
        </w:tc>
      </w:tr>
    </w:tbl>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2364"/>
        <w:gridCol w:w="7841"/>
      </w:tblGrid>
      <w:tr>
        <w:trPr/>
        <w:tc>
          <w:tcPr>
            <w:tcW w:w="2364" w:type="dxa"/>
            <w:tcBorders/>
            <w:vAlign w:val="center"/>
          </w:tcPr>
          <w:p>
            <w:pPr>
              <w:pStyle w:val="TableContents"/>
              <w:bidi w:val="0"/>
              <w:spacing w:before="0" w:after="283"/>
              <w:jc w:val="left"/>
              <w:rPr>
                <w:sz w:val="4"/>
                <w:szCs w:val="4"/>
              </w:rPr>
            </w:pPr>
            <w:r>
              <w:rPr>
                <w:sz w:val="4"/>
                <w:szCs w:val="4"/>
              </w:rPr>
            </w:r>
          </w:p>
        </w:tc>
        <w:tc>
          <w:tcPr>
            <w:tcW w:w="7841" w:type="dxa"/>
            <w:tcBorders/>
            <w:vAlign w:val="center"/>
          </w:tcPr>
          <w:p>
            <w:pPr>
              <w:pStyle w:val="TableContents"/>
              <w:bidi w:val="0"/>
              <w:spacing w:before="0" w:after="283"/>
              <w:jc w:val="left"/>
              <w:rPr>
                <w:sz w:val="4"/>
                <w:szCs w:val="4"/>
              </w:rPr>
            </w:pPr>
            <w:r>
              <w:rPr>
                <w:sz w:val="4"/>
                <w:szCs w:val="4"/>
              </w:rPr>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878"/>
              <w:jc w:val="left"/>
              <w:rPr/>
            </w:pPr>
            <w:r>
              <w:rPr/>
              <w:t> </w:t>
            </w:r>
          </w:p>
        </w:tc>
        <w:tc>
          <w:tcPr>
            <w:tcW w:w="7841" w:type="dxa"/>
            <w:tcBorders/>
            <w:tcMar>
              <w:top w:w="0" w:type="dxa"/>
              <w:left w:w="0" w:type="dxa"/>
              <w:bottom w:w="0" w:type="dxa"/>
              <w:right w:w="0" w:type="dxa"/>
            </w:tcMar>
            <w:vAlign w:val="center"/>
          </w:tcPr>
          <w:p>
            <w:pPr>
              <w:pStyle w:val="TableContents"/>
              <w:bidi w:val="0"/>
              <w:ind w:left="0" w:right="0" w:firstLine="878"/>
              <w:jc w:val="both"/>
              <w:rPr>
                <w:rFonts w:ascii="Times New Roman" w:hAnsi="Times New Roman"/>
                <w:color w:val="000000"/>
                <w:sz w:val="20"/>
              </w:rPr>
            </w:pPr>
            <w:r>
              <w:rPr>
                <w:rFonts w:ascii="Times New Roman" w:hAnsi="Times New Roman"/>
                <w:color w:val="000000"/>
                <w:sz w:val="20"/>
              </w:rPr>
              <w:t>2029 Notes and the February 2031 Notes, the “Outstanding Notes”);</w:t>
            </w:r>
          </w:p>
          <w:p>
            <w:pPr>
              <w:pStyle w:val="TableContents"/>
              <w:bidi w:val="0"/>
              <w:spacing w:before="140" w:after="283"/>
              <w:ind w:left="0" w:right="0" w:firstLine="878"/>
              <w:jc w:val="both"/>
              <w:rPr>
                <w:rFonts w:ascii="Times New Roman" w:hAnsi="Times New Roman"/>
                <w:color w:val="000000"/>
                <w:sz w:val="20"/>
              </w:rPr>
            </w:pPr>
            <w:r>
              <w:rPr>
                <w:rFonts w:ascii="Times New Roman" w:hAnsi="Times New Roman"/>
                <w:color w:val="000000"/>
                <w:sz w:val="20"/>
              </w:rPr>
              <w:t> senior to any of our future indebtedness that expressly provides it is subordinated to the Notes;</w:t>
            </w:r>
          </w:p>
          <w:p>
            <w:pPr>
              <w:pStyle w:val="TableContents"/>
              <w:bidi w:val="0"/>
              <w:spacing w:before="120" w:after="283"/>
              <w:ind w:left="0" w:right="0" w:firstLine="878"/>
              <w:jc w:val="both"/>
              <w:rPr>
                <w:rFonts w:ascii="Times New Roman" w:hAnsi="Times New Roman"/>
                <w:color w:val="000000"/>
                <w:sz w:val="20"/>
              </w:rPr>
            </w:pPr>
            <w:r>
              <w:rPr>
                <w:rFonts w:ascii="Times New Roman" w:hAnsi="Times New Roman"/>
                <w:color w:val="000000"/>
                <w:sz w:val="20"/>
              </w:rPr>
              <w:t> effectively subordinated to any future secured indebtedness; and all of our existing and future secured indebtedness (including indebtedness that is initially unsecured to which we subsequently grant security), to the extent of the value of the assets securing such indebtedness, including debt outstanding under our Credit Facility; and</w:t>
            </w:r>
          </w:p>
          <w:p>
            <w:pPr>
              <w:pStyle w:val="TableContents"/>
              <w:bidi w:val="0"/>
              <w:spacing w:before="160" w:after="283"/>
              <w:ind w:left="0" w:right="0" w:firstLine="878"/>
              <w:jc w:val="both"/>
              <w:rPr>
                <w:rFonts w:ascii="Times New Roman" w:hAnsi="Times New Roman"/>
                <w:color w:val="000000"/>
                <w:sz w:val="20"/>
              </w:rPr>
            </w:pPr>
            <w:r>
              <w:rPr>
                <w:rFonts w:ascii="Times New Roman" w:hAnsi="Times New Roman"/>
                <w:color w:val="000000"/>
                <w:sz w:val="20"/>
              </w:rPr>
              <w:t> structurally subordinated to all existing and future indebtedness and other obligations of any of our subsidiaries, financing vehicles or similar facilities, including debt outstanding under our Credit Facility.</w:t>
            </w:r>
          </w:p>
          <w:p>
            <w:pPr>
              <w:pStyle w:val="TableContents"/>
              <w:bidi w:val="0"/>
              <w:ind w:left="0" w:right="0" w:firstLine="878"/>
              <w:jc w:val="left"/>
              <w:rPr/>
            </w:pPr>
            <w:r>
              <w:rPr/>
              <w:t> </w:t>
            </w:r>
          </w:p>
          <w:p>
            <w:pPr>
              <w:pStyle w:val="TableContents"/>
              <w:bidi w:val="0"/>
              <w:spacing w:before="0" w:after="283"/>
              <w:ind w:left="0" w:right="0" w:firstLine="878"/>
              <w:jc w:val="both"/>
              <w:rPr>
                <w:rFonts w:ascii="Times New Roman" w:hAnsi="Times New Roman"/>
                <w:color w:val="000000"/>
                <w:sz w:val="20"/>
              </w:rPr>
            </w:pPr>
            <w:r>
              <w:rPr>
                <w:rFonts w:ascii="Times New Roman" w:hAnsi="Times New Roman"/>
                <w:color w:val="000000"/>
                <w:sz w:val="20"/>
              </w:rPr>
              <w:t>As of September 22, 2026, our total indebtedness was approximately $585.5 million, $252.0 million of which was secured indebtedness under our Credit Facility. After giving effect to the issuance of the Notes, assuming no repayment of amounts owed under our Credit Facility or repayment of the SWK 2027 Notes, our total indebtedness would have been approximately $ aggregate principal amount outstanding as of September 22, 2026 (or approximately $ if the underwriters fully exercise their overallotment option).</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Denominations</w:t>
            </w:r>
            <w:r>
              <w:rPr>
                <w:rFonts w:ascii="Times New Roman" w:hAnsi="Times New Roman"/>
                <w:color w:val="000000"/>
                <w:sz w:val="20"/>
              </w:rPr>
              <w:t xml:space="preserve">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 xml:space="preserve">We will issue the Notes in denominations of $25 and integral multiples of $25 in excess thereof. </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tc>
        <w:tc>
          <w:tcPr>
            <w:tcW w:w="7841" w:type="dxa"/>
            <w:tcBorders/>
            <w:tcMar>
              <w:top w:w="0" w:type="dxa"/>
              <w:left w:w="0" w:type="dxa"/>
              <w:bottom w:w="0" w:type="dxa"/>
              <w:right w:w="0" w:type="dxa"/>
            </w:tcMar>
            <w:vAlign w:val="center"/>
          </w:tcPr>
          <w:p>
            <w:pPr>
              <w:pStyle w:val="TableContents"/>
              <w:bidi w:val="0"/>
              <w:ind w:left="0" w:right="0" w:firstLine="480"/>
              <w:jc w:val="both"/>
              <w:rPr>
                <w:rFonts w:ascii="Times New Roman" w:hAnsi="Times New Roman"/>
                <w:color w:val="000000"/>
                <w:sz w:val="20"/>
              </w:rPr>
            </w:pPr>
            <w:r>
              <w:rPr>
                <w:rFonts w:ascii="Times New Roman" w:hAnsi="Times New Roman"/>
                <w:color w:val="000000"/>
                <w:sz w:val="20"/>
              </w:rPr>
              <w:t>We estimate that the net proceeds from the sale of the Notes in this offering will be approximately $ (or approximately $ if the underwriters fully execute their overallotment option), after deducting the underwriting discounts and commissions and estimated offering expenses.</w:t>
            </w:r>
          </w:p>
          <w:p>
            <w:pPr>
              <w:pStyle w:val="TableContents"/>
              <w:bidi w:val="0"/>
              <w:ind w:left="0" w:right="0" w:firstLine="480"/>
              <w:jc w:val="left"/>
              <w:rPr/>
            </w:pPr>
            <w:r>
              <w:rPr/>
              <w:t> </w:t>
            </w:r>
          </w:p>
          <w:p>
            <w:pPr>
              <w:pStyle w:val="TableContents"/>
              <w:bidi w:val="0"/>
              <w:ind w:left="0" w:right="0" w:firstLine="480"/>
              <w:jc w:val="both"/>
              <w:rPr>
                <w:rFonts w:ascii="Times New Roman" w:hAnsi="Times New Roman"/>
                <w:color w:val="000000"/>
                <w:sz w:val="20"/>
              </w:rPr>
            </w:pPr>
            <w:r>
              <w:rPr>
                <w:rFonts w:ascii="Times New Roman" w:hAnsi="Times New Roman"/>
                <w:color w:val="000000"/>
                <w:sz w:val="20"/>
              </w:rPr>
              <w:t>We expect to use the net proceeds of this offering to repay outstanding indebtedness, including under our Credit Facility and to redeem all of our outstanding SWK 2027 Notes, and for general corporate purposes.</w:t>
            </w:r>
          </w:p>
          <w:p>
            <w:pPr>
              <w:pStyle w:val="TableContents"/>
              <w:bidi w:val="0"/>
              <w:ind w:left="0" w:right="0" w:firstLine="480"/>
              <w:jc w:val="both"/>
              <w:rPr/>
            </w:pPr>
            <w:r>
              <w:rPr/>
              <w:t> </w:t>
            </w:r>
          </w:p>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See the "Use of Proceeds" section of this prospectus supplement.</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Optional Redemption</w:t>
            </w:r>
            <w:r>
              <w:rPr>
                <w:rFonts w:ascii="Times New Roman" w:hAnsi="Times New Roman"/>
                <w:color w:val="000000"/>
                <w:sz w:val="20"/>
              </w:rPr>
              <w:t xml:space="preserve">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The Notes may be redeemed in whole or in part at any time or from time to time at our option on or after , 2028 upon not less than 30 days' nor more than 60 days' written notice by mail prior to the date fixed for redemption thereof, at a redemption price equal to $25 per Note plus accrued and unpaid interest payments otherwise payable for the then-current quarterly interest period accrued to, but not including, the date fixed for redemption.</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Repayment at Option of Holders</w:t>
            </w:r>
            <w:r>
              <w:rPr>
                <w:rFonts w:ascii="Times New Roman" w:hAnsi="Times New Roman"/>
                <w:color w:val="000000"/>
                <w:sz w:val="20"/>
              </w:rPr>
              <w:t xml:space="preserve"> </w:t>
            </w:r>
          </w:p>
        </w:tc>
        <w:tc>
          <w:tcPr>
            <w:tcW w:w="7841" w:type="dxa"/>
            <w:tcBorders/>
            <w:tcMar>
              <w:top w:w="0" w:type="dxa"/>
              <w:left w:w="0" w:type="dxa"/>
              <w:bottom w:w="0" w:type="dxa"/>
              <w:right w:w="0" w:type="dxa"/>
            </w:tcMar>
            <w:vAlign w:val="center"/>
          </w:tcPr>
          <w:p>
            <w:pPr>
              <w:pStyle w:val="TableContents"/>
              <w:bidi w:val="0"/>
              <w:spacing w:before="0" w:after="283"/>
              <w:ind w:left="0" w:right="0" w:firstLine="200"/>
              <w:jc w:val="both"/>
              <w:rPr>
                <w:rFonts w:ascii="Times New Roman" w:hAnsi="Times New Roman"/>
                <w:color w:val="000000"/>
                <w:sz w:val="20"/>
              </w:rPr>
            </w:pPr>
            <w:r>
              <w:rPr>
                <w:rFonts w:ascii="Times New Roman" w:hAnsi="Times New Roman"/>
                <w:color w:val="000000"/>
                <w:sz w:val="20"/>
              </w:rPr>
              <w:t>Holders will not have the option to have the Notes repaid prior to the stated maturity date.</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Trustee, Paying Agent and Registrar and Transfer Agent</w:t>
            </w:r>
            <w:r>
              <w:rPr>
                <w:rFonts w:ascii="Times New Roman" w:hAnsi="Times New Roman"/>
                <w:color w:val="000000"/>
                <w:sz w:val="20"/>
              </w:rPr>
              <w:t xml:space="preserve">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U.S. Bank Trust Company, National Association</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w:t>
            </w:r>
          </w:p>
        </w:tc>
        <w:tc>
          <w:tcPr>
            <w:tcW w:w="78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New York</w:t>
            </w:r>
          </w:p>
        </w:tc>
      </w:tr>
      <w:tr>
        <w:trPr/>
        <w:tc>
          <w:tcPr>
            <w:tcW w:w="2364"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84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bl>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556"/>
        <w:gridCol w:w="8649"/>
      </w:tblGrid>
      <w:tr>
        <w:trPr/>
        <w:tc>
          <w:tcPr>
            <w:tcW w:w="1556" w:type="dxa"/>
            <w:tcBorders/>
            <w:vAlign w:val="center"/>
          </w:tcPr>
          <w:p>
            <w:pPr>
              <w:pStyle w:val="TableContents"/>
              <w:bidi w:val="0"/>
              <w:spacing w:before="0" w:after="283"/>
              <w:jc w:val="left"/>
              <w:rPr>
                <w:sz w:val="4"/>
                <w:szCs w:val="4"/>
              </w:rPr>
            </w:pPr>
            <w:r>
              <w:rPr>
                <w:sz w:val="4"/>
                <w:szCs w:val="4"/>
              </w:rPr>
            </w:r>
          </w:p>
        </w:tc>
        <w:tc>
          <w:tcPr>
            <w:tcW w:w="8649" w:type="dxa"/>
            <w:tcBorders/>
            <w:vAlign w:val="center"/>
          </w:tcPr>
          <w:p>
            <w:pPr>
              <w:pStyle w:val="TableContents"/>
              <w:bidi w:val="0"/>
              <w:spacing w:before="0" w:after="283"/>
              <w:jc w:val="left"/>
              <w:rPr>
                <w:sz w:val="4"/>
                <w:szCs w:val="4"/>
              </w:rPr>
            </w:pPr>
            <w:r>
              <w:rPr>
                <w:sz w:val="4"/>
                <w:szCs w:val="4"/>
              </w:rPr>
            </w:r>
          </w:p>
        </w:tc>
      </w:tr>
      <w:tr>
        <w:trPr/>
        <w:tc>
          <w:tcPr>
            <w:tcW w:w="155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Other Covenants</w:t>
            </w:r>
            <w:r>
              <w:rPr>
                <w:rFonts w:ascii="Times New Roman" w:hAnsi="Times New Roman"/>
                <w:color w:val="000000"/>
                <w:sz w:val="20"/>
              </w:rPr>
              <w:t xml:space="preserve"> </w:t>
            </w:r>
          </w:p>
        </w:tc>
        <w:tc>
          <w:tcPr>
            <w:tcW w:w="8649" w:type="dxa"/>
            <w:tcBorders/>
            <w:tcMar>
              <w:top w:w="0" w:type="dxa"/>
              <w:left w:w="0" w:type="dxa"/>
              <w:bottom w:w="0" w:type="dxa"/>
              <w:right w:w="0" w:type="dxa"/>
            </w:tcMar>
            <w:vAlign w:val="center"/>
          </w:tcPr>
          <w:p>
            <w:pPr>
              <w:pStyle w:val="TableContents"/>
              <w:bidi w:val="0"/>
              <w:ind w:left="0" w:right="0" w:firstLine="480"/>
              <w:jc w:val="both"/>
              <w:rPr>
                <w:rFonts w:ascii="Times New Roman" w:hAnsi="Times New Roman"/>
                <w:color w:val="000000"/>
                <w:sz w:val="20"/>
              </w:rPr>
            </w:pPr>
            <w:r>
              <w:rPr>
                <w:rFonts w:ascii="Times New Roman" w:hAnsi="Times New Roman"/>
                <w:color w:val="000000"/>
                <w:sz w:val="20"/>
              </w:rPr>
              <w:t>In addition to any covenants described elsewhere in this prospectus supplement or the accompanying prospectus, the following covenants will apply to the Notes:</w:t>
            </w:r>
          </w:p>
          <w:p>
            <w:pPr>
              <w:pStyle w:val="TableContents"/>
              <w:bidi w:val="0"/>
              <w:ind w:left="0" w:right="0" w:firstLine="480"/>
              <w:jc w:val="left"/>
              <w:rPr/>
            </w:pPr>
            <w:r>
              <w:rPr/>
              <w:t> </w:t>
            </w:r>
          </w:p>
          <w:p>
            <w:pPr>
              <w:pStyle w:val="TableContents"/>
              <w:bidi w:val="0"/>
              <w:ind w:left="0" w:right="0" w:firstLine="480"/>
              <w:jc w:val="both"/>
              <w:rPr>
                <w:rFonts w:ascii="Times New Roman" w:hAnsi="Times New Roman"/>
                <w:color w:val="000000"/>
                <w:sz w:val="20"/>
              </w:rPr>
            </w:pPr>
            <w:r>
              <w:rPr>
                <w:rFonts w:ascii="Times New Roman" w:hAnsi="Times New Roman"/>
                <w:color w:val="000000"/>
                <w:sz w:val="20"/>
              </w:rPr>
              <w:t> We agree that for the period of time during which the Notes are outstanding, we will not violate, whether or not we are subject to, Section 18(a)(1)(A) as modified by Section 61(a)(2) of the 1940 Act or any successor provisions,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150% after such borrowings.</w:t>
            </w:r>
          </w:p>
          <w:p>
            <w:pPr>
              <w:pStyle w:val="TableContents"/>
              <w:bidi w:val="0"/>
              <w:spacing w:before="120" w:after="283"/>
              <w:ind w:left="0" w:right="0" w:firstLine="480"/>
              <w:jc w:val="both"/>
              <w:rPr>
                <w:rFonts w:ascii="Times New Roman" w:hAnsi="Times New Roman"/>
                <w:color w:val="000000"/>
                <w:sz w:val="20"/>
              </w:rPr>
            </w:pPr>
            <w:r>
              <w:rPr>
                <w:rFonts w:ascii="Times New Roman" w:hAnsi="Times New Roman"/>
                <w:color w:val="000000"/>
                <w:sz w:val="20"/>
              </w:rPr>
              <w:t xml:space="preserve"> 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 </w:t>
            </w:r>
          </w:p>
          <w:p>
            <w:pPr>
              <w:pStyle w:val="TableContents"/>
              <w:bidi w:val="0"/>
              <w:spacing w:before="120" w:after="283"/>
              <w:ind w:left="0" w:right="0" w:firstLine="480"/>
              <w:jc w:val="both"/>
              <w:rPr>
                <w:rFonts w:ascii="Times New Roman" w:hAnsi="Times New Roman"/>
                <w:color w:val="000000"/>
                <w:sz w:val="20"/>
              </w:rPr>
            </w:pPr>
            <w:r>
              <w:rPr>
                <w:rFonts w:ascii="Times New Roman" w:hAnsi="Times New Roman"/>
                <w:color w:val="000000"/>
                <w:sz w:val="20"/>
              </w:rPr>
              <w:t>See the "Description of the Notes" section of this prospectus supplement for certain other covenants applicable to the Notes.</w:t>
            </w:r>
          </w:p>
        </w:tc>
      </w:tr>
      <w:tr>
        <w:trPr/>
        <w:tc>
          <w:tcPr>
            <w:tcW w:w="155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649"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1556"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tc>
        <w:tc>
          <w:tcPr>
            <w:tcW w:w="8649" w:type="dxa"/>
            <w:tcBorders/>
            <w:tcMar>
              <w:top w:w="0" w:type="dxa"/>
              <w:left w:w="0" w:type="dxa"/>
              <w:bottom w:w="0" w:type="dxa"/>
              <w:right w:w="0" w:type="dxa"/>
            </w:tcMar>
            <w:vAlign w:val="center"/>
          </w:tcPr>
          <w:p>
            <w:pPr>
              <w:pStyle w:val="TableContents"/>
              <w:bidi w:val="0"/>
              <w:spacing w:before="0" w:after="283"/>
              <w:ind w:left="0" w:right="0" w:firstLine="480"/>
              <w:jc w:val="both"/>
              <w:rPr>
                <w:rFonts w:ascii="Times New Roman" w:hAnsi="Times New Roman"/>
                <w:color w:val="000000"/>
                <w:sz w:val="20"/>
              </w:rPr>
            </w:pPr>
            <w:r>
              <w:rPr>
                <w:rFonts w:ascii="Times New Roman" w:hAnsi="Times New Roman"/>
                <w:color w:val="000000"/>
                <w:sz w:val="20"/>
              </w:rPr>
              <w:t>See “Supplementary Risk Factors” section in this prospectus supplement and “Risk Factors” in the accompanying prospectus, our most recent Annual Report on Form 10-K and our most recent Quarterly Report on Form 10-Q for a discussion of risks you should carefully consider before deciding to invest in the Notes.</w:t>
            </w:r>
          </w:p>
        </w:tc>
      </w:tr>
    </w:tbl>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4" w:name="ssrf"/>
      <w:bookmarkEnd w:id="4"/>
      <w:r>
        <w:rPr>
          <w:rFonts w:ascii="Times New Roman" w:hAnsi="Times New Roman"/>
          <w:b/>
          <w:color w:val="000000"/>
          <w:sz w:val="20"/>
        </w:rPr>
        <w:t>SUPPLEMENTARY RISK FACTORS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20"/>
        </w:rPr>
        <w:t>Investing in the Notes involves a number of significant risks. You should carefully consider the risks described below, together with all of the risks and uncertainties described in the section titled “Risk Factors” in the accompanying prospectus, our most recent Annual Report on Form 10-K, our most recent Quarterly Report on Form 10-Q, as well as in subsequent filings with the SEC, which are or will be incorporated by reference into this prospectus supplement and the accompanying prospectus in their entirety, and other information in this prospectus supplement, the accompanying prospectus, the documents incorporated by reference in this prospectus supplement and the accompanying prospectus, and any free writing prospectus that we may authorize for use in connection with this offering. The risks and uncertainties described below are not the only ones facing us. Additional risks and uncertainties not presently known to us, or not presently deemed material by us, may also impair our operations and performance. If any of the following risks actually occur, our business, financial condition or results of operations could be materially adversely affected. If that happens, our net asset value and the trading price of our securities could decline and you may lose all or part of your investment. Please also read carefully the section titled “Cautionary Note Regarding Forward-Looking Statements” in this prospectus supplement.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The Notes will be unsecured and therefore will be effectively subordinated to any secured indebtedness we have currently incurred or may incur in the future.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will not be secured by any of our assets or any of the assets of our subsidiaries. As a result, the Notes are effectively subordinated to any secured indebtedness we or our subsidiaries have currently incurred or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22, 2026, our total indebtedness was approximately $585.5 million, $252.0 million of which was secured. </w:t>
      </w:r>
    </w:p>
    <w:p>
      <w:pPr>
        <w:pStyle w:val="TextBody"/>
        <w:bidi w:val="0"/>
        <w:spacing w:before="240" w:after="283"/>
        <w:jc w:val="both"/>
        <w:rPr>
          <w:rFonts w:ascii="Times New Roman" w:hAnsi="Times New Roman"/>
          <w:sz w:val="20"/>
        </w:rPr>
      </w:pPr>
      <w:r>
        <w:rPr>
          <w:rFonts w:ascii="Times New Roman" w:hAnsi="Times New Roman"/>
          <w:b/>
          <w:color w:val="000000"/>
          <w:sz w:val="20"/>
        </w:rPr>
        <w:t>The Notes will be structurally subordinated to the indebtedness and other liabilities of our subsidiaries.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are obligations exclusively of Runway Growth Finance Corp., and not of any of our subsidiaries, including any subsidiaries we may acquire or create in the future. Our only current subsidiary is not a guarantor of the Notes, and the Notes are not required to be guaranteed by any subsidiaries we may acquire or create in the future. The assets of such subsidiaries are not directly available to satisfy the claims of our creditors, including the holders of the Notes.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Except to the extent we are a creditor with recognized claims against our subsidiaries, all claims of creditors (including trade creditors) and holders of preferred stock, if any, of our subsidiaries have priority over our equity interests in such subsidiaries (and therefore the claims of our creditors, including holders of the Notes) with respect to the assets of such subsidiaries. Even if we are recognized as a creditor of one or more of our subsidiaries, our claims are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our subsidiaries may incur substantial additional indebtedness in the future, all of which would be structurally senior to the Notes. </w:t>
      </w:r>
    </w:p>
    <w:p>
      <w:pPr>
        <w:pStyle w:val="TextBody"/>
        <w:bidi w:val="0"/>
        <w:spacing w:before="240" w:after="283"/>
        <w:jc w:val="both"/>
        <w:rPr>
          <w:rFonts w:ascii="Times New Roman" w:hAnsi="Times New Roman"/>
          <w:sz w:val="20"/>
        </w:rPr>
      </w:pPr>
      <w:r>
        <w:rPr>
          <w:rFonts w:ascii="Times New Roman" w:hAnsi="Times New Roman"/>
          <w:b/>
          <w:color w:val="000000"/>
          <w:sz w:val="20"/>
        </w:rPr>
        <w:t>The indenture under which the Notes will be issued contains limited protection for holders of the Notes.</w:t>
      </w:r>
      <w:r>
        <w:rPr>
          <w:rFonts w:ascii="Times New Roman" w:hAnsi="Times New Roman"/>
          <w:color w:val="000000"/>
          <w:sz w:val="20"/>
        </w:rPr>
        <w:t xml:space="preserve"> </w:t>
      </w:r>
    </w:p>
    <w:p>
      <w:pPr>
        <w:pStyle w:val="TextBody"/>
        <w:bidi w:val="0"/>
        <w:spacing w:before="160" w:after="140"/>
        <w:jc w:val="both"/>
        <w:rPr>
          <w:rFonts w:ascii="Times New Roman" w:hAnsi="Times New Roman"/>
          <w:color w:val="000000"/>
          <w:sz w:val="20"/>
        </w:rPr>
      </w:pPr>
      <w:r>
        <w:rPr>
          <w:rFonts w:ascii="Times New Roman" w:hAnsi="Times New Roman"/>
          <w:color w:val="000000"/>
          <w:sz w:val="20"/>
        </w:rPr>
        <w:t xml:space="preserve">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investments in the Notes. In particular, the terms of the indenture and the Notes will not place any restrictions on our or our subsidiaries’ ability to: </w:t>
      </w:r>
    </w:p>
    <w:p>
      <w:pPr>
        <w:pStyle w:val="TextBody"/>
        <w:bidi w:val="0"/>
        <w:jc w:val="both"/>
        <w:rPr>
          <w:rFonts w:ascii="Times New Roman" w:hAnsi="Times New Roman"/>
          <w:color w:val="000000"/>
          <w:sz w:val="20"/>
        </w:rPr>
      </w:pPr>
      <w:r>
        <w:rPr>
          <w:rFonts w:ascii="Times New Roman" w:hAnsi="Times New Roman"/>
          <w:color w:val="000000"/>
          <w:sz w:val="20"/>
        </w:rPr>
        <w:t xml:space="preserve"> 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of the 1940 Act as modified by Section 61(a)(2) of the 1940 Act or any successor provisions, as such obligations may be amended or superseded, giving effect to any exemptive relief granted to us by the SEC;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pay dividends on, or purchase or redeem or make any payments in respect of, capital stock or other securities ranking junior in right of payment to the Notes;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sell assets (other than certain limited restrictions on our ability to consolidate, merge or sell all or substantially all of our assets);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enter into transactions with affiliates;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create liens (including liens on the shares of our subsidiaries) or enter into sale and leaseback transactions;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make investments;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create restrictions on the payment of dividends or other amounts to us from our subsidiaries.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addition, the indenture does not require us to offer to repurchase the Notes in connection with a change of control or any other event.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Our ability to recapitalize, incur additional debt and take a number of other actions that are not limited by the terms of the Notes may have important consequences for holders of the Notes, including making it more difficult for us to satisfy our obligations with respect to the Notes or negatively affecting the trading value of the Notes.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 </w:t>
      </w:r>
    </w:p>
    <w:p>
      <w:pPr>
        <w:pStyle w:val="TextBody"/>
        <w:bidi w:val="0"/>
        <w:spacing w:before="220" w:after="283"/>
        <w:jc w:val="both"/>
        <w:rPr>
          <w:rFonts w:ascii="Times New Roman" w:hAnsi="Times New Roman"/>
          <w:sz w:val="20"/>
        </w:rPr>
      </w:pPr>
      <w:r>
        <w:rPr>
          <w:rFonts w:ascii="Times New Roman" w:hAnsi="Times New Roman"/>
          <w:b/>
          <w:color w:val="000000"/>
          <w:sz w:val="20"/>
        </w:rPr>
        <w:t>An active trading market for the Notes does not currently exist and may not develop, which could limit a holder's ability to sell the Notes or affect the market price of the Notes. Moreover, if the Notes are no longer rated, the Notes may be subject to greater price volatility than rated notes and particularly similar securities with an investment grade rating.</w:t>
      </w:r>
      <w:r>
        <w:rPr>
          <w:rFonts w:ascii="Times New Roman" w:hAnsi="Times New Roman"/>
          <w:color w:val="000000"/>
          <w:sz w:val="20"/>
        </w:rPr>
        <w:t xml:space="preserve"> </w:t>
      </w:r>
    </w:p>
    <w:p>
      <w:pPr>
        <w:pStyle w:val="TextBody"/>
        <w:bidi w:val="0"/>
        <w:spacing w:before="160" w:after="260"/>
        <w:jc w:val="both"/>
        <w:rPr>
          <w:rFonts w:ascii="Times New Roman" w:hAnsi="Times New Roman"/>
          <w:color w:val="000000"/>
          <w:sz w:val="20"/>
        </w:rPr>
      </w:pPr>
      <w:r>
        <w:rPr>
          <w:rFonts w:ascii="Times New Roman" w:hAnsi="Times New Roman"/>
          <w:color w:val="000000"/>
          <w:sz w:val="20"/>
        </w:rPr>
        <w:t>The Notes are a new issue of debt securities for which there currently is no trading market, and there is no guarantee that an active trading market will develop. We intend to list the Notes on Nasdaq within 30 days of the original issue date under the ticker symbol “ .” Although we expect the Notes to be listed on Nasdaq, we cannot provide any assurances that we will successfully list the Notes,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the time remaining to the maturity of the Notes, the outstanding principal amount of debt securities with terms identical to the Notes, the supply of debt securities trading in the secondary market, if any, the redemption or repayment features, if any, of the Notes, general economic conditions, our financial condition, performance, prospects and other factors. If the Notes are no longer rated, this could impact their trading and subject them to greater price volatility. To the extent they are rated and received a non-investment grade rating, their price and trading activity could be negatively impacted. Moreover, if a rating agency assigns the Notes a non-investment grade rating, the Notes may be subject to greater price volatility than securities of similar maturity without such a non-investment grade rating. Certain of the underwriters have advised us that they intend to make a market in the Notes, but they are not obligated to do so. Such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color w:val="000000"/>
          <w:sz w:val="20"/>
        </w:rPr>
        <w:t>Our credit ratings may not reflect all risks of an investment in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credit ratings are an assessment by third parties of our ability to pay our obligations. Consequently, real or anticipated changes in our credit ratings will generally affect the market value of the Notes. Our credit ratings, however, may not reflect the potential impact of risks related to market conditions generally or other factors discussed above on the market value of or trading market for the Notes. </w:t>
      </w:r>
    </w:p>
    <w:p>
      <w:pPr>
        <w:pStyle w:val="TextBody"/>
        <w:bidi w:val="0"/>
        <w:spacing w:before="220" w:after="283"/>
        <w:jc w:val="both"/>
        <w:rPr>
          <w:rFonts w:ascii="Times New Roman" w:hAnsi="Times New Roman"/>
          <w:sz w:val="20"/>
        </w:rPr>
      </w:pPr>
      <w:r>
        <w:rPr>
          <w:rFonts w:ascii="Times New Roman" w:hAnsi="Times New Roman"/>
          <w:b/>
          <w:color w:val="000000"/>
          <w:sz w:val="20"/>
        </w:rPr>
        <w:t>The optional redemption provision may materially adversely affect your return on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are redeemable in whole or in part at any time or from time to time on or after , 2028, at our sole option at $25.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 </w:t>
      </w:r>
    </w:p>
    <w:p>
      <w:pPr>
        <w:pStyle w:val="TextBody"/>
        <w:bidi w:val="0"/>
        <w:spacing w:before="220" w:after="283"/>
        <w:jc w:val="both"/>
        <w:rPr>
          <w:rFonts w:ascii="Times New Roman" w:hAnsi="Times New Roman"/>
          <w:sz w:val="20"/>
        </w:rPr>
      </w:pPr>
      <w:r>
        <w:rPr>
          <w:rFonts w:ascii="Times New Roman" w:hAnsi="Times New Roman"/>
          <w:b/>
          <w:color w:val="000000"/>
          <w:sz w:val="20"/>
        </w:rPr>
        <w:t>If we default on our obligations to pay our other indebtedness, we may not be able to make payments on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default under the agreements governing our indebtedness, including a default under the Credit Facility, the Outstanding Notes or other indebtedness to which we may be a party that is not waived by the required lenders or holders thereunder,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either of the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from the holders of the Outstanding Notes or other debt that we may incur in the future to avoid being in default. If we breach our covenants under any of the Credit Facility, the Outstanding Notes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debt will likely have, customary cross-default provisions, if the indebtedness thereunder or under any future indebtedness is accelerated, we may be unable to repay or finance the amounts due. </w:t>
      </w:r>
    </w:p>
    <w:p>
      <w:pPr>
        <w:pStyle w:val="TextBody"/>
        <w:bidi w:val="0"/>
        <w:spacing w:before="220" w:after="283"/>
        <w:jc w:val="both"/>
        <w:rPr>
          <w:rFonts w:ascii="Times New Roman" w:hAnsi="Times New Roman"/>
          <w:sz w:val="20"/>
        </w:rPr>
      </w:pPr>
      <w:r>
        <w:rPr>
          <w:rFonts w:ascii="Times New Roman" w:hAnsi="Times New Roman"/>
          <w:b/>
          <w:color w:val="000000"/>
          <w:sz w:val="20"/>
        </w:rPr>
        <w:t>Our shares of common stock have traded at a discount from net asset value and may do so in the future, which could limit our ability to raise additional equity capital.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Shares of closed-end investment companies frequently trade at a market price that is less than the net asset value that is attributable to those shares. This characteristic of closed-end investment companies is separate and distinct from the risk that our net asset value per share may decline. It is not possible to predict whether shares of our common stock will trade at, above or below net asset value. In addition, in recent periods, shares of BDCs as an industry traded below net asset value. When our common stock is trading below its net asset value per share, we will generally not be able to issue additional shares of our common stock at its market price without first obtaining approval for such issuance from our stockholders and our independent directors. We do not have stockholder approval to sell shares of our common stock at a price below our net asset value per share. </w:t>
      </w:r>
    </w:p>
    <w:p>
      <w:pPr>
        <w:pStyle w:val="TextBody"/>
        <w:bidi w:val="0"/>
        <w:spacing w:before="240" w:after="283"/>
        <w:jc w:val="both"/>
        <w:rPr>
          <w:rFonts w:ascii="Times New Roman" w:hAnsi="Times New Roman"/>
          <w:sz w:val="20"/>
        </w:rPr>
      </w:pPr>
      <w:r>
        <w:rPr>
          <w:rFonts w:ascii="Times New Roman" w:hAnsi="Times New Roman"/>
          <w:b/>
          <w:color w:val="000000"/>
          <w:sz w:val="20"/>
        </w:rPr>
        <w:t>FATCA withholding may apply to payments to certain foreign entities.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Payments made under the Notes to a foreign financial institution, or “FFI,” or non-financial foreign entity, or “NFFE” (including such an institution or entity acting as an intermediary), may be subject to a U.S. withholding tax of 30% under U.S. Foreign Account Tax Compliance Act provisions of the Code (commonly referred to as “FATCA”). This withholding tax may apply to payments of interest on the Notes as well unless the FFI or NFFE complies with certain information reporting, withholding, identification, certification and related requirements imposed by FATCA. Depending upon the status of a holder and the status of an intermediary through which any Notes are held, the holder could be subject to this 30% withholding tax in respect of any interest paid or deemed paid on the Notes. You should consult your own tax advisors regarding FATCA and how it may affect your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investment in the Notes. See “Material United States Federal Income Tax Consequences — Taxation of Note Holders — FATCA Withholding on Payments to Certain Foreign Entities” in this prospectus supplement for more information.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5" w:name="scnrf"/>
      <w:bookmarkEnd w:id="5"/>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discussion should be read in conjunction with our financial statements and related notes and other financial information included or incorporated by reference in this prospectus supplement, the accompanying prospectus, and in any free writing prospectus relating to this offering of the Notes. In addition to historical information, the information included or incorporated by reference in this prospectus supplement, the accompanying prospectus and in any free writing prospectus relating to this offering of the Notes may contain forward-looking information that involves risks and uncertainties. Our actual results could differ materially from those anticipated by such forward-looking information due to the factors described in the section titled “Supplementary Risk Factors” in this prospectus supplement and the section titled “Risk Factors” in our most recent Annual Report on Form 10-K and our most recent Quarterly Report on Form 10-Q, which are incorporated by reference in this prospectus supplement and the accompanying prospectus, or in any free writing prospectus relating to this offering and certain other factors noted throughout or incorporated by reference in this prospectus supplement, the accompanying prospectus and in any free writing prospectus relating to this offering. 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forecasted in the forward-looking statements, including without limitation: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changes in political, economic or industry conditions, trade policies, restrictions and tariffs, the interest rate environment or conditions affecting the financial and capital markets;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such an economic downturn could disproportionately impact the companies that we intend to target for investment, potentially causing us to experience a decrease in investment opportunities and diminished demand for capital from these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contraction of available credit and/or an inability to access the equity markets that could impair our lending and investment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interest rate volatility that could adversely affect our results, particularly to the extent that we use leverage as part of our investment strategy;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impact of changes in interest and inflation rates on our business prospects and the prospects of our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future operating results;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business prospects and the prospects of our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contractual arrangements and relationships with third parties;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our portfolio companies to achieve their objectives;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competition with other entities and our affiliates for investment opportunities;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speculative and illiquid nature of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use of borrowed money to finance a portion of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adequacy of our financing sources and working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loss of key personnel and members of our management team;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timing of cash flows, if any, from the operations of our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our external investment adviser, RGC, to locate suitable investments for us and to monitor and administer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RGC to attract and retain highly talented professionals;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ability to qualify and maintain our qualification as a RIC under subchapter M of the Code, and to be regulated as a BDC under the 1940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occurrence of a disaster, such as a cyber-attack against us or against a third party that has access to our data or networks, a natural catastrophe, an industrial accident, failure of our disaster-recovery systems, or consequential employee error;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effect of legal, tax and regulatory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ability to realize the anticipated benefits of the Mergers;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effects of disruption on our business from the Mergers;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combined company’s plans, expectations, objectives and intentions as a result of the Mergers;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risk that stockholder litigation in connection with the Mergers may result in significant costs of defense and liability;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other risks, uncertainties and other factors previously identified elsewhere in this prospectus supplement and the accompanying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should not place undue reliance on these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the section titled “Risk Factors” in our most recent Quarterly Report on Form 10-Q, as well as the section titled “Special Note Regarding Forward-Looking Statements” in the accompanying prospectus, before making any investment in the Notes.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supplement, the accompanying prospectus and other statements that we may make, may contain forward-looking statements with respect to future financial or business performance, strategies or expectations. Forward-looking statements are typically identified by words or phrases such as “trend,” “opportunity,” “pipeline,” “believe,” “comfortable,” “expect,” “anticipate,” “current,” “intention,” “estimate,” “position,” “assume,” “plan,” “potential,” “project,” “outlook,” “continue,” “remain,” “maintain,” “sustain,” “seek,” “achieve” and similar expressions, or future or conditional verbs such as “will,” “would,” “should,” “could,” “may” or similar expressions.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do not meet the safe harbor for forward-looking statements pursuant to Section 27A of the Securities Act, or Section 21E of the Exchange Act. Actual results could differ materially from those anticipated in forward-looking statements and future results could differ materially from historical performance. 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supplement, the accompanying prospectus or in periodic reports we file under the Exchange Act.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6" w:name="suop"/>
      <w:bookmarkEnd w:id="6"/>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estimate that net proceeds we will receive from the sale of the Notes in this offering will be approximately $ (or approximately $ if the underwriters fully exercise their overallotment option), based on the underwriters purchasing the Notes from us at % of the aggregate principal amount and after deducting estimated offering expenses of approximately $ (including certain expenses of the underwriters that we will reimburse the underwriters for) payable by 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intend to use the net proceeds from this offering to repay outstanding indebtedness, including under our Credit Facility and to redeem all of our outstanding SWK 2027 Notes, and for general corporate purposes.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of September 22, 2026, we had $425.0 million in total commitments available and $252.0 million aggregate principal amount outstanding under the Credit Facility. The availability period under the Credit Facility expires on March 18, 2028 and is followed by a one-year amortization period. The stated maturity date under the Credit Facility is March 18, 2029, unless extended. Borrowings under the Credit Facility bear interest on a per annum rate equal to the adjusted term Secured Overnight Financing Rate plus an applicable margin rate that ranges from 2.95% to 3.35% per annum depending on our leverage ratio and number of eligible loans in the collateral pool. The Credit Facility provides for a variable advance rate of up to 65% on eligible term loans. We also pay an unused commitment fee that ranges from 0.25% to 1.00% per annum based on the total unused lender commitments under the Credit Facility. The Credit Facility is collateralized by all eligible investment assets held by 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reborrow under the Credit Facility to make investments in accordance with our investment objective and investment strategy described in this prospectus supplement and the accompanying prospectus, to pay our operating expenses and other cash obligations, and for general corporate purposes, including the repayment of outstanding indebtedness.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of September 22, 2026, we had approximately $33.0 million in aggregate principal amount of the SWK 2027 Notes outstanding. The SWK 2027 Notes bear an interest rate of 9.00% per year and are due on January 31, 2027. The SWK 2027 Notes may be redeemed in whole or in part at any time or from time to time at our option, (i) on or after September 30, 2025 and prior to September 30, 2026, at a redemption price equal to the sum of 102% of their principal amount and (ii) on or after September 30, 2026, at a redemption price of 100% of their principal amount, plus, in the case of each of (i) and (ii), accrued and unpaid interest to, but excluding, the redemption date. The SWK 2027 Notes are general unsecured obligations of the Company that rank pari passu with our existing and future unsecured, unsubordinated indebtedness.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S-17</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7" w:name="scap"/>
      <w:bookmarkEnd w:id="7"/>
      <w:r>
        <w:rPr>
          <w:rFonts w:ascii="Times New Roman" w:hAnsi="Times New Roman"/>
          <w:b/>
          <w:color w:val="000000"/>
          <w:sz w:val="20"/>
        </w:rPr>
        <w:t>CAPITALIZATION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table sets forth: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our actual capitalization as of June 30, 2026; and </w:t>
      </w:r>
    </w:p>
    <w:p>
      <w:pPr>
        <w:pStyle w:val="TextBody"/>
        <w:bidi w:val="0"/>
        <w:spacing w:before="80" w:after="283"/>
        <w:jc w:val="both"/>
        <w:rPr>
          <w:rFonts w:ascii="Times New Roman" w:hAnsi="Times New Roman"/>
          <w:sz w:val="20"/>
        </w:rPr>
      </w:pPr>
      <w:r>
        <w:rPr>
          <w:rFonts w:ascii="Times New Roman" w:hAnsi="Times New Roman"/>
          <w:color w:val="000000"/>
          <w:sz w:val="20"/>
        </w:rPr>
        <w:t> our capitalization on an as-adjusted basis giving effect to the sale of $ aggregate principal amount of Notes in this offering purchased from us by the underwriters and after deducting the underwriting discounts and commissions and estimated offering expenses of approximately $ payable by us and the application of the net proceeds as discussed in more detail under “</w:t>
      </w:r>
      <w:r>
        <w:rPr>
          <w:rFonts w:ascii="Times New Roman" w:hAnsi="Times New Roman"/>
          <w:i/>
          <w:color w:val="000000"/>
          <w:sz w:val="20"/>
        </w:rPr>
        <w:t>Use of Proceeds</w:t>
      </w:r>
      <w:r>
        <w:rPr>
          <w:rFonts w:ascii="Times New Roman" w:hAnsi="Times New Roman"/>
          <w:color w:val="000000"/>
          <w:sz w:val="20"/>
        </w:rPr>
        <w:t xml:space="preserve">” in this prospectus supplement (assuming no exercise of the underwriters' over-allotment option).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This table should be read in conjunction with “Use of Proceeds” included in this prospectus supplement and “Management’s Discussion and Analysis of Financial Condition and Results of Operations” and our most recent financial statements and notes thereto incorporated by reference in this prospectus supplement and the accompanying prospectus. </w:t>
      </w:r>
    </w:p>
    <w:tbl>
      <w:tblPr>
        <w:tblW w:w="10205" w:type="dxa"/>
        <w:jc w:val="left"/>
        <w:tblInd w:w="0" w:type="dxa"/>
        <w:tblLayout w:type="fixed"/>
        <w:tblCellMar>
          <w:top w:w="28" w:type="dxa"/>
          <w:left w:w="28" w:type="dxa"/>
          <w:bottom w:w="28" w:type="dxa"/>
          <w:right w:w="28" w:type="dxa"/>
        </w:tblCellMar>
      </w:tblPr>
      <w:tblGrid>
        <w:gridCol w:w="7742"/>
        <w:gridCol w:w="146"/>
        <w:gridCol w:w="212"/>
        <w:gridCol w:w="941"/>
        <w:gridCol w:w="146"/>
        <w:gridCol w:w="531"/>
        <w:gridCol w:w="487"/>
      </w:tblGrid>
      <w:tr>
        <w:trPr/>
        <w:tc>
          <w:tcPr>
            <w:tcW w:w="7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As of June 30, 2026</w:t>
            </w:r>
            <w:r>
              <w:rPr>
                <w:rFonts w:ascii="Times New Roman" w:hAnsi="Times New Roman"/>
                <w:b/>
                <w:color w:val="000000"/>
                <w:sz w:val="11"/>
              </w:rPr>
              <w:t>(1)</w:t>
            </w:r>
          </w:p>
        </w:tc>
      </w:tr>
      <w:tr>
        <w:trPr/>
        <w:tc>
          <w:tcPr>
            <w:tcW w:w="7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fees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1,222,357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SWK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offered hereby,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 100,000,000 shares authorized; 42,215,377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undistributed (overdistributed)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In thousands, except share and per share data.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S-18</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8" w:name="sdotn"/>
      <w:bookmarkEnd w:id="8"/>
      <w:r>
        <w:rPr>
          <w:rFonts w:ascii="Times New Roman" w:hAnsi="Times New Roman"/>
          <w:b/>
          <w:color w:val="000000"/>
          <w:sz w:val="20"/>
        </w:rPr>
        <w:t>DESCRIPTION OF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supplement sets forth certain terms of the Notes that we are offering pursuant to this prospectus supplement. This description supplements, and to the extent inconsistent therewith, replaces the descriptions of the general terms and provisions contained in “Description of our Debt Securities” in the accompanying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will be issued under a base indenture, dated as of July 28, 2022, and the fifth supplemental indenture thereto, to be entered into between us and U.S. Bank Trust Company, National Association, as trustee (the “Trustee”). The terms of the Notes include those stated in the Indenture (as defined below) and those made a part of the Indenture by reference to the Trust Indenture Act of 1939, as amended. As used in this section, all references to “Indenture” mean the indenture as supplemented by the fifth supplemental indenture, and all references to “we,” “our” and “us” mean Runway Growth Finance Corp., a Maryland corporation, exclusive of our subsidiaries, unless we specify otherwise.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Because this section is a summary, it does not describe every aspect of the Notes and the Indenture. We urge you to read the Indenture because it, and not this description, defines your rights as a holder of Notes. For example, in this section, we use capitalized words to signify terms that are specifically defined in the Indenture. Some of the definitions are repeated in this prospectus supplement, but for the rest you will need to read the Indenture. You may obtain a copy of the Indenture from us without charge. See “Available Information” in the accompanying prospectus. </w:t>
      </w:r>
    </w:p>
    <w:p>
      <w:pPr>
        <w:pStyle w:val="TextBody"/>
        <w:bidi w:val="0"/>
        <w:spacing w:before="240" w:after="283"/>
        <w:jc w:val="both"/>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be issued in an initial principal amount of $ ($ if the underwriters' option to purchase Notes to cover overallotments, if any, is exercised in full);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mature on , 2031, unless redeemed prior to maturity;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 will bear cash interest from , 2026, at an annual rate of % payable quarterly in arrears on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and </w:t>
      </w:r>
      <w:r>
        <w:rPr>
          <w:rFonts w:ascii="Times New Roman" w:hAnsi="Times New Roman"/>
          <w:color w:val="FFFFFF"/>
          <w:sz w:val="20"/>
        </w:rPr>
        <w:t>,</w:t>
      </w:r>
      <w:r>
        <w:rPr>
          <w:rFonts w:ascii="Times New Roman" w:hAnsi="Times New Roman"/>
          <w:color w:val="000000"/>
          <w:sz w:val="20"/>
        </w:rPr>
        <w:t xml:space="preserve">, beginning on ,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be issued in minimum denominations of $25 and integral multiples of $25 in excess thereof;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will be redeemable by us in whole or in part at any time or from time to time on and after , 2028, at a redemption price of $25 per Note, plus accrued and unpaid interest payments otherwise payable for the then-current quarterly interest period accrued to the date fixed for redemption as described under “— Optional Redemption” below;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are expected to be listed on Nasdaq within 30 days of the original issue date.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will be our direct unsecured obligations and will rank: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pari passu</w:t>
      </w:r>
      <w:r>
        <w:rPr>
          <w:rFonts w:ascii="Times New Roman" w:hAnsi="Times New Roman"/>
          <w:color w:val="000000"/>
          <w:sz w:val="20"/>
        </w:rPr>
        <w:t xml:space="preserve"> with current and future unsecured unsubordinated indebtedness, including the Outstanding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senior to any series of preferred stock that we may issue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senior to any of our future indebtedness that expressly provides it is subordinated to the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effectively subordinated to all of our existing and future secured indebtedness (including indebtedness that is initially unsecured to which we subsequently grant security), to the extent of the value of the assets securing such indebtedness, including debt outstanding under our Credit Facility;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structurally subordinated to all existing and future indebtedness and other obligations of any of our subsidiaries, financing vehicles or similar facilities, including debt outstanding under our Credit Facility.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As of September 22, 2026, our total indebtedness was approximately $585.5 million, $252.0 million of which was secured. After giving effect to the issuance of the Notes, assuming no repayment of indebtedness with the use of proceeds from this offering, our total indebtedness would have been approximately $ aggregate principal amount outstanding as of September 22, 2026 (or approximately $ if the underwriters fully exercise their overallotment option). </w:t>
      </w:r>
    </w:p>
    <w:p>
      <w:pPr>
        <w:pStyle w:val="TextBody"/>
        <w:bidi w:val="0"/>
        <w:jc w:val="both"/>
        <w:rPr>
          <w:rFonts w:ascii="Times New Roman" w:hAnsi="Times New Roman"/>
          <w:color w:val="000000"/>
          <w:sz w:val="20"/>
        </w:rPr>
      </w:pPr>
      <w:r>
        <w:rPr>
          <w:rFonts w:ascii="Times New Roman" w:hAnsi="Times New Roman"/>
          <w:color w:val="000000"/>
          <w:sz w:val="20"/>
        </w:rPr>
        <w:t xml:space="preserve">Our subsidiaries are separate and distinct legal entities and have no obligation, contingent or otherwise, to pay any amounts due on the Notes or to make any funds available for payment on the Notes, whether by dividends, loans or other payments. In addition, the payment of dividends and the making of loans and advances to us by our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S-19</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subsidiaries may be subject to statutory, contractual or other restrictions, may depend on the earnings or financial condition of all of the foregoing and are subject to various business considerations. As a result, we may be unable to gain significant, if any, access to the cash flow or assets of our subsidiaries.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Indenture does not limit the amount of debt (secured and unsecured) that we and our subsidiaries may incur or our ability to pay dividends, sell assets, enter into transactions with affiliates or make investments. In addition, the Indenture does not contain any provisions that would necessarily protect holders of Notes if we become involved in a highly leveraged transaction, reorganization, merger or other similar transaction that adversely affects us or them.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Notes will be issued in fully registered form only, without coupons, in minimum denominations of $25 and integral multiples thereof. The Notes will be represented by one or more global notes deposited with or on behalf of DTC, or a nominee thereof. Except as otherwise provided in the Indenture, the Notes will be registered in the name of that depositary or its nominee, and you will not receive certificates for the Notes. 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permitted, under specified conditions, to issue multiple classes of indebtedness if our asset coverage, as defined in the 1940 Act, is at least equal to 150% immediately after each such issuance. We may also borrow amounts up to 5% of the value of our total assets for temporary purposes without regard to asset coverage. For a discussion of the risks associated with leverage,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our most recent Annual Report on Form 10-K. </w:t>
      </w:r>
    </w:p>
    <w:p>
      <w:pPr>
        <w:pStyle w:val="TextBody"/>
        <w:bidi w:val="0"/>
        <w:spacing w:before="240" w:after="283"/>
        <w:jc w:val="both"/>
        <w:rPr>
          <w:rFonts w:ascii="Times New Roman" w:hAnsi="Times New Roman"/>
          <w:sz w:val="20"/>
        </w:rPr>
      </w:pPr>
      <w:r>
        <w:rPr>
          <w:rFonts w:ascii="Times New Roman" w:hAnsi="Times New Roman"/>
          <w:b/>
          <w:color w:val="000000"/>
          <w:sz w:val="20"/>
        </w:rPr>
        <w:t>Interest Provisions Related to the Notes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Interest on the Notes will accrue at the rate of % per annum and will be payable quarterly on each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and </w:t>
      </w:r>
      <w:r>
        <w:rPr>
          <w:rFonts w:ascii="Times New Roman" w:hAnsi="Times New Roman"/>
          <w:color w:val="FFFFFF"/>
          <w:sz w:val="20"/>
        </w:rPr>
        <w:t>,</w:t>
      </w:r>
      <w:r>
        <w:rPr>
          <w:rFonts w:ascii="Times New Roman" w:hAnsi="Times New Roman"/>
          <w:color w:val="000000"/>
          <w:sz w:val="20"/>
        </w:rPr>
        <w:t xml:space="preserve">, commencing on , 2026. The initial interest period will be the period from and including the original issue date to, but excluding, the initial interest payment date, and the subsequent interest periods will be the periods from and including an interest payment date to, but excluding, the next interest payment date or the stated maturity date, as the case may be. We will pay interest to those persons who were holders of record of such Notes on the </w:t>
      </w:r>
      <w:r>
        <w:rPr>
          <w:rFonts w:ascii="Times New Roman" w:hAnsi="Times New Roman"/>
          <w:color w:val="FFFFFF"/>
          <w:sz w:val="20"/>
        </w:rPr>
        <w:t>[ ]</w:t>
      </w:r>
      <w:r>
        <w:rPr>
          <w:rFonts w:ascii="Times New Roman" w:hAnsi="Times New Roman"/>
          <w:color w:val="000000"/>
          <w:sz w:val="20"/>
        </w:rPr>
        <w:t xml:space="preserve"> day of the month prior to which each interest payment date occurs: each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w:t>
      </w:r>
      <w:r>
        <w:rPr>
          <w:rFonts w:ascii="Times New Roman" w:hAnsi="Times New Roman"/>
          <w:color w:val="FFFFFF"/>
          <w:sz w:val="20"/>
        </w:rPr>
        <w:t>,</w:t>
      </w:r>
      <w:r>
        <w:rPr>
          <w:rFonts w:ascii="Times New Roman" w:hAnsi="Times New Roman"/>
          <w:color w:val="000000"/>
          <w:sz w:val="20"/>
        </w:rPr>
        <w:t xml:space="preserve">, and </w:t>
      </w:r>
      <w:r>
        <w:rPr>
          <w:rFonts w:ascii="Times New Roman" w:hAnsi="Times New Roman"/>
          <w:color w:val="FFFFFF"/>
          <w:sz w:val="20"/>
        </w:rPr>
        <w:t>,</w:t>
      </w:r>
      <w:r>
        <w:rPr>
          <w:rFonts w:ascii="Times New Roman" w:hAnsi="Times New Roman"/>
          <w:color w:val="000000"/>
          <w:sz w:val="20"/>
        </w:rPr>
        <w:t xml:space="preserve">, commencing , 2026.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Interest on the Notes will accrue from the date of original issuance and will be computed on the basis of a 360-day year comprised of twelve 30-day months. We will not provide a sinking fund for the Notes.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Interest payments will be made only on a business day, defined in the Indenture as each Monday, Tuesday, Wednesday, Thursday and Friday that is not a day on which banking institutions in New York City, Chicago or the place of payment are authorized or required by law or executive order to close. If any interest payment is due on a non-business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Trustee will have no obligation to calculate or verify the calculation of the accrued and unpaid interest or any premium payable on the Notes. </w:t>
      </w:r>
    </w:p>
    <w:p>
      <w:pPr>
        <w:pStyle w:val="TextBody"/>
        <w:bidi w:val="0"/>
        <w:spacing w:before="140" w:after="283"/>
        <w:jc w:val="both"/>
        <w:rPr>
          <w:rFonts w:ascii="Times New Roman" w:hAnsi="Times New Roman"/>
          <w:sz w:val="20"/>
        </w:rPr>
      </w:pPr>
      <w:r>
        <w:rPr>
          <w:rFonts w:ascii="Times New Roman" w:hAnsi="Times New Roman"/>
          <w:b/>
          <w:color w:val="000000"/>
          <w:sz w:val="20"/>
        </w:rPr>
        <w:t>Book-entry and other indirect holders should consult their banks or brokers for information on how they will receive payments on their Notes.</w:t>
      </w:r>
      <w:r>
        <w:rPr>
          <w:rFonts w:ascii="Times New Roman" w:hAnsi="Times New Roman"/>
          <w:color w:val="000000"/>
          <w:sz w:val="20"/>
        </w:rPr>
        <w:t xml:space="preserve"> </w:t>
      </w:r>
    </w:p>
    <w:p>
      <w:pPr>
        <w:pStyle w:val="TextBody"/>
        <w:bidi w:val="0"/>
        <w:spacing w:before="140" w:after="283"/>
        <w:jc w:val="both"/>
        <w:rPr>
          <w:rFonts w:ascii="Times New Roman" w:hAnsi="Times New Roman"/>
          <w:b/>
          <w:color w:val="000000"/>
          <w:sz w:val="20"/>
        </w:rPr>
      </w:pPr>
      <w:r>
        <w:rPr>
          <w:rFonts w:ascii="Times New Roman" w:hAnsi="Times New Roman"/>
          <w:b/>
          <w:color w:val="000000"/>
          <w:sz w:val="20"/>
        </w:rPr>
        <w:t>Optional Redemption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Notes may be redeemed in whole or in part at any time or from time to time at our option on or after , 2028, upon not less than 30 days nor more than 60 days written notice by mail prior to the date fixed for redemption thereof, at a redemption price of $25 per Note plus accrued and unpaid interest payments otherwise payable for the then-current quarterly interest period accrued to the date fixed for redemption.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may be prevented from exchanging or transferring the Notes when they are subject to redemption. In case any Notes are to be redeemed in part only, the redemption notice will provide that, upon surrender of such Note, you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S-20</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will receive, without a charge, a new Note or Notes of authorized denominations representing the principal amount of your remaining unredeemed Notes.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Any exercise of our option to redeem the Notes will be done in compliance with the 1940 Act, to the extent applicable.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redeem only a portion of the Notes, DTC will determine the method for selection of the particular Notes to be redeemed. DTC’s practice is to determine by lot the amount to be redeemed from each of its participants holding the Notes. Unless we default in payment of the redemption price, on and after the date of redemption, interest will cease to accrue on the Notes called for redemption.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Holders will not have the option to have the Notes repaid prior to the stated maturity date.</w:t>
      </w:r>
    </w:p>
    <w:p>
      <w:pPr>
        <w:pStyle w:val="TextBody"/>
        <w:bidi w:val="0"/>
        <w:spacing w:before="220" w:after="283"/>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We intend to list the Notes on Nasdaq under the symbol “ .” We expect trading in the Notes to begin within 30 days of the original issue date.</w:t>
      </w:r>
    </w:p>
    <w:p>
      <w:pPr>
        <w:pStyle w:val="TextBody"/>
        <w:bidi w:val="0"/>
        <w:spacing w:before="220" w:after="283"/>
        <w:jc w:val="both"/>
        <w:rPr>
          <w:rFonts w:ascii="Times New Roman" w:hAnsi="Times New Roman"/>
          <w:b/>
          <w:color w:val="000000"/>
          <w:sz w:val="20"/>
        </w:rPr>
      </w:pPr>
      <w:r>
        <w:rPr>
          <w:rFonts w:ascii="Times New Roman" w:hAnsi="Times New Roman"/>
          <w:b/>
          <w:color w:val="000000"/>
          <w:sz w:val="20"/>
        </w:rPr>
        <w:t>Trading Characteristics</w:t>
      </w:r>
    </w:p>
    <w:p>
      <w:pPr>
        <w:pStyle w:val="TextBody"/>
        <w:bidi w:val="0"/>
        <w:spacing w:before="220" w:after="283"/>
        <w:jc w:val="both"/>
        <w:rPr>
          <w:rFonts w:ascii="Times New Roman" w:hAnsi="Times New Roman"/>
          <w:color w:val="000000"/>
          <w:sz w:val="20"/>
        </w:rPr>
      </w:pPr>
      <w:r>
        <w:rPr>
          <w:rFonts w:ascii="Times New Roman" w:hAnsi="Times New Roman"/>
          <w:color w:val="000000"/>
          <w:sz w:val="20"/>
        </w:rPr>
        <w:t>We expect the Notes to trade at a price that takes into account the value, if any, of accrued and unpaid interest. This means that purchasers will not pay, and sellers will not receive, accrued and unpaid interest on the Notes that is not included in their trading price. Any portion of the trading price of a Note that is attributable to accrued and unpaid interest will be treated as a payment of interest for U.S. federal income tax purposes and will not be treated as part of the amount realized for purposes of determining gain or loss on the disposition of the Notes. See “Material United States Federal Income Tax Consequences” in this prospectus supplement.</w:t>
      </w:r>
    </w:p>
    <w:p>
      <w:pPr>
        <w:pStyle w:val="TextBody"/>
        <w:bidi w:val="0"/>
        <w:spacing w:before="220" w:after="283"/>
        <w:jc w:val="both"/>
        <w:rPr>
          <w:rFonts w:ascii="Times New Roman" w:hAnsi="Times New Roman"/>
          <w:sz w:val="20"/>
        </w:rPr>
      </w:pPr>
      <w:r>
        <w:rPr>
          <w:rFonts w:ascii="Times New Roman" w:hAnsi="Times New Roman"/>
          <w:b/>
          <w:color w:val="000000"/>
          <w:sz w:val="20"/>
        </w:rPr>
        <w:t>Certain Covenants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to standard covenants relating to payment of principal and interest, maintaining an office where payments may be made or securities surrendered for payment, payment of taxes and related matters, the following covenants apply to the Notes. </w:t>
      </w:r>
    </w:p>
    <w:p>
      <w:pPr>
        <w:pStyle w:val="TextBody"/>
        <w:bidi w:val="0"/>
        <w:spacing w:before="220" w:after="283"/>
        <w:jc w:val="both"/>
        <w:rPr>
          <w:rFonts w:ascii="Times New Roman" w:hAnsi="Times New Roman"/>
          <w:sz w:val="20"/>
        </w:rPr>
      </w:pPr>
      <w:r>
        <w:rPr>
          <w:rFonts w:ascii="Times New Roman" w:hAnsi="Times New Roman"/>
          <w:i/>
          <w:color w:val="000000"/>
          <w:sz w:val="20"/>
        </w:rPr>
        <w:t>Reporting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agreed to provide to holders of the Notes and the Trustee (if at any time when Notes are outstanding we are not subject to the reporting requirements of Sections 13 or 15(d) of the Exchange Act to file any periodic reports with the SEC) our audited annual financial statements within 90 days of our fiscal year end and unaudited interim financial statements within 45 days of our fiscal quarter end (other than our fourth fiscal quarter). All such financial statements will be prepared, in all material respects, in accordance with applicable United States generally accepted accounting principles. </w:t>
      </w:r>
    </w:p>
    <w:p>
      <w:pPr>
        <w:pStyle w:val="TextBody"/>
        <w:bidi w:val="0"/>
        <w:spacing w:before="220" w:after="283"/>
        <w:jc w:val="both"/>
        <w:rPr>
          <w:rFonts w:ascii="Times New Roman" w:hAnsi="Times New Roman"/>
          <w:sz w:val="20"/>
        </w:rPr>
      </w:pPr>
      <w:r>
        <w:rPr>
          <w:rFonts w:ascii="Times New Roman" w:hAnsi="Times New Roman"/>
          <w:i/>
          <w:color w:val="000000"/>
          <w:sz w:val="20"/>
        </w:rPr>
        <w:t>1940 Act Compliance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indebtedness, including through the issuance of additional debt securities, unless our asset coverage, as defined in the 1940 Act, equals at least 150% after such borrowings. </w:t>
      </w:r>
    </w:p>
    <w:p>
      <w:pPr>
        <w:pStyle w:val="TextBody"/>
        <w:bidi w:val="0"/>
        <w:spacing w:before="240" w:after="283"/>
        <w:jc w:val="both"/>
        <w:rPr>
          <w:rFonts w:ascii="Times New Roman" w:hAnsi="Times New Roman"/>
          <w:sz w:val="20"/>
        </w:rPr>
      </w:pPr>
      <w:r>
        <w:rPr>
          <w:rFonts w:ascii="Times New Roman" w:hAnsi="Times New Roman"/>
          <w:b/>
          <w:color w:val="000000"/>
          <w:sz w:val="20"/>
        </w:rPr>
        <w:t>Events of Default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will have rights if an Event of Default occurs in respect of the Notes and is not cured, as described later in this subsection.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term “Event of Default” in respect of the Notes means any of the following: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default in the payment of any interest on the Notes when due and payable and the default continues for a period of 30 days.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We default in the payment of the principal of (or premium, if any, on) a debt security of the series when it becomes due and payable at its maturity, including upon any redemption date or required repurchase date, and the default continues for a period of five business days.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S-21</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We do not deposit any sinking fund payment in respect of the Notes on its due date, and do not cure this default within five days.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We fail for 60 consecutive days after written notice from the Trustee or the holders of at least 25% in principal amount of the Notes then outstanding to us and the Trustee, as applicable, has been received to comply with any of our other agreements with respect to the Notes.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We file for bankruptcy or certain events of bankruptcy, insolvency, or reorganization involving us occur and remain undischarged or unstayed for a period of 90 days.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Any other Event of Default in respect of the Notes described in the applicable prospectus supplement occurs.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Event of Default for the Notes does not necessarily constitute an Event of Default for any other series of debt securities issued under the same or any other indenture. The Trustee may withhold notice to the holders of the Notes of any default, except in the payment of principal, premium or interest, if it in good faith considers the withholding of notice to be in the interests of the holders. </w:t>
      </w:r>
    </w:p>
    <w:p>
      <w:pPr>
        <w:pStyle w:val="TextBody"/>
        <w:bidi w:val="0"/>
        <w:spacing w:before="220" w:after="283"/>
        <w:jc w:val="left"/>
        <w:rPr>
          <w:rFonts w:ascii="Times New Roman" w:hAnsi="Times New Roman"/>
          <w:sz w:val="20"/>
        </w:rPr>
      </w:pPr>
      <w:r>
        <w:rPr>
          <w:rFonts w:ascii="Times New Roman" w:hAnsi="Times New Roman"/>
          <w:i/>
          <w:color w:val="000000"/>
          <w:sz w:val="20"/>
        </w:rPr>
        <w:t>Remedies if an Event of Default Occurs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an Event of Default has occurred and has not been cured, the Trustee or the holders of at least 25% in principal amount of the Notes may declare the entire principal amount of all the Notes to be due and immediately payable. This is called a declaration of acceleration of maturity. A declaration of acceleration of maturity may be canceled by the holders of a majority in principal amount of the Notes if (1) we have deposited with the Trustee all amounts due and owing with respect to the securities (other than principal that has become due solely by reason of such acceleration) and certain other amounts, (2) we have paid or deposited with the Trustee all sums paid or advanced by the Trustee and the reasonable compensation, expenses, disbursements and advances of the Trustee, its agents and counsel, and (3) any other Events of Default have been cured or waived.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(Section 315 of the Trust Indenture Act of 1939). If indemnity and/or security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Before you are allowed to bypass the Trustee and bring your own lawsuit or other formal legal action or take other steps to enforce your rights or protect your interests relating to the Notes, the following must occur: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You must give the Trustee written notice that an Event of Default has occurred and remains uncured.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holders of at least 25% in principal amount of all outstanding Notes must make a written request that the Trustee take action because of the default and must offer to the Trustee security and/or indemnity satisfactory to it against the cost, expenses, and other liabilities of taking that action.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Trustee must not have taken action for 60 days after receipt of the above notice and offer of security and/or indemnity.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holders of a majority in principal amount of the Notes must not have given the Trustee a direction inconsistent with the above notice during that 60-day period.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However, you are entitled at any time to bring a lawsuit for the payment of money due on your Notes on or after the due date.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Holders of a majority in principal amount of the Notes may waive any past defaults other than a default;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the payment of principal, any premium, or interest;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respect of a covenant that cannot be modified or amended without the consent of each holder.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S-22</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sz w:val="20"/>
        </w:rPr>
      </w:pPr>
      <w:r>
        <w:rPr>
          <w:rFonts w:ascii="Times New Roman" w:hAnsi="Times New Roman"/>
          <w:b/>
          <w:color w:val="000000"/>
          <w:sz w:val="20"/>
        </w:rPr>
        <w:t>Book-entry and other indirect holders should consult their banks or brokers for information on how to give notice or direction to or make a request of the Trustee and how to declare or cancel an acceleration of maturity.</w:t>
      </w:r>
      <w:r>
        <w:rPr>
          <w:rFonts w:ascii="Times New Roman" w:hAnsi="Times New Roman"/>
          <w:color w:val="000000"/>
          <w:sz w:val="20"/>
        </w:rPr>
        <w:t xml:space="preserv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Each year, we will furnish to the Trustee a written statement of certain of our officers certifying that to their knowledge we are in compliance with the Indenture or else specifying any default. </w:t>
      </w:r>
    </w:p>
    <w:p>
      <w:pPr>
        <w:pStyle w:val="TextBody"/>
        <w:bidi w:val="0"/>
        <w:spacing w:before="220" w:after="283"/>
        <w:jc w:val="both"/>
        <w:rPr>
          <w:rFonts w:ascii="Times New Roman" w:hAnsi="Times New Roman"/>
          <w:sz w:val="20"/>
        </w:rPr>
      </w:pPr>
      <w:r>
        <w:rPr>
          <w:rFonts w:ascii="Times New Roman" w:hAnsi="Times New Roman"/>
          <w:b/>
          <w:color w:val="000000"/>
          <w:sz w:val="20"/>
        </w:rPr>
        <w:t>Merger, Consolidation or Sale of Assets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the terms of the Indenture, we are generally permitted to consolidate or merge with another entity. We are also permitted to sell all or substantially all of our assets to another entity. However, we may not consolidate with or into any other corporation or convey or transfer all or substantially all of our property or assets to any person unless all the following conditions are met: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Where we merge out of existence or sell our assets, the resulting entity must agree to be legally responsible for all of our obligations under the Notes and the Indenture.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Immediately after giving effect to such transaction, no Default or Event of Default shall have happened and be continuing.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certain certificates and documents to the Trustee. </w:t>
      </w:r>
    </w:p>
    <w:p>
      <w:pPr>
        <w:pStyle w:val="TextBody"/>
        <w:bidi w:val="0"/>
        <w:spacing w:before="220" w:after="283"/>
        <w:jc w:val="left"/>
        <w:rPr>
          <w:rFonts w:ascii="Times New Roman" w:hAnsi="Times New Roman"/>
          <w:sz w:val="20"/>
        </w:rPr>
      </w:pPr>
      <w:r>
        <w:rPr>
          <w:rFonts w:ascii="Times New Roman" w:hAnsi="Times New Roman"/>
          <w:b/>
          <w:color w:val="000000"/>
          <w:sz w:val="20"/>
        </w:rPr>
        <w:t>Modification or Waiver</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There are three types of changes we can make to the Indenture and the Notes. </w:t>
      </w:r>
    </w:p>
    <w:p>
      <w:pPr>
        <w:pStyle w:val="TextBody"/>
        <w:bidi w:val="0"/>
        <w:spacing w:before="220" w:after="283"/>
        <w:jc w:val="left"/>
        <w:rPr>
          <w:rFonts w:ascii="Times New Roman" w:hAnsi="Times New Roman"/>
          <w:sz w:val="20"/>
        </w:rPr>
      </w:pPr>
      <w:r>
        <w:rPr>
          <w:rFonts w:ascii="Times New Roman" w:hAnsi="Times New Roman"/>
          <w:i/>
          <w:color w:val="000000"/>
          <w:sz w:val="20"/>
        </w:rPr>
        <w:t>Changes Requiring Your Approval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First, there are changes that we cannot make to your Notes without your specific approval. The following is a list of those types of changes: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change the stated maturity of the principal of or interest on the Notes;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reduce any amounts due on the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amount of principal payable upon acceleration of the maturity of the Notes following a default;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adversely affect any right of repayment at the holder’s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 the place (except as otherwise described in this prospectus supplement or the accompanying prospectus) or currency of payment on the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impair your right to sue for payment;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percentage of holders of Notes whose consent is needed to modify or amend the Indenture;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percentage of holders of Notes whose consent is needed to waive compliance with certain provisions of the Indenture or to waive certain defaults;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modify any other aspect of the provisions of the Indenture dealing with supplemental indentures, modification and waiver of past defaults, changes to the quorum or voting requirements or the waiver of certain covenants;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change any obligation we have to pay additional amounts. </w:t>
      </w:r>
    </w:p>
    <w:p>
      <w:pPr>
        <w:pStyle w:val="TextBody"/>
        <w:bidi w:val="0"/>
        <w:spacing w:before="200" w:after="283"/>
        <w:jc w:val="both"/>
        <w:rPr>
          <w:rFonts w:ascii="Times New Roman" w:hAnsi="Times New Roman"/>
          <w:sz w:val="20"/>
        </w:rPr>
      </w:pPr>
      <w:r>
        <w:rPr>
          <w:rFonts w:ascii="Times New Roman" w:hAnsi="Times New Roman"/>
          <w:i/>
          <w:color w:val="000000"/>
          <w:sz w:val="20"/>
        </w:rPr>
        <w:t>Changes Not Requiring Approval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second type of change does not require any vote by the holders of the Notes. This type is limited to clarifications and certain other changes that would not adversely affect holders of the Notes in any material respect. We also do not need any approval to make any change that affects only debt securities to be issued under the indenture after the change takes effect. </w:t>
      </w:r>
    </w:p>
    <w:p>
      <w:pPr>
        <w:pStyle w:val="TextBody"/>
        <w:bidi w:val="0"/>
        <w:spacing w:before="220" w:after="283"/>
        <w:jc w:val="both"/>
        <w:rPr>
          <w:rFonts w:ascii="Times New Roman" w:hAnsi="Times New Roman"/>
          <w:sz w:val="20"/>
        </w:rPr>
      </w:pPr>
      <w:r>
        <w:rPr>
          <w:rFonts w:ascii="Times New Roman" w:hAnsi="Times New Roman"/>
          <w:i/>
          <w:color w:val="000000"/>
          <w:sz w:val="20"/>
        </w:rPr>
        <w:t>Changes Requiring Majority Approval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other change to the Indenture and the Notes would require the following approval: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change affects only the Notes, it must be approved by the holders of a majority in principal amount of the Notes outstanding at such time; and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S-23</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change affects more than one series of debt securities issued under the indenture, it must be approved by the holders of a majority in principal amount of all of the series affected by the change, with all affected series voting together as one class for this purpose. </w:t>
      </w:r>
    </w:p>
    <w:p>
      <w:pPr>
        <w:pStyle w:val="TextBody"/>
        <w:bidi w:val="0"/>
        <w:spacing w:before="140" w:after="283"/>
        <w:jc w:val="both"/>
        <w:rPr>
          <w:rFonts w:ascii="Times New Roman" w:hAnsi="Times New Roman"/>
          <w:sz w:val="20"/>
        </w:rPr>
      </w:pPr>
      <w:r>
        <w:rPr>
          <w:rFonts w:ascii="Times New Roman" w:hAnsi="Times New Roman"/>
          <w:color w:val="000000"/>
          <w:sz w:val="20"/>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w:t>
      </w:r>
      <w:r>
        <w:rPr>
          <w:rFonts w:ascii="Times New Roman" w:hAnsi="Times New Roman"/>
          <w:i/>
          <w:color w:val="000000"/>
          <w:sz w:val="20"/>
        </w:rPr>
        <w:t>Changes Requiring Your Approval</w:t>
      </w:r>
      <w:r>
        <w:rPr>
          <w:rFonts w:ascii="Times New Roman" w:hAnsi="Times New Roman"/>
          <w:color w:val="000000"/>
          <w:sz w:val="20"/>
        </w:rPr>
        <w:t xml:space="preserve">.” </w:t>
      </w:r>
    </w:p>
    <w:p>
      <w:pPr>
        <w:pStyle w:val="TextBody"/>
        <w:bidi w:val="0"/>
        <w:spacing w:before="140" w:after="283"/>
        <w:jc w:val="both"/>
        <w:rPr>
          <w:rFonts w:ascii="Times New Roman" w:hAnsi="Times New Roman"/>
          <w:sz w:val="20"/>
        </w:rPr>
      </w:pPr>
      <w:r>
        <w:rPr>
          <w:rFonts w:ascii="Times New Roman" w:hAnsi="Times New Roman"/>
          <w:b/>
          <w:color w:val="000000"/>
          <w:sz w:val="20"/>
        </w:rPr>
        <w:t>Book-entry and other indirect holders should consult their banks or brokers for information on how approval may be granted or denied if we seek to change the Indenture or the Notes or request a waiver.</w:t>
      </w:r>
      <w:r>
        <w:rPr>
          <w:rFonts w:ascii="Times New Roman" w:hAnsi="Times New Roman"/>
          <w:color w:val="000000"/>
          <w:sz w:val="20"/>
        </w:rPr>
        <w:t xml:space="preserve"> </w:t>
      </w:r>
    </w:p>
    <w:p>
      <w:pPr>
        <w:pStyle w:val="TextBody"/>
        <w:bidi w:val="0"/>
        <w:spacing w:before="220" w:after="283"/>
        <w:jc w:val="both"/>
        <w:rPr>
          <w:rFonts w:ascii="Times New Roman" w:hAnsi="Times New Roman"/>
          <w:sz w:val="20"/>
        </w:rPr>
      </w:pPr>
      <w:r>
        <w:rPr>
          <w:rFonts w:ascii="Times New Roman" w:hAnsi="Times New Roman"/>
          <w:b/>
          <w:color w:val="000000"/>
          <w:sz w:val="20"/>
        </w:rPr>
        <w:t>Defeasance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Covenant Defeasance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Under current United States federal tax law,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 We must irrevocably deposit in trust for the benefit of all holders of such Notes a combination of money and United States government or United States government agency notes or bonds that will generate enough cash to make interest, principal and any other payments on the Notes on their various due dates. No Default or Event of Default with respect to the Notes shall have occurred and be continuing on the date of such deposit, or in the case of a bankruptcy Event of Default, at any time during the period ending on the 91st day after the date of such deposit.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of our counsel confirming that, under current U.S. federal income tax law, we may make the above deposit without causing you to be taxed on the Notes any differently than if we did not make the deposit and just repaid the Notes ourselves at maturity.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p>
      <w:pPr>
        <w:pStyle w:val="TextBody"/>
        <w:bidi w:val="0"/>
        <w:spacing w:before="140" w:after="260"/>
        <w:jc w:val="both"/>
        <w:rPr>
          <w:rFonts w:ascii="Times New Roman" w:hAnsi="Times New Roman"/>
          <w:color w:val="000000"/>
          <w:sz w:val="20"/>
        </w:rPr>
      </w:pPr>
      <w:r>
        <w:rPr>
          <w:rFonts w:ascii="Times New Roman" w:hAnsi="Times New Roman"/>
          <w:color w:val="000000"/>
          <w:sz w:val="20"/>
        </w:rPr>
        <w:t xml:space="preserve">If we accomplish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jc w:val="both"/>
        <w:rPr>
          <w:rFonts w:ascii="Times New Roman" w:hAnsi="Times New Roman"/>
          <w:sz w:val="20"/>
        </w:rPr>
      </w:pPr>
      <w:r>
        <w:rPr>
          <w:rFonts w:ascii="Times New Roman" w:hAnsi="Times New Roman"/>
          <w:b/>
          <w:i/>
          <w:color w:val="000000"/>
          <w:sz w:val="20"/>
        </w:rPr>
        <w:t>Full 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there is a change in U.S. federal tax law, as described below, we can legally release ourselves from all payment and other obligations on the Notes (called “full defeasance”) if we put in place the following other arrangements for you to be repaid: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deposit in trust for the benefit of all holders of such Notes a combination of money and United States government or United States government agency notes or bonds that will generate enough cash to make interest, principal and any other payments on the Notes and for payment of amounts due to the Trustee.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No Default or Event of Default with respect to the Notes shall have occurred and be continuing on the date of such deposit, or in the case of a bankruptcy Event of Default, at any time during the period ending on the 91st day after the date of such deposit.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confirming that there has been a change in current U.S. federal tax law or a ruling issued by the Internal Revenue Service, or IRS,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S-24</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of our counsel stating that the above deposit does not require registration by us under the 1940 Act and a legal opinion and officers’ certificate stating that all conditions precedent to defeasance have been complied with.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No service charge will be made for any registration of transfer or any exchange of Notes, but we may require payment of a sum sufficient to cover any transfer tax or similar governmental charge payable in connection therewith. </w:t>
      </w:r>
    </w:p>
    <w:p>
      <w:pPr>
        <w:pStyle w:val="TextBody"/>
        <w:bidi w:val="0"/>
        <w:spacing w:before="220" w:after="283"/>
        <w:jc w:val="both"/>
        <w:rPr>
          <w:rFonts w:ascii="Times New Roman" w:hAnsi="Times New Roman"/>
          <w:sz w:val="20"/>
        </w:rPr>
      </w:pPr>
      <w:r>
        <w:rPr>
          <w:rFonts w:ascii="Times New Roman" w:hAnsi="Times New Roman"/>
          <w:b/>
          <w:color w:val="000000"/>
          <w:sz w:val="20"/>
        </w:rPr>
        <w:t>Satisfaction and Discharge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Indenture will be discharged and will cease to be of further effect with respect to the Notes when either: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all the Notes that have been authenticated have been delivered to the Trustee for cancellation;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all the Notes that have not been delivered to the Trustee for cancellation: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have become due and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will become due and payable at their stated maturity within one year,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are to be called for redemption within one year, </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and we, in the case of the first, second and third sub-bullets above, have irrevocably deposited or caused to be deposited with the Trustee as trust funds in trust solely for the benefit of the holders of the Notes, in amounts as will be sufficient, without consideration of any reinvestment of interest,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we have paid or caused to be paid all other sums payable by us under the Indenture with respect to the Notes;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have delivered to the Trustee an officers’ certificate and legal opinion, each stating that all conditions precedent provided for in the Indenture, including amounts payable to the Trustee, relating to the satisfaction and discharge of the Indenture and the Notes have been complied with. </w:t>
      </w:r>
    </w:p>
    <w:p>
      <w:pPr>
        <w:pStyle w:val="TextBody"/>
        <w:bidi w:val="0"/>
        <w:spacing w:before="220" w:after="283"/>
        <w:jc w:val="both"/>
        <w:rPr>
          <w:rFonts w:ascii="Times New Roman" w:hAnsi="Times New Roman"/>
          <w:sz w:val="20"/>
        </w:rPr>
      </w:pPr>
      <w:r>
        <w:rPr>
          <w:rFonts w:ascii="Times New Roman" w:hAnsi="Times New Roman"/>
          <w:b/>
          <w:color w:val="000000"/>
          <w:sz w:val="20"/>
        </w:rPr>
        <w:t>Additional Notes and Additional Series of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from time to time, without notice to or the consent of the registered holders of the Notes, create and issue further notes ranking equally and ratably with the Notes in all respects, including having the same CUSIP number, so that such further notes shall be consolidated and form a single series of notes and shall have the same terms as to status or otherwise as the Notes. No additional Notes may be issued if an Event of Default has occurred and is continuing with respect to the Notes. The indenture also allows for the issuance of additional series of debt securities from time to time. </w:t>
      </w:r>
    </w:p>
    <w:p>
      <w:pPr>
        <w:pStyle w:val="TextBody"/>
        <w:bidi w:val="0"/>
        <w:spacing w:before="220" w:after="283"/>
        <w:jc w:val="both"/>
        <w:rPr>
          <w:rFonts w:ascii="Times New Roman" w:hAnsi="Times New Roman"/>
          <w:sz w:val="20"/>
        </w:rPr>
      </w:pPr>
      <w:r>
        <w:rPr>
          <w:rFonts w:ascii="Times New Roman" w:hAnsi="Times New Roman"/>
          <w:b/>
          <w:color w:val="000000"/>
          <w:sz w:val="20"/>
        </w:rPr>
        <w:t>The Trustee Under the Indenture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U.S. Bank Trust Company, National Association will serve as the trustee under the Indenture. </w:t>
      </w:r>
    </w:p>
    <w:p>
      <w:pPr>
        <w:pStyle w:val="TextBody"/>
        <w:bidi w:val="0"/>
        <w:spacing w:before="220" w:after="283"/>
        <w:jc w:val="both"/>
        <w:rPr>
          <w:rFonts w:ascii="Times New Roman" w:hAnsi="Times New Roman"/>
          <w:sz w:val="20"/>
        </w:rPr>
      </w:pPr>
      <w:r>
        <w:rPr>
          <w:rFonts w:ascii="Times New Roman" w:hAnsi="Times New Roman"/>
          <w:b/>
          <w:color w:val="000000"/>
          <w:sz w:val="20"/>
        </w:rPr>
        <w:t>Payment, Paying Agent, Registrar and Transfer Agent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principal amount of each Note will be payable on the stated maturity date at the corporate trust office of the Paying Agent, Registrar and Transfer Agent for the Notes as provided for in the Indenture or at such other office in New York City as we may designate. The Trustee will initially act as Paying Agent, Registrar and Transfer Agent for the Notes. </w:t>
      </w:r>
    </w:p>
    <w:p>
      <w:pPr>
        <w:pStyle w:val="TextBody"/>
        <w:bidi w:val="0"/>
        <w:spacing w:before="220" w:after="283"/>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Indenture and the Notes will be governed by the laws of the State of New York.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S-25</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color w:val="000000"/>
          <w:sz w:val="20"/>
        </w:rPr>
        <w:t>Book-Entry Debt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will act as securities depository for the Notes. The Notes will be issued as fully registered securities registered in the name of Cede &amp; Co. (DTC’s partnership nominee) or such other name as may be requested by an authorized representative of DTC. One fully-registered certificate will be issued for the Notes, in the aggregate principal amount of such issue, and will be deposited with DTC.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issues of U.S. and non-U.S. equity issues, corporate and municipal debt issues, and money market instruments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Purchases of debt securities under the DTC system must be made by or through Direct Participants, which will receive a credit for the debt securities on DTC’s records. The ownership interest of each actual purchaser of each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jc w:val="both"/>
        <w:rPr>
          <w:rFonts w:ascii="Times New Roman" w:hAnsi="Times New Roman"/>
          <w:color w:val="000000"/>
          <w:sz w:val="20"/>
        </w:rPr>
      </w:pPr>
      <w:r>
        <w:rPr>
          <w:rFonts w:ascii="Times New Roman" w:hAnsi="Times New Roman"/>
          <w:color w:val="000000"/>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affect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Neither DTC nor Cede &amp; Co. (nor such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Redemption proceeds, distributions, and dividend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S-26</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information in this section concerning DTC and DTC’s book-entry system has been obtained from sources that we believe to be reliable, but we take no responsibility for the accuracy thereof.</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S-27</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9" w:name="smusf"/>
      <w:bookmarkEnd w:id="9"/>
      <w:r>
        <w:rPr>
          <w:rFonts w:ascii="Times New Roman" w:hAnsi="Times New Roman"/>
          <w:b/>
          <w:color w:val="000000"/>
          <w:sz w:val="20"/>
        </w:rPr>
        <w:t>MATERIAL UNITED STATES FEDERAL INCOME TAX CONSEQUENCES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discussion is a general summary of the material United States federal income tax considerations (and, in the case of a non-U.S. holder (as defined below), the material United States federal estate tax consequences) applicable to an investment in the Notes. This summary does not purport to be a complete description of the income tax considerations applicable to such an investment. The discussion is based upon the Code, the Treasury Regulations promulgated thereunder, and administrative and judicial interpretations, each as of the date of this prospectus supplement and all of which are subject to change, potentially with retroactive effect. You should consult your own tax advisor with respect to tax considerations that pertain to your purchase of the Notes.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discussion deals only with Notes held as capital assets within the meaning of Section 1221 of the Code and does not purport to deal with persons in special tax situations,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persons whose functional currency (as defined in Section 985 of the Code) is not the U.S. dollar. It also does not deal with beneficial owners of the Notes other than original purchasers of the Notes who acquire the Notes in this offering.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purposes of this discussion, the term “U.S. holder” means a beneficial owner of a Note that is, for United States federal income tax purposes, (i) an individual who is (or is treated as)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United States federal income tax as if they were United States citizens.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 </w:t>
      </w:r>
    </w:p>
    <w:p>
      <w:pPr>
        <w:pStyle w:val="TextBody"/>
        <w:bidi w:val="0"/>
        <w:spacing w:before="160" w:after="283"/>
        <w:jc w:val="both"/>
        <w:rPr>
          <w:rFonts w:ascii="Times New Roman" w:hAnsi="Times New Roman"/>
          <w:sz w:val="20"/>
        </w:rPr>
      </w:pPr>
      <w:r>
        <w:rPr>
          <w:rFonts w:ascii="Times New Roman" w:hAnsi="Times New Roman"/>
          <w:b/>
          <w:color w:val="000000"/>
          <w:sz w:val="20"/>
        </w:rPr>
        <w:t>Tax matters are very complicated and the tax consequences to each holder of an investment in our securities will depend on the facts of its particular situation. Prospective noteholders are urged to consult their own tax advisors to determine the U.S. federal, state, local and foreign tax consequences to them of an investment in our securities, including applicable tax reporting requirements, the applicability of U.S. federal, state, local and foreign tax laws, eligibility for the benefits of any applicable tax treaty and the effect of any possible changes to tax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Taxation of Note 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Taxation of U.S. 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20"/>
        </w:rPr>
        <w:t xml:space="preserve">Qualified Stated Interest. </w:t>
      </w:r>
      <w:r>
        <w:rPr>
          <w:rFonts w:ascii="Times New Roman" w:hAnsi="Times New Roman"/>
          <w:color w:val="000000"/>
          <w:sz w:val="20"/>
        </w:rPr>
        <w:t xml:space="preserve">Except as discussed below, payments or accruals of “qualified stated interest” on a Note generally will be taxable to a U.S. holder as ordinary interest income at the time they are received (actually or constructively) or accrued, in accordance with the U.S. holder’s regular method of tax accounting.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S-28</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Original Issue Discount. </w:t>
      </w:r>
      <w:r>
        <w:rPr>
          <w:rFonts w:ascii="Times New Roman" w:hAnsi="Times New Roman"/>
          <w:color w:val="000000"/>
          <w:sz w:val="20"/>
        </w:rPr>
        <w:t>In addition, if the issue price of the Notes (</w:t>
      </w:r>
      <w:r>
        <w:rPr>
          <w:rFonts w:ascii="Times New Roman" w:hAnsi="Times New Roman"/>
          <w:i/>
          <w:color w:val="000000"/>
          <w:sz w:val="20"/>
        </w:rPr>
        <w:t>i.e.</w:t>
      </w:r>
      <w:r>
        <w:rPr>
          <w:rFonts w:ascii="Times New Roman" w:hAnsi="Times New Roman"/>
          <w:color w:val="000000"/>
          <w:sz w:val="20"/>
        </w:rPr>
        <w:t>, the first price at which a substantial amount of the Notes is sold to investors) is less than their “stated redemption price at maturity” (</w:t>
      </w:r>
      <w:r>
        <w:rPr>
          <w:rFonts w:ascii="Times New Roman" w:hAnsi="Times New Roman"/>
          <w:i/>
          <w:color w:val="000000"/>
          <w:sz w:val="20"/>
        </w:rPr>
        <w:t>i.e.</w:t>
      </w:r>
      <w:r>
        <w:rPr>
          <w:rFonts w:ascii="Times New Roman" w:hAnsi="Times New Roman"/>
          <w:color w:val="000000"/>
          <w:sz w:val="20"/>
        </w:rPr>
        <w:t xml:space="preserve">, the sum of all payments to be made on the Notes, other than payments of “qualified stated interest”) by not less than a specified </w:t>
      </w:r>
      <w:r>
        <w:rPr>
          <w:rFonts w:ascii="Times New Roman" w:hAnsi="Times New Roman"/>
          <w:i/>
          <w:color w:val="000000"/>
          <w:sz w:val="20"/>
        </w:rPr>
        <w:t>de minimis</w:t>
      </w:r>
      <w:r>
        <w:rPr>
          <w:rFonts w:ascii="Times New Roman" w:hAnsi="Times New Roman"/>
          <w:color w:val="000000"/>
          <w:sz w:val="20"/>
        </w:rPr>
        <w:t xml:space="preserve"> amount, the Notes will be considered as having been issued for U.S. federal income tax purposes with original issue discount, or OID. In the case of the Notes, the term “qualified stated interest” generally means interest that is unconditionally payable at least annually and at a single fixed rate. </w:t>
      </w:r>
    </w:p>
    <w:p>
      <w:pPr>
        <w:pStyle w:val="TextBody"/>
        <w:bidi w:val="0"/>
        <w:spacing w:before="140" w:after="283"/>
        <w:jc w:val="both"/>
        <w:rPr>
          <w:rFonts w:ascii="Times New Roman" w:hAnsi="Times New Roman"/>
          <w:sz w:val="20"/>
        </w:rPr>
      </w:pPr>
      <w:r>
        <w:rPr>
          <w:rFonts w:ascii="Times New Roman" w:hAnsi="Times New Roman"/>
          <w:color w:val="000000"/>
          <w:sz w:val="20"/>
        </w:rPr>
        <w:t>If the Notes are issued with OID, a U.S. holder generally will be required to include the OID in gross income as ordinary interest income in advance of the receipt of cash attributable to that income and regardless of such U.S. holder’s regular method of tax accounting. Such OID will be included in gross income for each day during each taxable year in which a Note is held by a U.S. holder using a constant yield method that reflects the compounding of interest. This means that a U.S. holder will be required to include increasingly greater amounts of OID over time. If the Notes are issued with discount that is less than the “</w:t>
      </w:r>
      <w:r>
        <w:rPr>
          <w:rFonts w:ascii="Times New Roman" w:hAnsi="Times New Roman"/>
          <w:i/>
          <w:color w:val="000000"/>
          <w:sz w:val="20"/>
        </w:rPr>
        <w:t>de minimis</w:t>
      </w:r>
      <w:r>
        <w:rPr>
          <w:rFonts w:ascii="Times New Roman" w:hAnsi="Times New Roman"/>
          <w:color w:val="000000"/>
          <w:sz w:val="20"/>
        </w:rPr>
        <w:t xml:space="preserve"> amount” (</w:t>
      </w:r>
      <w:r>
        <w:rPr>
          <w:rFonts w:ascii="Times New Roman" w:hAnsi="Times New Roman"/>
          <w:i/>
          <w:color w:val="000000"/>
          <w:sz w:val="20"/>
        </w:rPr>
        <w:t>i.e.</w:t>
      </w:r>
      <w:r>
        <w:rPr>
          <w:rFonts w:ascii="Times New Roman" w:hAnsi="Times New Roman"/>
          <w:color w:val="000000"/>
          <w:sz w:val="20"/>
        </w:rPr>
        <w:t xml:space="preserve">, discount that is not treated as OID), the U.S. holder generally will be required to include the </w:t>
      </w:r>
      <w:r>
        <w:rPr>
          <w:rFonts w:ascii="Times New Roman" w:hAnsi="Times New Roman"/>
          <w:i/>
          <w:color w:val="000000"/>
          <w:sz w:val="20"/>
        </w:rPr>
        <w:t>de minimis</w:t>
      </w:r>
      <w:r>
        <w:rPr>
          <w:rFonts w:ascii="Times New Roman" w:hAnsi="Times New Roman"/>
          <w:color w:val="000000"/>
          <w:sz w:val="20"/>
        </w:rPr>
        <w:t xml:space="preserve"> OID in income at the time a principal payment on the Note is made in proportion to the amount paid. Any amount of </w:t>
      </w:r>
      <w:r>
        <w:rPr>
          <w:rFonts w:ascii="Times New Roman" w:hAnsi="Times New Roman"/>
          <w:i/>
          <w:color w:val="000000"/>
          <w:sz w:val="20"/>
        </w:rPr>
        <w:t>de minimis</w:t>
      </w:r>
      <w:r>
        <w:rPr>
          <w:rFonts w:ascii="Times New Roman" w:hAnsi="Times New Roman"/>
          <w:color w:val="000000"/>
          <w:sz w:val="20"/>
        </w:rPr>
        <w:t xml:space="preserve"> OID on a Note that is recognized by a U.S. holder will be characterized as capital gain. We are required to provide information returns stating the amount of OID accrued on the Notes held by persons of record, other than certain U.S. tax-exempt holders.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Market Discount. </w:t>
      </w:r>
      <w:r>
        <w:rPr>
          <w:rFonts w:ascii="Times New Roman" w:hAnsi="Times New Roman"/>
          <w:color w:val="000000"/>
          <w:sz w:val="20"/>
        </w:rPr>
        <w:t xml:space="preserve">If you acquire a Note for an amount that is less than its adjusted issue price, the amount of the difference generally will be treated as “market discount” for U.S. federal income tax purposes, unless that difference is less than a specified </w:t>
      </w:r>
      <w:r>
        <w:rPr>
          <w:rFonts w:ascii="Times New Roman" w:hAnsi="Times New Roman"/>
          <w:i/>
          <w:color w:val="000000"/>
          <w:sz w:val="20"/>
        </w:rPr>
        <w:t>de minimis</w:t>
      </w:r>
      <w:r>
        <w:rPr>
          <w:rFonts w:ascii="Times New Roman" w:hAnsi="Times New Roman"/>
          <w:color w:val="000000"/>
          <w:sz w:val="20"/>
        </w:rPr>
        <w:t xml:space="preserve"> amount. Under the market discount rules, you will be required to treat any principal payment on, or any gain on the sale, exchange, retirement or other disposition of, a Note as ordinary income to the extent of the market discount that you have not previously included in income and are treated as having accrued on the Note at the time of any principal payment received on the Note.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such case, you also may be required to defer, until the maturity of a Note or its earlier sale or other disposition in a taxable transaction, the deduction of all or a portion of the interest expense on any indebtedness attributable to the Note.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You may make an election to include market discount from a Note in income currently as it accrues in which case the rule described above regarding deferral of interest deductions will not apply. If a U.S. holder makes this election, the U.S. holder will be required to increase the tax basis in the Note by the amount of market discount on the Note included in the U.S. holder’s income. If you make this election, it will apply to all debt instruments with market discount (including, if applicable, the Note) that you acquire on or after the first day of the first taxable year to which the election applies, and such election is irrevocable without the consent of the IRS. You should consult your own tax advisor before making this election.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Any market discount you recognize on a Note will be considered to accrue ratably during the period from the date of acquisition to the maturity date of the Note, unless you make a separate election to accrue such market discount on a constant yield method. If you make this election, it will only apply to the Note and any other debt instruments you specify, that you acquire on or after the first day of the first taxable year to which the election applies. You may not revoke this election without the consent of the IRS. You should consult your own tax advisor before making such election. </w:t>
      </w:r>
    </w:p>
    <w:p>
      <w:pPr>
        <w:pStyle w:val="TextBody"/>
        <w:bidi w:val="0"/>
        <w:spacing w:before="140" w:after="180"/>
        <w:jc w:val="both"/>
        <w:rPr>
          <w:rFonts w:ascii="Times New Roman" w:hAnsi="Times New Roman"/>
          <w:sz w:val="20"/>
        </w:rPr>
      </w:pPr>
      <w:r>
        <w:rPr>
          <w:rFonts w:ascii="Times New Roman" w:hAnsi="Times New Roman"/>
          <w:i/>
          <w:color w:val="000000"/>
          <w:sz w:val="20"/>
        </w:rPr>
        <w:t xml:space="preserve">Bond Premium. </w:t>
      </w:r>
      <w:r>
        <w:rPr>
          <w:rFonts w:ascii="Times New Roman" w:hAnsi="Times New Roman"/>
          <w:color w:val="000000"/>
          <w:sz w:val="20"/>
        </w:rPr>
        <w:t xml:space="preserve">If you acquire a Note for an amount in excess of its stated principal amount, you will be considered to have purchased the Note at a “premium.” You generally may elect to amortize such premium over the remaining term of the Note on a constant yield method as an offset to interest when includible in taxable income under your regular accounting method. Any amortized amount of the premium for a taxable year generally will be treated first as an offset to interest on a Note includible in income in such taxable year, then as a deduction allowed in that taxable year to the extent of your prior interest inclusions on the Note, and finally as a carryforward allowable against your future interest inclusions on the Note, in each case, in accordance with your regular accounting method. If you make this election, you will be required to reduce your tax basis in a Note by the amount of the premium amortized. An election to amortize premium will also apply to all other taxable debt instruments you hold or subsequently acquire on or after the first day of the first taxable year for which the election is made. You may not revoke this election without the consent of the IRS. You should consult your own tax advisor before making such election. If you do not elect to amortize premium on the Note, that premium will decrease the gain or increase the loss you would otherwise recognize on disposition of the Note. </w:t>
      </w:r>
    </w:p>
    <w:p>
      <w:pPr>
        <w:pStyle w:val="TextBody"/>
        <w:bidi w:val="0"/>
        <w:jc w:val="both"/>
        <w:rPr>
          <w:rFonts w:ascii="Times New Roman" w:hAnsi="Times New Roman"/>
          <w:sz w:val="20"/>
        </w:rPr>
      </w:pPr>
      <w:r>
        <w:rPr>
          <w:rFonts w:ascii="Times New Roman" w:hAnsi="Times New Roman"/>
          <w:i/>
          <w:color w:val="000000"/>
          <w:sz w:val="20"/>
        </w:rPr>
        <w:t xml:space="preserve">Sale, Exchange, Redemption, Retirement or other Disposition of Notes. </w:t>
      </w:r>
      <w:r>
        <w:rPr>
          <w:rFonts w:ascii="Times New Roman" w:hAnsi="Times New Roman"/>
          <w:color w:val="000000"/>
          <w:sz w:val="20"/>
        </w:rPr>
        <w:t xml:space="preserve">Upon the sale, exchange, redemption or retirement of a Note, a U.S. holder generally will recognize capital gain or loss equal to the difference between the amount realized on the sale, exchange, redemption or retirement (excluding amounts representing accrued and unpaid interest, which are treated as ordinary income) and the U.S. holder’s adjusted tax basis in the Note. A U.S.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S-29</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holder’s adjusted tax basis in a Note generally will equal the U.S. holder’s initial investment in the Note (increased by any OID and market discount previously included in income with respect to the Note, and reduced by the amount of any bond premium previously amortized with respect to the Note and any cash payments on the Note other than qualified stated interest). Capital gain or loss generally will be long-term capital gain or loss if the Note was held for more than one year. Long-term capital gains recognized by individuals and certain other non-corporate U.S. holders generally are eligible for reduced rates of taxation. The distinction between capital gain or loss and ordinary income or loss is also important in other contexts; for example, for purposes of the limitations on a U.S. holder’s ability to offset capital losses against ordinary income.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Medicare Tax on Net Investment Income. </w:t>
      </w:r>
      <w:r>
        <w:rPr>
          <w:rFonts w:ascii="Times New Roman" w:hAnsi="Times New Roman"/>
          <w:color w:val="000000"/>
          <w:sz w:val="20"/>
        </w:rPr>
        <w:t xml:space="preserve">A 3.8% tax is imposed under Section 1411 of the Code on the “net investment income” of certain U.S. citizens and residents and on the undistributed net investment income of certain estates and trusts. Among other items, net investment income generally includes payments of interest (and OID) on, and net gains recognized from the sale, exchange, redemption, retirement or other taxable disposition of Notes (unless the Notes are held in connection with certain trades or businesses), less certain deductions. U.S. holders should consult their own tax advisors regarding the effect, if any, of this legislation on their ownership and disposition of the Notes. </w:t>
      </w:r>
    </w:p>
    <w:p>
      <w:pPr>
        <w:pStyle w:val="TextBody"/>
        <w:bidi w:val="0"/>
        <w:spacing w:before="160" w:after="283"/>
        <w:jc w:val="both"/>
        <w:rPr>
          <w:rFonts w:ascii="Times New Roman" w:hAnsi="Times New Roman"/>
          <w:sz w:val="20"/>
        </w:rPr>
      </w:pPr>
      <w:r>
        <w:rPr>
          <w:rFonts w:ascii="Times New Roman" w:hAnsi="Times New Roman"/>
          <w:i/>
          <w:color w:val="000000"/>
          <w:sz w:val="20"/>
        </w:rPr>
        <w:t xml:space="preserve">Tax Shelter Reporting Regulations. </w:t>
      </w:r>
      <w:r>
        <w:rPr>
          <w:rFonts w:ascii="Times New Roman" w:hAnsi="Times New Roman"/>
          <w:color w:val="000000"/>
          <w:sz w:val="20"/>
        </w:rPr>
        <w:t xml:space="preserve">Under applicable Treasury Regulations, if a U.S. holder recognizes a loss with respect to the Notes or shares of our common stock of $2 million or more for a non-corporate U.S. holder or $10 million or more for a corporate U.S. holder in any single taxable year (or a greater loss over a combination of taxable years), the U.S. holder may be required to file with the Internal Revenue Service (“IRS”) a disclosure statement on IRS Form 8886. Direct U.S. holders of portfolio securities are in many cases excepted from this reporting requirement, but, under current guidance, U.S. holders of a RIC are not excepted. Future guidance may extend the current exception from this reporting requirement to U.S. 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holders of the Notes or our common stock should consult their own tax advisors to determine the applicability of these Treasury Regulations in light of their individual circumstances. </w:t>
      </w:r>
    </w:p>
    <w:p>
      <w:pPr>
        <w:pStyle w:val="TextBody"/>
        <w:bidi w:val="0"/>
        <w:spacing w:before="240" w:after="283"/>
        <w:jc w:val="both"/>
        <w:rPr>
          <w:rFonts w:ascii="Times New Roman" w:hAnsi="Times New Roman"/>
          <w:sz w:val="20"/>
        </w:rPr>
      </w:pPr>
      <w:r>
        <w:rPr>
          <w:rFonts w:ascii="Times New Roman" w:hAnsi="Times New Roman"/>
          <w:i/>
          <w:color w:val="000000"/>
          <w:sz w:val="20"/>
        </w:rPr>
        <w:t>Taxation of Non-U.S. Holders.</w:t>
      </w:r>
      <w:r>
        <w:rPr>
          <w:rFonts w:ascii="Times New Roman" w:hAnsi="Times New Roman"/>
          <w:color w:val="000000"/>
          <w:sz w:val="20"/>
        </w:rPr>
        <w:t xml:space="preserve">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Except as provided below under “Information Reporting and Backup Withholding” and “FATCA Withholding on Payments to Certain Foreign Entities,” a non-U.S. holder generally will not be subject to U.S. federal income or withholding taxes on payments of principal or stated interest on a Note provided that (i) income on the Note is not effectively connected with the conduct by the non-U.S. holder of a trade or business within the U.S., (ii) the non-U.S. holder is not a controlled foreign corporation, or CFC, related to the Company through stock ownership, (iii) in the case of interest income, the recipient is not a bank receiving interest described in Section 881(c)(3)(A) of the Code, (iv) the non-U.S. holder does not own (actually or constructively) 10% or more of the total combined voting power or value of all classes of stock of the Company, and (v) (A) the non-U.S. holder provides a statement on an IRS Form W-8BEN, Form W-8BEN-E or other applicable U.S. nonresident withholding tax certification form signed under penalties of perjury that includes, among other requirements, its name and address and a certification that the non-U.S. holder is not a United States person for U.S. federal income tax purposes in compliance with applicable requirements, or satisfies documentary evidence requirements for establishing that it is a non-U.S. holder, or (B) a securities clearing organization, bank, or other financial institution that holds customer securities in the ordinary course of its trade or business (i.e., a “financial institution”) and holds a Note certifies to us under penalties of perjury that either it or another financial institution has received the required statement from the non-U.S. holder certifying that it is a non-U.S. person and furnishes us with a copy of the statement. </w:t>
      </w:r>
    </w:p>
    <w:p>
      <w:pPr>
        <w:pStyle w:val="TextBody"/>
        <w:bidi w:val="0"/>
        <w:jc w:val="both"/>
        <w:rPr>
          <w:rFonts w:ascii="Times New Roman" w:hAnsi="Times New Roman"/>
          <w:color w:val="000000"/>
          <w:sz w:val="20"/>
        </w:rPr>
      </w:pPr>
      <w:r>
        <w:rPr>
          <w:rFonts w:ascii="Times New Roman" w:hAnsi="Times New Roman"/>
          <w:color w:val="000000"/>
          <w:sz w:val="20"/>
        </w:rPr>
        <w:t xml:space="preserve">A non-U.S. holder that is not exempt from tax under these rules generally will be subject to United States federal income tax withholding on payments of interest on the Notes at a rate of 30% unless (i) the income is effectively connected with the conduct of a U.S. trade or business, in which case the interest generally will be subject to U.S. federal income tax on a net income basis as applicable to U.S. holders generally (unless an applicable income tax treaty provides otherwise), and such non-U.S. holder would be required in lieu of the certifications described above to provide a properly executed IRS Form W-8ECI, or (ii) an applicable income tax treaty provides for a lower rate of, or exemption from, withholding tax.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the case of a non-U.S. holder that is classified as a corporation and that receives income that is effectively connected with the conduct of a U.S. trade or business, such income may also be subject to a branch profits tax (which is generally imposed on a non-U.S. corporation on the actual or deemed repatriation from the U.S. of earnings and profits attributable to a U.S. trade or business) at a 30% rate. The branch profits tax may not apply (or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S-30</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may apply at a reduced rate) if the non-U.S. holder is a qualified resident of a country with which the U.S. has an income tax treaty.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To claim the benefit of an income tax treaty or to claim exemption from withholding because income is effectively connected with a U.S. trade or business, the non-U.S. holder must timely provide the appropriate, properly executed IRS U.S. nonresident withholding tax certification form signed under penalties of perjury to the applicable withholding agent. These forms may be required to be periodically updated. Also, a non-U.S. holder who is claiming the benefits of a treaty may be required to obtain a United States taxpayer identification number and to provide certain documentary evidence issued by foreign governmental authorities to prove residence in the foreign country.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Generally, a non-U.S. holder will not be subject to U.S. federal income or withholding taxes on any amount that constitutes capital gain upon the sale, exchange, redemption or retirement of a Note, provided the gain is not effectively connected with the conduct of a trade or business in the U.S. by the non-U.S. holder (and, if required by an applicable income tax treaty, is not attributable to a United States “permanent establishment” maintained by the non-U.S. holder). Certain other exceptions may be applicable, and a non-U.S. holder should consult its tax advisor in this regard.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 </w:t>
      </w:r>
    </w:p>
    <w:p>
      <w:pPr>
        <w:pStyle w:val="TextBody"/>
        <w:bidi w:val="0"/>
        <w:spacing w:before="160" w:after="283"/>
        <w:jc w:val="both"/>
        <w:rPr>
          <w:rFonts w:ascii="Times New Roman" w:hAnsi="Times New Roman"/>
          <w:sz w:val="20"/>
        </w:rPr>
      </w:pPr>
      <w:r>
        <w:rPr>
          <w:rFonts w:ascii="Times New Roman" w:hAnsi="Times New Roman"/>
          <w:i/>
          <w:color w:val="000000"/>
          <w:sz w:val="20"/>
        </w:rPr>
        <w:t>Information Reporting and Backup Withholding</w:t>
      </w:r>
      <w:r>
        <w:rPr>
          <w:rFonts w:ascii="Times New Roman" w:hAnsi="Times New Roman"/>
          <w:color w:val="000000"/>
          <w:sz w:val="20"/>
        </w:rPr>
        <w:t xml:space="preserve">. A U.S. holder (other than an “exempt recipient,” including a corporation and certain other persons who, when required, demonstrate their exempt status) may be subject to backup withholding at a rate of 24% on, and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you are a non-U.S. holder, generally, the applicable withholding agent must report to the IRS and to you, payments of interest on a Note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addition, payments of the proceeds from the sale of a Note to or through a non-U.S. office of a broker or the non-U.S. office of a custodian, nominee, or other dealer acting on behalf of a holder generally will not be subject to information reporting or backup withholding. However, if the broker, custodian, nominee, or other dealer is a U.S. person, the government of the United States or the government of any state or political subdivision of any state, or any agency or instrumentality of any of these governmental units, a CFC, a foreign partnership that is either engaged in a trade or business within the U.S. or whose U.S. resident partners in the aggregate hold more than 50% of the income or capital interest in the partnership, a non-U.S. person 50% or more of whose gross income for a certain period is effectively connected with a trade or business within the U.S., or a U.S. branch of a foreign bank or insurance company, information reporting (but not backup withholding) generally will be required with respect to payments made to a holder unless the broker, custodian, nominee, or other dealer has documentation of the holder’s non-U.S. status and the broker, custodian, nominee, or other dealer has no actual knowledge or reason to know to the contrary.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You are urged to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S-31</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or a credit against such beneficial owner’s United States federal income tax provided the required information is timely furnished to the IRS.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FATCA Withholding on Payments to Certain Foreign Entities. </w:t>
      </w:r>
      <w:r>
        <w:rPr>
          <w:rFonts w:ascii="Times New Roman" w:hAnsi="Times New Roman"/>
          <w:color w:val="000000"/>
          <w:sz w:val="20"/>
        </w:rPr>
        <w:t xml:space="preserve">The FATCA provisions of the Code as well as Treasury Regulations and other IRS administrative guidance promulgated thereunder, when applicable, generally impose a U.S. federal withholding tax of 30% on interest earned in respect of a debt instrument (“withholdable payments”), which includes the Notes, to certain non-U.S. entities (including, in some circumstances, where such an entity is acting as an intermediary) that fail to comply or are not deemed compliant with certain certification and information reporting requirements that are in addition to the requirement to provide an applicable U.S. nonresident withholding tax certification form, as discussed above. FATCA withholding taxes generally apply to all withholdable payments without regard to whether the beneficial owner of the payment would otherwise be entitled to an exemption from withholding taxes pursuant to an applicable tax treaty with the U.S. or under U.S. domestic law. If FATCA withholding taxes are imposed with respect to any payments of interest made or deemed made under the Notes, holders that are otherwise eligible for an exemption from, or reduction of, U.S. federal withholding taxes with respect to such interest or proceeds will be required to seek a credit or refund from the IRS in order to obtain the benefit of such exemption or reduction, if any. Holders of or prospective holders of the Notes may be required to provide additional information as specified in the fifth supplemental indenture to enable the applicable withholding agent to determine whether withholding is required. Prospective holders of the Notes should consult their own tax advisors regarding the effect, if any, of the FATCA rules for them based on their particular circumstances.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Under the applicable Treasury Regulations, withholding under FATCA generally applies to payments of interest on the Notes from such Notes’ date of issuance. Currently, proposed Treasury Regulations have been issued that, when finalized, will provide for the repeal of the 30% withholding tax that would have applied to all payments of gross proceeds from the sale, exchange or disposition of stock, bonds, or other property that could give rise to dividends or interest. In the preamble to the proposed U.S. Treasury Regulations, the government provided that taxpayers may rely upon this repeal until the issuance of final U.S. Treasury Regulations. Prospective holders of the Notes should consult their own tax advisors regarding the effect, if any, of the FATCA rules for them based on their particular circumstances. </w:t>
      </w:r>
    </w:p>
    <w:p>
      <w:pPr>
        <w:pStyle w:val="TextBody"/>
        <w:bidi w:val="0"/>
        <w:jc w:val="both"/>
        <w:rPr>
          <w:rFonts w:ascii="Times New Roman" w:hAnsi="Times New Roman"/>
          <w:sz w:val="20"/>
        </w:rPr>
      </w:pPr>
      <w:r>
        <w:rPr>
          <w:rFonts w:ascii="Times New Roman" w:hAnsi="Times New Roman"/>
          <w:b/>
          <w:i/>
          <w:color w:val="000000"/>
          <w:sz w:val="20"/>
        </w:rPr>
        <w:t>The preceding discussion of material U.S. federal income tax considerations is for general information only and is not tax advice. We urge you to consult your own tax advisor with respect to the particular tax consequences to you of an investment in the Notes, including the possible effect of any pending legislation or proposed regulations.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S-32</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10" w:name="sund"/>
      <w:bookmarkEnd w:id="10"/>
      <w:r>
        <w:rPr>
          <w:rFonts w:ascii="Times New Roman" w:hAnsi="Times New Roman"/>
          <w:b/>
          <w:color w:val="000000"/>
          <w:sz w:val="20"/>
        </w:rPr>
        <w:t>UNDERWRITING</w:t>
      </w:r>
      <w:r>
        <w:rPr>
          <w:rFonts w:ascii="Times New Roman" w:hAnsi="Times New Roman"/>
          <w:color w:val="000000"/>
          <w:sz w:val="20"/>
        </w:rPr>
        <w:t xml:space="preserve"> </w:t>
      </w:r>
    </w:p>
    <w:p>
      <w:pPr>
        <w:pStyle w:val="TextBody"/>
        <w:bidi w:val="0"/>
        <w:spacing w:before="160" w:after="240"/>
        <w:jc w:val="both"/>
        <w:rPr>
          <w:rFonts w:ascii="Times New Roman" w:hAnsi="Times New Roman"/>
          <w:color w:val="000000"/>
          <w:sz w:val="20"/>
        </w:rPr>
      </w:pPr>
      <w:r>
        <w:rPr>
          <w:rFonts w:ascii="Times New Roman" w:hAnsi="Times New Roman"/>
          <w:color w:val="000000"/>
          <w:sz w:val="20"/>
        </w:rPr>
        <w:t xml:space="preserve">We are offering the Notes described in this prospectus supplement and the accompanying prospectus through a number of underwriters. Oppenheimer &amp; Co. Inc. is acting as representative of the underwriters. We and the Adviser have entered into an underwriting agreement with the underwriters. Subject to the terms and conditions of the underwriting agreement, we have agreed to sell to the underwriters, and each underwriter has agreed, severally and not jointly, to purchase from us, the aggregate principal amount of Notes listed next to its name in the following table: </w:t>
      </w:r>
    </w:p>
    <w:tbl>
      <w:tblPr>
        <w:tblW w:w="5278" w:type="dxa"/>
        <w:jc w:val="left"/>
        <w:tblInd w:w="0" w:type="dxa"/>
        <w:tblLayout w:type="fixed"/>
        <w:tblCellMar>
          <w:top w:w="28" w:type="dxa"/>
          <w:left w:w="28" w:type="dxa"/>
          <w:bottom w:w="28" w:type="dxa"/>
          <w:right w:w="28" w:type="dxa"/>
        </w:tblCellMar>
      </w:tblPr>
      <w:tblGrid>
        <w:gridCol w:w="3466"/>
        <w:gridCol w:w="146"/>
        <w:gridCol w:w="166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Underwriters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Amount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Oppenheimer &amp; 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Riley Securities,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Lucid Capital Markets,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MUFG Securities Americas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Compass Point Research &amp; Trading,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Ladenburg Thalmann &amp; 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InspereX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Blair &amp;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 Partners Securities,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20" w:after="283"/>
        <w:jc w:val="left"/>
        <w:rPr>
          <w:rFonts w:ascii="Times New Roman" w:hAnsi="Times New Roman"/>
          <w:sz w:val="20"/>
        </w:rPr>
      </w:pPr>
      <w:r>
        <w:rPr>
          <w:rFonts w:ascii="Times New Roman" w:hAnsi="Times New Roman"/>
          <w:b/>
          <w:color w:val="000000"/>
          <w:sz w:val="20"/>
        </w:rPr>
        <w:t>Commissions and Discounts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underwriters propose to initially offer some of the Notes directly to the public at the public offering price set forth on the cover page of this prospectus supplement. </w:t>
      </w:r>
    </w:p>
    <w:p>
      <w:pPr>
        <w:pStyle w:val="TextBody"/>
        <w:bidi w:val="0"/>
        <w:spacing w:before="140" w:after="240"/>
        <w:jc w:val="both"/>
        <w:rPr>
          <w:rFonts w:ascii="Times New Roman" w:hAnsi="Times New Roman"/>
          <w:color w:val="000000"/>
          <w:sz w:val="20"/>
        </w:rPr>
      </w:pPr>
      <w:r>
        <w:rPr>
          <w:rFonts w:ascii="Times New Roman" w:hAnsi="Times New Roman"/>
          <w:color w:val="000000"/>
          <w:sz w:val="20"/>
        </w:rPr>
        <w:t xml:space="preserve">The following table shows the public offering price, underwriting discount and proceeds before expenses to us. </w:t>
      </w:r>
    </w:p>
    <w:tbl>
      <w:tblPr>
        <w:tblW w:w="4615" w:type="dxa"/>
        <w:jc w:val="left"/>
        <w:tblInd w:w="0" w:type="dxa"/>
        <w:tblLayout w:type="fixed"/>
        <w:tblCellMar>
          <w:top w:w="28" w:type="dxa"/>
          <w:left w:w="28" w:type="dxa"/>
          <w:bottom w:w="28" w:type="dxa"/>
          <w:right w:w="28" w:type="dxa"/>
        </w:tblCellMar>
      </w:tblPr>
      <w:tblGrid>
        <w:gridCol w:w="2656"/>
        <w:gridCol w:w="146"/>
        <w:gridCol w:w="841"/>
        <w:gridCol w:w="146"/>
        <w:gridCol w:w="82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to us, before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expenses of the offering, not including the underwriting discount, are estimated at $ and are payable by us. </w:t>
      </w:r>
    </w:p>
    <w:p>
      <w:pPr>
        <w:pStyle w:val="TextBody"/>
        <w:bidi w:val="0"/>
        <w:spacing w:before="220" w:after="283"/>
        <w:jc w:val="left"/>
        <w:rPr>
          <w:rFonts w:ascii="Times New Roman" w:hAnsi="Times New Roman"/>
          <w:sz w:val="20"/>
        </w:rPr>
      </w:pPr>
      <w:r>
        <w:rPr>
          <w:rFonts w:ascii="Times New Roman" w:hAnsi="Times New Roman"/>
          <w:b/>
          <w:color w:val="000000"/>
          <w:sz w:val="20"/>
        </w:rPr>
        <w:t>Settlement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expect that delivery of the Notes will be made against payment therefor on or about , 2026, which will be the fifth business day following the date of pricing of the Notes, or “T+5.” Under Rule 15c6-1 of the Exchange Act, trades in the secondary market generally are required to settle in one business day, unless the parties to any such trade expressly agree otherwise. Accordingly, purchasers who wish to trade the Notes prior to the delivery of the Notes will be required, by virtue of the fact that the Notes initially settle in T+5, to specify an alternate settlement arrangement at the time of any such trade to prevent a failed settlement. Purchasers of the Notes who wish to trade the Notes prior to their date of delivery hereunder should consult their advisors.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S-33</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left"/>
        <w:rPr>
          <w:rFonts w:ascii="Times New Roman" w:hAnsi="Times New Roman"/>
          <w:sz w:val="20"/>
        </w:rPr>
      </w:pPr>
      <w:r>
        <w:rPr>
          <w:rFonts w:ascii="Times New Roman" w:hAnsi="Times New Roman"/>
          <w:b/>
          <w:color w:val="000000"/>
          <w:sz w:val="20"/>
        </w:rPr>
        <w:t>New Listing of Notes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Notes are a new issue of securities with no established trading market. We intend to list the Notes on the Nasdaq within 30 days of the closing of this offering and will use commercially reasonable efforts to maintain this listing. We expect trading in the Notes on Nasdaq to begin within 30 days after the original issue date. Currently there is no public market for the Notes.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been advised by certain underwriters that they presently intend to make a market in the Notes after completion of the offering as permitted by applicable laws and regulations. Such underwriters are not obligated, however, to make a market in the Notes and any such market-making may be discontinued at any time in the sole discretion of such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Overallotment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underwriters have an option to buy up to an additional $ aggregate principal amount of the Notes from us to cover sales of Notes by the underwriters which exceed the amount of Notes specified in the table above. The underwriters have 30 days from the date of this prospectus supplement to exercise this overallotment option. If any Notes are purchased with this overallotment option, the underwriters will purchase Notes in approximately the same proportion as shown in the table above. If any additional Notes are purchased, the underwriters will offer the additional Notes on the same terms as those on which all Notes are being offered. We are responsible for the payment of any interest that the Notes subject to this overallotment option accrue between the date of this offering and the underwriters’ exercise of the overallotment option.</w:t>
      </w:r>
    </w:p>
    <w:p>
      <w:pPr>
        <w:pStyle w:val="TextBody"/>
        <w:bidi w:val="0"/>
        <w:spacing w:before="240" w:after="283"/>
        <w:jc w:val="both"/>
        <w:rPr>
          <w:rFonts w:ascii="Times New Roman" w:hAnsi="Times New Roman"/>
          <w:sz w:val="20"/>
        </w:rPr>
      </w:pPr>
      <w:r>
        <w:rPr>
          <w:rFonts w:ascii="Times New Roman" w:hAnsi="Times New Roman"/>
          <w:b/>
          <w:color w:val="000000"/>
          <w:sz w:val="20"/>
        </w:rPr>
        <w:t>No Sales of Similar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a period of 90 days after the date of this prospectus supplement, the Company will not without the prior written consent of the underwriters, subject to certain exceptions,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provided that the foregoing limitation will not apply to the Company’s ability to file a post-effective amendment to its registration statement for purposes of adding the underwriting agreement, the Indenture, and certain other documents related to the transactions contemplated by the underwriting agreement as exhibits to the registration statement. This consent may be given at any time without public notice. </w:t>
      </w:r>
    </w:p>
    <w:p>
      <w:pPr>
        <w:pStyle w:val="TextBody"/>
        <w:bidi w:val="0"/>
        <w:spacing w:before="240" w:after="283"/>
        <w:jc w:val="both"/>
        <w:rPr>
          <w:rFonts w:ascii="Times New Roman" w:hAnsi="Times New Roman"/>
          <w:sz w:val="20"/>
        </w:rPr>
      </w:pPr>
      <w:r>
        <w:rPr>
          <w:rFonts w:ascii="Times New Roman" w:hAnsi="Times New Roman"/>
          <w:b/>
          <w:color w:val="000000"/>
          <w:sz w:val="20"/>
        </w:rPr>
        <w:t>Price Stabilizations and Short Positions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connection with this offering, the underwriters may purchase and sell Notes in the open market. These transactions may include overallotment syndicate covering transactions and stabilizing transactions. Overallotment involves sales by the underwriters of Notes in excess of the number of securities required to be purchased by the underwriters in the offering, which creates a syndicate short position. “Covered” short sales are sales of securities made in an amount up to the number of securities represented by the underwriters’ overallotment option. Transactions to close out the covered syndicate short involve either purchases of such securities in the open market after the distribution has been completed or the exercise of the overallotment option. In determining the source of securities to close out the covered syndicate short position, the underwriters may consider the price of securities available for purchase in the open market as compared to the price at which they may purchase securities through the overallotment option. The underwriters may also make “naked” short sales, or sales in excess of the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securities in the open market while the offering is in progress for the purpose of fixing or maintaining the price of the securities.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underwriters also may impose a penalty bid. Penalty bids permit the underwriters to reclaim a selling concession from an underwriter or syndicate member when the underwriter repurchases securities originally sold by that underwriter or syndicate member in order to cover syndicate short positions or make stabilizing purchases.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of these activities may have the effect of raising or maintaining the market price of the securities or preventing or retarding a decline in the market price of the securities. As a result, the price of the securities may be higher than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S-34</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price that might otherwise exist in the open market. The underwriters may conduct these transactions on Nasdaq or otherwise. Neither we nor any of the underwriters makes any representation or prediction as to the direction or magnitude of any effect that the transactions described above may have on the price of our securities. In addition, neither we nor any of the underwriters makes any representation that the underwriters will engage in these transactions. If the underwriters commence any of these transactions, they may discontinue them at any time.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connection with this offering, the underwriters may engage in passive market making transactions in our securities on Nasdaq in accordance with Rule 103 of Regulation M under the Exchange Act during a period before the commencement of offers or sales of securities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pStyle w:val="TextBody"/>
        <w:bidi w:val="0"/>
        <w:spacing w:before="240" w:after="283"/>
        <w:jc w:val="both"/>
        <w:rPr>
          <w:rFonts w:ascii="Times New Roman" w:hAnsi="Times New Roman"/>
          <w:sz w:val="20"/>
        </w:rPr>
      </w:pPr>
      <w:r>
        <w:rPr>
          <w:rFonts w:ascii="Times New Roman" w:hAnsi="Times New Roman"/>
          <w:b/>
          <w:color w:val="000000"/>
          <w:sz w:val="20"/>
        </w:rPr>
        <w:t>Additional Underwriter Relationships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Certain of the underwriters and their respective affiliates have from time to time performed and may in the future perform various commercial banking, financial advisory and investment banking services for us and our affiliates for which they have received or will receive customary compensation.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BC Partners Securities LLC, an affiliate of BC Partners Credit, is a broker-dealer and member of FINRA and will participate as an underwriter in this offering. As noted above, a fund advised and managed by BC Partners Credit and its affiliates owns a majority of Runway Growth Capital. Additionally, certain members of our Board of Directors serve as senior management of BC Partners Credit, including Edward Goldthorpe, the Chairman of our board of directors. Moreover, (1) an affiliate of BC Partners Credit also owns a minority investment in MLCI, (2) certain members of the senior management of BC Partners Credit serve as the management team of MLCI, and (3) BC Partners Credit provides certain services and shares certain personnel with MLCI through a servicing agreement and a staffing and resource agreement.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Despite the conflict of interest, no “qualified independent underwriter” is required because (i) the underwriter primarily responsible for managing the public offering does not have a conflict of interest, is not an affiliate of any underwriter that does have a conflict of interest and meets the requirements of FINRA Rule 5121(f)(12)(E), and (ii) the Notes are investment grade rated. </w:t>
      </w:r>
    </w:p>
    <w:p>
      <w:pPr>
        <w:pStyle w:val="TextBody"/>
        <w:bidi w:val="0"/>
        <w:spacing w:before="240" w:after="283"/>
        <w:jc w:val="both"/>
        <w:rPr>
          <w:rFonts w:ascii="Times New Roman" w:hAnsi="Times New Roman"/>
          <w:sz w:val="20"/>
        </w:rPr>
      </w:pPr>
      <w:r>
        <w:rPr>
          <w:rFonts w:ascii="Times New Roman" w:hAnsi="Times New Roman"/>
          <w:b/>
          <w:color w:val="000000"/>
          <w:sz w:val="20"/>
        </w:rPr>
        <w:t>Sales Outside the United States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No action has been taken in any jurisdiction (except in the United States) that would permit a public offering of the Notes, or the possession, circulation or distribution of this prospectus supplement or accompanying prospectus or any other material relating to us or the Notes in any jurisdiction where action for that purpose is required. Accordingly, the Notes may not be offered or sold, directly or indirectly, and none of this prospectus supplement, the accompanying prospectus or any other offering material or advertisements in connection with the Notes may be distributed or published, in or from any country or jurisdiction except in compliance with any applicable rules and regulations of any such country or jurisdiction.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of the underwriters may arrange to sell the Notes offered hereby in certain jurisdictions outside the United States, either directly or through affiliates, where it is permitted to do so. </w:t>
      </w:r>
    </w:p>
    <w:p>
      <w:pPr>
        <w:pStyle w:val="TextBody"/>
        <w:bidi w:val="0"/>
        <w:spacing w:before="240" w:after="283"/>
        <w:jc w:val="both"/>
        <w:rPr>
          <w:rFonts w:ascii="Times New Roman" w:hAnsi="Times New Roman"/>
          <w:sz w:val="20"/>
        </w:rPr>
      </w:pPr>
      <w:r>
        <w:rPr>
          <w:rFonts w:ascii="Times New Roman" w:hAnsi="Times New Roman"/>
          <w:b/>
          <w:color w:val="000000"/>
          <w:sz w:val="20"/>
        </w:rPr>
        <w:t>Electronic Delivery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underwriters may make this prospectus supplement and accompanying prospectus available in an electronic format. The prospectus supplement and accompanying prospectus in electronic format may be made available on a website maintained by any of the underwriters, and the underwriters may distribute such documents electronically. The underwriters may agree with us to allocate a limited number of Notes for sale to their online brokerage customers. Any such allocation for online distributions will be made by the underwriters on the same basis as other allocations.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and our Adviser have agreed to indemnify the several underwriters against certain liabilities, including liabilities under the Securities Act.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principal business address of Oppenheimer &amp; Co. Inc. is 85 Broad Street, 23rd Floor, New York, NY 10004.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S-35</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11" w:name="slema"/>
      <w:bookmarkEnd w:id="11"/>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Certain legal matters regarding the Notes offered by this prospectus supplement will be passed upon for us by Dechert LLP. Certain legal matters in connection with the Notes offered hereby will be passed upon for the underwriters by Eversheds Sutherland (US) LLP. </w:t>
      </w:r>
    </w:p>
    <w:p>
      <w:pPr>
        <w:pStyle w:val="TextBody"/>
        <w:bidi w:val="0"/>
        <w:spacing w:before="240" w:after="283"/>
        <w:jc w:val="center"/>
        <w:rPr>
          <w:rFonts w:ascii="Times New Roman" w:hAnsi="Times New Roman"/>
          <w:sz w:val="20"/>
        </w:rPr>
      </w:pPr>
      <w:bookmarkStart w:id="12" w:name="sirpa"/>
      <w:bookmarkEnd w:id="12"/>
      <w:r>
        <w:rPr>
          <w:rFonts w:ascii="Times New Roman" w:hAnsi="Times New Roman"/>
          <w:b/>
          <w:color w:val="000000"/>
          <w:sz w:val="20"/>
        </w:rPr>
        <w:t>INDEPENDENT REGISTERED PUBLIC ACCOUNTING FIRM</w:t>
      </w:r>
      <w:r>
        <w:rPr>
          <w:rFonts w:ascii="Times New Roman" w:hAnsi="Times New Roman"/>
          <w:color w:val="000000"/>
          <w:sz w:val="20"/>
        </w:rPr>
        <w:t xml:space="preserve"> </w:t>
      </w:r>
    </w:p>
    <w:p>
      <w:pPr>
        <w:pStyle w:val="TextBody"/>
        <w:bidi w:val="0"/>
        <w:spacing w:before="160" w:after="283"/>
        <w:jc w:val="both"/>
        <w:rPr/>
      </w:pPr>
      <w:r>
        <w:rPr>
          <w:rFonts w:ascii="Times New Roman" w:hAnsi="Times New Roman"/>
          <w:color w:val="000000"/>
          <w:sz w:val="20"/>
        </w:rPr>
        <w:t xml:space="preserve">The financial statements of Runway Growth Finance Corp. as of December 31, 2025 and 2024 and for each of the two years in the period ended December 31, 2025 incorporated in this prospectus supplement and the accompanying prospectus by reference from the Runway Growth Finance Corp. </w:t>
      </w:r>
      <w:hyperlink r:id="rId2">
        <w:r>
          <w:rPr>
            <w:rStyle w:val="InternetLink"/>
            <w:rFonts w:ascii="Times New Roman" w:hAnsi="Times New Roman"/>
            <w:color w:val="0000FF"/>
            <w:sz w:val="20"/>
            <w:u w:val="single"/>
          </w:rPr>
          <w:t>Annual Report on Form 10-K for the year ended December 31, 2025</w:t>
        </w:r>
      </w:hyperlink>
      <w:r>
        <w:rPr>
          <w:rFonts w:ascii="Times New Roman" w:hAnsi="Times New Roman"/>
          <w:color w:val="000000"/>
          <w:sz w:val="20"/>
        </w:rPr>
        <w:t xml:space="preserve">, as amended, have been audited by Deloitte &amp; Touche LLP, an independent registered public accounting firm, as stated in their report thereon, incorporated herein by reference, and have been incorporated in this prospectus supplement, the accompanying prospectus and the registration statement on Form N-2 in reliance upon such reports. </w:t>
      </w:r>
    </w:p>
    <w:p>
      <w:pPr>
        <w:pStyle w:val="TextBody"/>
        <w:bidi w:val="0"/>
        <w:spacing w:before="160" w:after="283"/>
        <w:jc w:val="both"/>
        <w:rPr/>
      </w:pPr>
      <w:r>
        <w:rPr>
          <w:rFonts w:ascii="Times New Roman" w:hAnsi="Times New Roman"/>
          <w:color w:val="000000"/>
          <w:sz w:val="20"/>
        </w:rPr>
        <w:t xml:space="preserve">The financial statements of Runway Growth Finance Corp. as of December 31, 2023 and for the one-year period ended December 31, 2023 incorporated in this prospectus supplement and the accompanying prospectus by reference from the Runway Growth Finance Corp. </w:t>
      </w:r>
      <w:hyperlink r:id="rId3">
        <w:r>
          <w:rPr>
            <w:rStyle w:val="InternetLink"/>
            <w:rFonts w:ascii="Times New Roman" w:hAnsi="Times New Roman"/>
            <w:color w:val="0000FF"/>
            <w:sz w:val="20"/>
            <w:u w:val="single"/>
          </w:rPr>
          <w:t>Annual Report on Form 10-K for the year ended December 31, 2025</w:t>
        </w:r>
      </w:hyperlink>
      <w:r>
        <w:rPr>
          <w:rFonts w:ascii="Times New Roman" w:hAnsi="Times New Roman"/>
          <w:color w:val="000000"/>
          <w:sz w:val="20"/>
        </w:rPr>
        <w:t xml:space="preserve">, as amended, have been audited by RSM US LLP, an independent registered public accounting firm, as stated in their report thereon, incorporated herein by reference, and have been incorporated in this prospectus supplement, the accompanying prospectus and the registration statement on Form N-2 in reliance upon such reports. </w:t>
      </w:r>
    </w:p>
    <w:p>
      <w:pPr>
        <w:pStyle w:val="TextBody"/>
        <w:bidi w:val="0"/>
        <w:spacing w:before="240" w:after="283"/>
        <w:jc w:val="center"/>
        <w:rPr>
          <w:rFonts w:ascii="Times New Roman" w:hAnsi="Times New Roman"/>
          <w:sz w:val="20"/>
        </w:rPr>
      </w:pPr>
      <w:bookmarkStart w:id="13" w:name="savin"/>
      <w:bookmarkEnd w:id="13"/>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filed with the SEC a universal shelf registration statement, of which this prospectus supplement forms a part, on Form N-2, together with all amendments and related exhibits, under the Securities Act, with respect to the Notes offered by this prospectus supplement and the accompanying prospectus. The registration statement contains additional information about us and the Notes being offered by this prospectus supplement and the accompanying prospectus.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We file with or submit to the SEC annual, quarterly and current periodic reports, proxy statements and other information meeting the informational requirements of the Exchange Act. The SEC maintains a website that contains reports, proxy and information statements and other information filed electronically by us with the SEC at </w:t>
      </w:r>
      <w:r>
        <w:rPr>
          <w:rFonts w:ascii="Times New Roman" w:hAnsi="Times New Roman"/>
          <w:i/>
          <w:color w:val="000000"/>
          <w:sz w:val="20"/>
        </w:rPr>
        <w:t>www.sec.gov</w:t>
      </w:r>
      <w:r>
        <w:rPr>
          <w:rFonts w:ascii="Times New Roman" w:hAnsi="Times New Roman"/>
          <w:color w:val="000000"/>
          <w:sz w:val="20"/>
        </w:rPr>
        <w:t xml:space="preserve">. We maintain a website at </w:t>
      </w:r>
      <w:r>
        <w:rPr>
          <w:rFonts w:ascii="Times New Roman" w:hAnsi="Times New Roman"/>
          <w:i/>
          <w:color w:val="000000"/>
          <w:sz w:val="20"/>
        </w:rPr>
        <w:t>https://investors.runwaygrowth.com/financial-information/sec-filings</w:t>
      </w:r>
      <w:r>
        <w:rPr>
          <w:rFonts w:ascii="Times New Roman" w:hAnsi="Times New Roman"/>
          <w:color w:val="000000"/>
          <w:sz w:val="20"/>
        </w:rPr>
        <w:t xml:space="preserve"> and make all of our annual, quarterly and current reports, proxy statements and other publicly filed information available, free of charge, on or through our website. This information is also available, free of charge, by contacting us in writing at 205 N. Michigan Ave., Suite 4200, Chicago, IL 60601, or by emailing us at prospectus@runwaygrowth.com. Information contained on, or that can be accessed through, our website is not incorporated by reference into this prospectus supplement or the accompanying prospectus, and you should not consider such information to be part of this prospectus supplement or the accompanying prospectus.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S-36</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14" w:name="sibr"/>
      <w:bookmarkEnd w:id="14"/>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incorporate by reference in this prospectus supplement the documents listed below and any future reports and other documents we file with the SEC pursuant to Sections 13(a), 13(c), 14 or 15(d) of the Exchange Act,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 </w:t>
      </w:r>
    </w:p>
    <w:p>
      <w:pPr>
        <w:pStyle w:val="TextBody"/>
        <w:bidi w:val="0"/>
        <w:spacing w:before="120" w:after="283"/>
        <w:jc w:val="both"/>
        <w:rPr/>
      </w:pPr>
      <w:r>
        <w:rPr>
          <w:rFonts w:ascii="Times New Roman" w:hAnsi="Times New Roman"/>
          <w:color w:val="000000"/>
          <w:sz w:val="20"/>
        </w:rPr>
        <w:t xml:space="preserve"> our </w:t>
      </w:r>
      <w:hyperlink r:id="rId4">
        <w:r>
          <w:rPr>
            <w:rStyle w:val="InternetLink"/>
            <w:rFonts w:ascii="Times New Roman" w:hAnsi="Times New Roman"/>
            <w:color w:val="0000FF"/>
            <w:sz w:val="20"/>
            <w:u w:val="single"/>
          </w:rPr>
          <w:t>Annual Report on Form 10-K for the fiscal year ended December 31, 2025</w:t>
        </w:r>
      </w:hyperlink>
      <w:r>
        <w:rPr>
          <w:rFonts w:ascii="Times New Roman" w:hAnsi="Times New Roman"/>
          <w:color w:val="000000"/>
          <w:sz w:val="20"/>
        </w:rPr>
        <w:t xml:space="preserve"> filed with the SEC on March 12, 2026; </w:t>
      </w:r>
    </w:p>
    <w:p>
      <w:pPr>
        <w:pStyle w:val="TextBody"/>
        <w:bidi w:val="0"/>
        <w:spacing w:before="120" w:after="283"/>
        <w:jc w:val="both"/>
        <w:rPr/>
      </w:pPr>
      <w:r>
        <w:rPr>
          <w:rFonts w:ascii="Times New Roman" w:hAnsi="Times New Roman"/>
          <w:color w:val="000000"/>
          <w:sz w:val="20"/>
        </w:rPr>
        <w:t xml:space="preserve"> our </w:t>
      </w:r>
      <w:hyperlink r:id="rId5">
        <w:r>
          <w:rPr>
            <w:rStyle w:val="InternetLink"/>
            <w:rFonts w:ascii="Times New Roman" w:hAnsi="Times New Roman"/>
            <w:color w:val="0000FF"/>
            <w:sz w:val="20"/>
            <w:u w:val="single"/>
          </w:rPr>
          <w:t>Quarterly Report on Form 10-Q for the quarter ended March 31, 2026</w:t>
        </w:r>
      </w:hyperlink>
      <w:r>
        <w:rPr>
          <w:rFonts w:ascii="Times New Roman" w:hAnsi="Times New Roman"/>
          <w:color w:val="000000"/>
          <w:sz w:val="20"/>
        </w:rPr>
        <w:t xml:space="preserve">, filed with the SEC on May 7, 2026; </w:t>
      </w:r>
    </w:p>
    <w:p>
      <w:pPr>
        <w:pStyle w:val="TextBody"/>
        <w:bidi w:val="0"/>
        <w:spacing w:before="120" w:after="283"/>
        <w:jc w:val="both"/>
        <w:rPr/>
      </w:pPr>
      <w:r>
        <w:rPr>
          <w:rFonts w:ascii="Times New Roman" w:hAnsi="Times New Roman"/>
          <w:color w:val="000000"/>
          <w:sz w:val="20"/>
        </w:rPr>
        <w:t xml:space="preserve"> our </w:t>
      </w:r>
      <w:hyperlink r:id="rId6">
        <w:r>
          <w:rPr>
            <w:rStyle w:val="InternetLink"/>
            <w:rFonts w:ascii="Times New Roman" w:hAnsi="Times New Roman"/>
            <w:color w:val="0000FF"/>
            <w:sz w:val="20"/>
            <w:u w:val="single"/>
          </w:rPr>
          <w:t>Quarterly Report on Form 10-Q for the quarter ended June 30, 2026</w:t>
        </w:r>
      </w:hyperlink>
      <w:r>
        <w:rPr>
          <w:rFonts w:ascii="Times New Roman" w:hAnsi="Times New Roman"/>
          <w:color w:val="000000"/>
          <w:sz w:val="20"/>
        </w:rPr>
        <w:t xml:space="preserve">, filed with the SEC on August 6, 2026; </w:t>
      </w:r>
    </w:p>
    <w:p>
      <w:pPr>
        <w:pStyle w:val="TextBody"/>
        <w:bidi w:val="0"/>
        <w:spacing w:before="120" w:after="283"/>
        <w:jc w:val="both"/>
        <w:rPr/>
      </w:pPr>
      <w:r>
        <w:rPr>
          <w:rFonts w:ascii="Times New Roman" w:hAnsi="Times New Roman"/>
          <w:color w:val="000000"/>
          <w:sz w:val="20"/>
        </w:rPr>
        <w:t xml:space="preserve"> our </w:t>
      </w:r>
      <w:hyperlink r:id="rId7">
        <w:r>
          <w:rPr>
            <w:rStyle w:val="InternetLink"/>
            <w:rFonts w:ascii="Times New Roman" w:hAnsi="Times New Roman"/>
            <w:color w:val="0000FF"/>
            <w:sz w:val="20"/>
            <w:u w:val="single"/>
          </w:rPr>
          <w:t>Definitive Proxy Statement on Schedule 14A</w:t>
        </w:r>
      </w:hyperlink>
      <w:r>
        <w:rPr>
          <w:rFonts w:ascii="Times New Roman" w:hAnsi="Times New Roman"/>
          <w:color w:val="000000"/>
          <w:sz w:val="20"/>
        </w:rPr>
        <w:t xml:space="preserve">, filed with the SEC on April 29, 2026; </w:t>
      </w:r>
    </w:p>
    <w:p>
      <w:pPr>
        <w:pStyle w:val="TextBody"/>
        <w:bidi w:val="0"/>
        <w:spacing w:before="120" w:after="283"/>
        <w:jc w:val="both"/>
        <w:rPr/>
      </w:pPr>
      <w:r>
        <w:rPr>
          <w:rFonts w:ascii="Times New Roman" w:hAnsi="Times New Roman"/>
          <w:color w:val="000000"/>
          <w:sz w:val="20"/>
        </w:rPr>
        <w:t xml:space="preserve"> our Current Reports on Form 8-K (other than information furnished rather than filed) filed with the SEC on </w:t>
      </w:r>
      <w:hyperlink r:id="rId8">
        <w:r>
          <w:rPr>
            <w:rStyle w:val="InternetLink"/>
            <w:rFonts w:ascii="Times New Roman" w:hAnsi="Times New Roman"/>
            <w:color w:val="0000FF"/>
            <w:sz w:val="20"/>
            <w:u w:val="single"/>
          </w:rPr>
          <w:t>January 29,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February 3,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April 7,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May 29, 2026</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June 25, 2026</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July 15, 2026</w:t>
        </w:r>
      </w:hyperlink>
      <w:r>
        <w:rPr>
          <w:rFonts w:ascii="Times New Roman" w:hAnsi="Times New Roman"/>
          <w:color w:val="000000"/>
          <w:sz w:val="20"/>
        </w:rPr>
        <w:t xml:space="preserve">, and </w:t>
      </w:r>
      <w:hyperlink r:id="rId14">
        <w:r>
          <w:rPr>
            <w:rStyle w:val="InternetLink"/>
            <w:rFonts w:ascii="Times New Roman" w:hAnsi="Times New Roman"/>
            <w:color w:val="0000FF"/>
            <w:sz w:val="20"/>
            <w:u w:val="single"/>
          </w:rPr>
          <w:t>August 5, 2026 (Item 8.01 only)</w:t>
        </w:r>
      </w:hyperlink>
      <w:r>
        <w:rPr>
          <w:rFonts w:ascii="Times New Roman" w:hAnsi="Times New Roman"/>
          <w:color w:val="000000"/>
          <w:sz w:val="20"/>
        </w:rPr>
        <w:t xml:space="preserve">; and </w:t>
      </w:r>
    </w:p>
    <w:p>
      <w:pPr>
        <w:pStyle w:val="TextBody"/>
        <w:bidi w:val="0"/>
        <w:spacing w:before="120" w:after="283"/>
        <w:jc w:val="both"/>
        <w:rPr/>
      </w:pPr>
      <w:r>
        <w:rPr>
          <w:rFonts w:ascii="Times New Roman" w:hAnsi="Times New Roman"/>
          <w:color w:val="000000"/>
          <w:sz w:val="20"/>
        </w:rPr>
        <w:t xml:space="preserve"> the description of our Common Stock referenced in our </w:t>
      </w:r>
      <w:hyperlink r:id="rId15">
        <w:r>
          <w:rPr>
            <w:rStyle w:val="InternetLink"/>
            <w:rFonts w:ascii="Times New Roman" w:hAnsi="Times New Roman"/>
            <w:color w:val="0000FF"/>
            <w:sz w:val="20"/>
            <w:u w:val="single"/>
          </w:rPr>
          <w:t>Registration Statement on Form 8-A (No. 001-40938)</w:t>
        </w:r>
      </w:hyperlink>
      <w:r>
        <w:rPr>
          <w:rFonts w:ascii="Times New Roman" w:hAnsi="Times New Roman"/>
          <w:color w:val="000000"/>
          <w:sz w:val="20"/>
        </w:rPr>
        <w:t xml:space="preserve">, as filed with the SEC on October 20, 2021, including any amendment or report filed for the purpose of updating such description prior to the termination of the offering of the common stock registered hereby.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To obtain copies of these filings, see “Available Information” in this prospectus supplement.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PROSPECTUS</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8"/>
        </w:rPr>
      </w:pPr>
      <w:r>
        <w:rPr>
          <w:rFonts w:ascii="Times New Roman" w:hAnsi="Times New Roman"/>
          <w:b/>
          <w:color w:val="000000"/>
          <w:sz w:val="28"/>
        </w:rPr>
        <w:t>$250,000,000</w:t>
      </w:r>
      <w:r>
        <w:rPr>
          <w:rFonts w:ascii="Times New Roman" w:hAnsi="Times New Roman"/>
          <w:color w:val="000000"/>
          <w:sz w:val="28"/>
        </w:rPr>
        <w:t xml:space="preserve"> </w:t>
      </w:r>
    </w:p>
    <w:p>
      <w:pPr>
        <w:pStyle w:val="TextBody"/>
        <w:bidi w:val="0"/>
        <w:spacing w:before="60" w:after="283"/>
        <w:jc w:val="center"/>
        <w:rPr>
          <w:rFonts w:ascii="Times New Roman" w:hAnsi="Times New Roman"/>
          <w:sz w:val="32"/>
        </w:rPr>
      </w:pPr>
      <w:r>
        <w:rPr>
          <w:rFonts w:ascii="Times New Roman" w:hAnsi="Times New Roman"/>
          <w:b/>
          <w:color w:val="000000"/>
          <w:sz w:val="32"/>
        </w:rPr>
        <w:t>RUNWAY GROWTH FINANCE CORP.</w:t>
      </w:r>
      <w:r>
        <w:rPr>
          <w:rFonts w:ascii="Times New Roman" w:hAnsi="Times New Roman"/>
          <w:color w:val="000000"/>
          <w:sz w:val="32"/>
        </w:rPr>
        <w:t xml:space="preserve"> </w:t>
      </w:r>
    </w:p>
    <w:p>
      <w:pPr>
        <w:pStyle w:val="TextBody"/>
        <w:bidi w:val="0"/>
        <w:spacing w:before="60" w:after="283"/>
        <w:jc w:val="center"/>
        <w:rPr>
          <w:rFonts w:ascii="Times New Roman" w:hAnsi="Times New Roman"/>
          <w:sz w:val="24"/>
        </w:rPr>
      </w:pPr>
      <w:r>
        <w:rPr>
          <w:rFonts w:ascii="Times New Roman" w:hAnsi="Times New Roman"/>
          <w:b/>
          <w:color w:val="000000"/>
          <w:sz w:val="24"/>
        </w:rPr>
        <w:t xml:space="preserve">Common Stock </w:t>
        <w:br/>
        <w:t xml:space="preserve">Preferred Stock </w:t>
        <w:br/>
        <w:t xml:space="preserve">Warrants </w:t>
        <w:br/>
        <w:t xml:space="preserve">Subscription Rights </w:t>
        <w:br/>
        <w:t>Debt Securities</w:t>
      </w:r>
      <w:r>
        <w:rPr>
          <w:rFonts w:ascii="Times New Roman" w:hAnsi="Times New Roman"/>
          <w:color w:val="000000"/>
          <w:sz w:val="24"/>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We are a specialty finance company focused on providing senior secured loans to high-growth potential companies in technology, healthcare, business services, financial services, and select consumer services and products in other high-growth industries.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xml:space="preserve">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appreciation on our warrants and other equity positions, by providing our portfolio companies with financing solutions that are more flexible than traditional credit and less dilutive than equity.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We are a closed-end management investment company that has elected to be regulated as a business development company (“BDC”) under the Investment Company Act of 1940, as amended. We have elected to be treated, and intend to qualify annually, as a regulated investment company (“RIC”) under the Internal Revenue Code of 1986, as amended (the “Code”) for U.S. federal income tax purposes. As a BDC and a RIC, we are required to comply with certain regulatory requirements.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We are externally managed by our investment adviser, Runway Growth Capital, LLC (“Runway Growth Capital”). Runway Growth Capital was formed in 2015 to pursue an investment strategy focused on providing growth financing for dynamic, late- and growth-stage companies.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We are an “emerging growth company,” as defined in Section 2(a) of the U.S. Securities Act of 1933, as amended (the “Securities Act”), and are subject to reduced public company reporting requirements and are taking advantage of the extended transition period provided in Section 7(a)(2)(B) of the Securities Act.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xml:space="preserve">We may offer, from time to time, in one or more offerings or series, up to $250,000,000 of our common stock, preferred stock, debt securities, subscription rights to purchase shares of our common stock, and/or warrants representing rights to purchase shares of our common stock, preferred stock or debt securities (collectively,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You should read this prospectus and the applicable prospectus supplement carefully before you invest in our securities.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shareholders, (ii) with the prior approval of the majority of our outstanding voting securities or (iii) under such other circumstances as the U.S. Securities and Exchange Commission (“SEC”) may permit. </w:t>
      </w:r>
    </w:p>
    <w:p>
      <w:pPr>
        <w:pStyle w:val="TextBody"/>
        <w:bidi w:val="0"/>
        <w:spacing w:before="40" w:after="283"/>
        <w:jc w:val="both"/>
        <w:rPr>
          <w:rFonts w:ascii="Times New Roman" w:hAnsi="Times New Roman"/>
          <w:sz w:val="18"/>
        </w:rPr>
      </w:pPr>
      <w:r>
        <w:rPr>
          <w:rFonts w:ascii="Times New Roman" w:hAnsi="Times New Roman"/>
          <w:color w:val="000000"/>
          <w:sz w:val="18"/>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 w:hAnsi="Times New Roman"/>
          <w:i/>
          <w:color w:val="000000"/>
          <w:sz w:val="18"/>
        </w:rPr>
        <w:t>Plan of Distribution</w:t>
      </w:r>
      <w:r>
        <w:rPr>
          <w:rFonts w:ascii="Times New Roman" w:hAnsi="Times New Roman"/>
          <w:color w:val="000000"/>
          <w:sz w:val="18"/>
        </w:rPr>
        <w:t xml:space="preserve">.” We may not sell any of the securities pursuant to this Registration Statement through agents, underwriters or dealers without delivery of this prospectus and a prospectus supplement describing the method and terms of the offering of such securities.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xml:space="preserve">Our common stock is traded on the Nasdaq Global Select Market (“Nasdaq”) under the symbol “RWAY.” On March 17, 2025, the last reported sales price of our common stock on Nasdaq was $10.89 per share. The net asset value per share of our common stock at September 30, 2024 (the last date prior to the date of this prospectus for which we reported net asset value) was $13.39. </w:t>
      </w:r>
    </w:p>
    <w:p>
      <w:pPr>
        <w:pStyle w:val="TextBody"/>
        <w:bidi w:val="0"/>
        <w:spacing w:before="60" w:after="283"/>
        <w:jc w:val="both"/>
        <w:rPr/>
      </w:pPr>
      <w:r>
        <w:rPr>
          <w:rFonts w:ascii="Times New Roman" w:hAnsi="Times New Roman"/>
          <w:b/>
          <w:color w:val="000000"/>
          <w:sz w:val="18"/>
        </w:rPr>
        <w:t xml:space="preserve">Investing in our securities involves a high degree of risk, including credit risk, the risk of the use of leverage and the risk of dilution, and is highly speculative. In addition, shares of closed-end investment companies, including BDCs, frequently trade at a discount to their net asset values. If our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w:t>
      </w:r>
      <w:hyperlink w:anchor="trifa">
        <w:r>
          <w:rPr>
            <w:rStyle w:val="InternetLink"/>
          </w:rPr>
          <w:t>1</w:t>
        </w:r>
      </w:hyperlink>
      <w:r>
        <w:rPr>
          <w:rFonts w:ascii="Times New Roman" w:hAnsi="Times New Roman"/>
          <w:b/>
          <w:color w:val="000000"/>
          <w:sz w:val="18"/>
        </w:rPr>
        <w:t>7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r>
        <w:rPr>
          <w:rFonts w:ascii="Times New Roman" w:hAnsi="Times New Roman"/>
          <w:color w:val="000000"/>
          <w:sz w:val="18"/>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This information is available free of charge by contacting us at 205 N. Michigan Ave., Suite 4200, Chicago, IL 60601, calling us at (312) 698-6902 or visiting our corporate website located at https://runwaygrowth.com/document-center/. The SEC also maintains a website at http://www.sec.gov that contains this information. Information on our website or the SEC’s website is not incorporated into or a part of this prospectus. </w:t>
      </w:r>
    </w:p>
    <w:p>
      <w:pPr>
        <w:pStyle w:val="TextBody"/>
        <w:bidi w:val="0"/>
        <w:spacing w:before="60" w:after="283"/>
        <w:jc w:val="both"/>
        <w:rPr>
          <w:rFonts w:ascii="Times New Roman" w:hAnsi="Times New Roman"/>
          <w:sz w:val="18"/>
        </w:rPr>
      </w:pPr>
      <w:r>
        <w:rPr>
          <w:rFonts w:ascii="Times New Roman" w:hAnsi="Times New Roman"/>
          <w:b/>
          <w:color w:val="000000"/>
          <w:sz w:val="18"/>
        </w:rPr>
        <w:t>Neither the SEC nor any state securities commission has approved or disapproved of these securities or determined if this prospectus is truthful or complete. Any representation to the contrary is a criminal offense.</w:t>
      </w:r>
      <w:r>
        <w:rPr>
          <w:rFonts w:ascii="Times New Roman" w:hAnsi="Times New Roman"/>
          <w:color w:val="000000"/>
          <w:sz w:val="18"/>
        </w:rPr>
        <w:t xml:space="preserve"> </w:t>
      </w:r>
    </w:p>
    <w:p>
      <w:pPr>
        <w:pStyle w:val="TextBody"/>
        <w:bidi w:val="0"/>
        <w:spacing w:before="60" w:after="283"/>
        <w:jc w:val="both"/>
        <w:rPr>
          <w:rFonts w:ascii="Times New Roman" w:hAnsi="Times New Roman"/>
          <w:sz w:val="18"/>
        </w:rPr>
      </w:pPr>
      <w:r>
        <w:rPr>
          <w:rFonts w:ascii="Times New Roman" w:hAnsi="Times New Roman"/>
          <w:b/>
          <w:color w:val="000000"/>
          <w:sz w:val="18"/>
        </w:rPr>
        <w:t>This prospectus may not be used to consummate sales of securities unless accompanied by a prospectus supplement.</w:t>
      </w:r>
      <w:r>
        <w:rPr>
          <w:rFonts w:ascii="Times New Roman" w:hAnsi="Times New Roman"/>
          <w:color w:val="000000"/>
          <w:sz w:val="18"/>
        </w:rPr>
        <w:t xml:space="preserve"> </w:t>
      </w:r>
    </w:p>
    <w:p>
      <w:pPr>
        <w:pStyle w:val="TextBody"/>
        <w:bidi w:val="0"/>
        <w:spacing w:before="40" w:after="283"/>
        <w:jc w:val="center"/>
        <w:rPr>
          <w:rFonts w:ascii="Times New Roman" w:hAnsi="Times New Roman"/>
          <w:color w:val="000000"/>
          <w:sz w:val="18"/>
        </w:rPr>
      </w:pPr>
      <w:r>
        <w:rPr>
          <w:rFonts w:ascii="Times New Roman" w:hAnsi="Times New Roman"/>
          <w:color w:val="000000"/>
          <w:sz w:val="18"/>
        </w:rPr>
        <w:t>The date of this prospectus is March 19,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64"/>
        <w:gridCol w:w="146"/>
        <w:gridCol w:w="146"/>
        <w:gridCol w:w="357"/>
        <w:gridCol w:w="392"/>
      </w:tblGrid>
      <w:tr>
        <w:trPr/>
        <w:tc>
          <w:tcPr>
            <w:tcW w:w="9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atp">
              <w:r>
                <w:rPr>
                  <w:rStyle w:val="InternetLink"/>
                  <w:rFonts w:ascii="Times New Roman" w:hAnsi="Times New Roman"/>
                  <w:color w:val="000000"/>
                  <w:sz w:val="20"/>
                </w:rPr>
                <w:t xml:space="preserve">ABOUT THIS PROSPECTUS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rsu">
              <w:r>
                <w:rPr>
                  <w:rStyle w:val="InternetLink"/>
                  <w:rFonts w:ascii="Times New Roman" w:hAnsi="Times New Roman"/>
                  <w:color w:val="000000"/>
                  <w:sz w:val="20"/>
                </w:rPr>
                <w:t xml:space="preserve">PROSPECTUS SUMMARY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fae">
              <w:r>
                <w:rPr>
                  <w:rStyle w:val="InternetLink"/>
                  <w:rFonts w:ascii="Times New Roman" w:hAnsi="Times New Roman"/>
                  <w:color w:val="000000"/>
                  <w:sz w:val="20"/>
                </w:rPr>
                <w:t xml:space="preserve">FEES AND EXPENSES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fihi">
              <w:r>
                <w:rPr>
                  <w:rStyle w:val="InternetLink"/>
                  <w:rFonts w:ascii="Times New Roman" w:hAnsi="Times New Roman"/>
                  <w:color w:val="000000"/>
                  <w:sz w:val="20"/>
                </w:rPr>
                <w:t xml:space="preserve">FINANCIAL HIGHLIGHTS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fia">
              <w:r>
                <w:rPr>
                  <w:rStyle w:val="InternetLink"/>
                  <w:rFonts w:ascii="Times New Roman" w:hAnsi="Times New Roman"/>
                  <w:color w:val="000000"/>
                  <w:sz w:val="20"/>
                </w:rPr>
                <w:t xml:space="preserve">SELECTED FINANCIAL INFORMATION AND OTHER DATA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ifa">
              <w:r>
                <w:rPr>
                  <w:rStyle w:val="InternetLink"/>
                  <w:rFonts w:ascii="Times New Roman" w:hAnsi="Times New Roman"/>
                  <w:color w:val="000000"/>
                  <w:sz w:val="20"/>
                </w:rPr>
                <w:t xml:space="preserve">RISK FACTORS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nrf">
              <w:r>
                <w:rPr>
                  <w:rStyle w:val="InternetLink"/>
                  <w:rFonts w:ascii="Times New Roman" w:hAnsi="Times New Roman"/>
                  <w:color w:val="000000"/>
                  <w:sz w:val="20"/>
                </w:rPr>
                <w:t xml:space="preserve">SPECIAL NOTE REGARDING FORWARD-LOOKING STATEMENTS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uop">
              <w:r>
                <w:rPr>
                  <w:rStyle w:val="InternetLink"/>
                  <w:rFonts w:ascii="Times New Roman" w:hAnsi="Times New Roman"/>
                  <w:color w:val="000000"/>
                  <w:sz w:val="20"/>
                </w:rPr>
                <w:t xml:space="preserve">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roc">
              <w:r>
                <w:rPr>
                  <w:rStyle w:val="InternetLink"/>
                  <w:rFonts w:ascii="Times New Roman" w:hAnsi="Times New Roman"/>
                  <w:color w:val="000000"/>
                  <w:sz w:val="20"/>
                </w:rPr>
                <w:t xml:space="preserve">PRICE RANGE OF COMMON STOCK AND DISTRIBUTIONS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 </w:t>
            </w:r>
          </w:p>
        </w:tc>
        <w:tc>
          <w:tcPr>
            <w:tcW w:w="39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tmadi">
              <w:r>
                <w:rPr>
                  <w:rStyle w:val="InternetLink"/>
                  <w:rFonts w:ascii="Times New Roman" w:hAnsi="Times New Roman"/>
                  <w:color w:val="000080"/>
                  <w:sz w:val="20"/>
                </w:rPr>
                <w:t xml:space="preserve">MANAGEMENT’S DISCUSSION AND ANALYSIS OF FINANCIAL CONDITION AND </w:t>
              </w:r>
            </w:hyperlink>
            <w:hyperlink w:anchor="tmadi">
              <w:r>
                <w:rPr>
                  <w:rStyle w:val="InternetLink"/>
                  <w:rFonts w:ascii="Times New Roman" w:hAnsi="Times New Roman"/>
                  <w:color w:val="000080"/>
                  <w:sz w:val="20"/>
                </w:rPr>
                <w:t xml:space="preserve">RESULTS OF OPERATIONS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bus">
              <w:r>
                <w:rPr>
                  <w:rStyle w:val="InternetLink"/>
                  <w:rFonts w:ascii="Times New Roman" w:hAnsi="Times New Roman"/>
                  <w:color w:val="000000"/>
                  <w:sz w:val="20"/>
                </w:rPr>
                <w:t xml:space="preserve">BUSINESS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sese">
              <w:r>
                <w:rPr>
                  <w:rStyle w:val="InternetLink"/>
                  <w:rFonts w:ascii="Times New Roman" w:hAnsi="Times New Roman"/>
                  <w:color w:val="000000"/>
                  <w:sz w:val="20"/>
                </w:rPr>
                <w:t xml:space="preserve">SENIOR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oco">
              <w:r>
                <w:rPr>
                  <w:rStyle w:val="InternetLink"/>
                  <w:rFonts w:ascii="Times New Roman" w:hAnsi="Times New Roman"/>
                  <w:color w:val="000000"/>
                  <w:sz w:val="20"/>
                </w:rPr>
                <w:t xml:space="preserve">PORTFOLIO COMPANIES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man">
              <w:r>
                <w:rPr>
                  <w:rStyle w:val="InternetLink"/>
                  <w:rFonts w:ascii="Times New Roman" w:hAnsi="Times New Roman"/>
                  <w:color w:val="000000"/>
                  <w:sz w:val="20"/>
                </w:rPr>
                <w:t xml:space="preserve">MANAGEMENT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maoa">
              <w:r>
                <w:rPr>
                  <w:rStyle w:val="InternetLink"/>
                  <w:rFonts w:ascii="Times New Roman" w:hAnsi="Times New Roman"/>
                  <w:color w:val="000000"/>
                  <w:sz w:val="20"/>
                </w:rPr>
                <w:t xml:space="preserve">MANAGEMENT AND OTHER AGREEMENTS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tac">
              <w:r>
                <w:rPr>
                  <w:rStyle w:val="InternetLink"/>
                  <w:rFonts w:ascii="Times New Roman" w:hAnsi="Times New Roman"/>
                  <w:color w:val="000000"/>
                  <w:sz w:val="20"/>
                </w:rPr>
                <w:t xml:space="preserve">RELATED-PARTY TRANSACTIONS AND CERTAIN RELATIONSHIPS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pap">
              <w:r>
                <w:rPr>
                  <w:rStyle w:val="InternetLink"/>
                  <w:rFonts w:ascii="Times New Roman" w:hAnsi="Times New Roman"/>
                  <w:color w:val="000000"/>
                  <w:sz w:val="20"/>
                </w:rPr>
                <w:t xml:space="preserve">CONTROL PERSONS AND PRINCIPAL SHAREHOLDERS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na">
              <w:r>
                <w:rPr>
                  <w:rStyle w:val="InternetLink"/>
                  <w:rFonts w:ascii="Times New Roman" w:hAnsi="Times New Roman"/>
                  <w:color w:val="000000"/>
                  <w:sz w:val="20"/>
                </w:rPr>
                <w:t xml:space="preserve">DETERMINATION OF NET ASSET VALUE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rp">
              <w:r>
                <w:rPr>
                  <w:rStyle w:val="InternetLink"/>
                  <w:rFonts w:ascii="Times New Roman" w:hAnsi="Times New Roman"/>
                  <w:color w:val="000000"/>
                  <w:sz w:val="20"/>
                </w:rPr>
                <w:t xml:space="preserve">DIVIDEND REINVESTMENT PLAN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ufi">
              <w:r>
                <w:rPr>
                  <w:rStyle w:val="InternetLink"/>
                  <w:rFonts w:ascii="Times New Roman" w:hAnsi="Times New Roman"/>
                  <w:color w:val="000000"/>
                  <w:sz w:val="20"/>
                </w:rPr>
                <w:t xml:space="preserve">CERTAIN U.S. FEDERAL INCOME TAX CONSIDERATIONS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s">
              <w:r>
                <w:rPr>
                  <w:rStyle w:val="InternetLink"/>
                  <w:rFonts w:ascii="Times New Roman" w:hAnsi="Times New Roman"/>
                  <w:color w:val="000000"/>
                  <w:sz w:val="20"/>
                </w:rPr>
                <w:t xml:space="preserve">DESCRIPTION OF OUR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c">
              <w:r>
                <w:rPr>
                  <w:rStyle w:val="InternetLink"/>
                  <w:rFonts w:ascii="Times New Roman" w:hAnsi="Times New Roman"/>
                  <w:color w:val="000000"/>
                  <w:sz w:val="20"/>
                </w:rPr>
                <w:t xml:space="preserve">DESCRIPTION OF OUR CAPITAL STOCK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p">
              <w:r>
                <w:rPr>
                  <w:rStyle w:val="InternetLink"/>
                  <w:rFonts w:ascii="Times New Roman" w:hAnsi="Times New Roman"/>
                  <w:color w:val="000000"/>
                  <w:sz w:val="20"/>
                </w:rPr>
                <w:t xml:space="preserve">DESCRIPTION OF OUR PREFERRED STOCK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60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s1">
              <w:r>
                <w:rPr>
                  <w:rStyle w:val="InternetLink"/>
                  <w:rFonts w:ascii="Times New Roman" w:hAnsi="Times New Roman"/>
                  <w:color w:val="000000"/>
                  <w:sz w:val="20"/>
                </w:rPr>
                <w:t xml:space="preserve">DESCRIPTION OF OUR SUBSCRIPTION RIGHTS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w">
              <w:r>
                <w:rPr>
                  <w:rStyle w:val="InternetLink"/>
                  <w:rFonts w:ascii="Times New Roman" w:hAnsi="Times New Roman"/>
                  <w:color w:val="000000"/>
                  <w:sz w:val="20"/>
                </w:rPr>
                <w:t xml:space="preserve">DESCRIPTION OF OUR WARRANTS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dood">
              <w:r>
                <w:rPr>
                  <w:rStyle w:val="InternetLink"/>
                  <w:rFonts w:ascii="Times New Roman" w:hAnsi="Times New Roman"/>
                  <w:color w:val="000000"/>
                  <w:sz w:val="20"/>
                </w:rPr>
                <w:t xml:space="preserve">DESCRIPTION OF OUR DEBT SECURITIES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64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reg">
              <w:r>
                <w:rPr>
                  <w:rStyle w:val="InternetLink"/>
                  <w:rFonts w:ascii="Times New Roman" w:hAnsi="Times New Roman"/>
                  <w:color w:val="000000"/>
                  <w:sz w:val="20"/>
                </w:rPr>
                <w:t xml:space="preserve">REGULATION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78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pod">
              <w:r>
                <w:rPr>
                  <w:rStyle w:val="InternetLink"/>
                  <w:rFonts w:ascii="Times New Roman" w:hAnsi="Times New Roman"/>
                  <w:color w:val="000000"/>
                  <w:sz w:val="20"/>
                </w:rPr>
                <w:t xml:space="preserve">PLAN OF DISTRIBUTION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79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ctad">
              <w:r>
                <w:rPr>
                  <w:rStyle w:val="InternetLink"/>
                  <w:rFonts w:ascii="Times New Roman" w:hAnsi="Times New Roman"/>
                  <w:color w:val="000000"/>
                  <w:sz w:val="20"/>
                </w:rPr>
                <w:t xml:space="preserve">CUSTODIAN, TRANSFER AND DIVIDEND PAYING AGENT AND REGISTRAR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baao">
              <w:r>
                <w:rPr>
                  <w:rStyle w:val="InternetLink"/>
                  <w:rFonts w:ascii="Times New Roman" w:hAnsi="Times New Roman"/>
                  <w:color w:val="000000"/>
                  <w:sz w:val="20"/>
                </w:rPr>
                <w:t xml:space="preserve">BROKERAGE ALLOCATION AND OTHER PRACTICES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lema">
              <w:r>
                <w:rPr>
                  <w:rStyle w:val="InternetLink"/>
                  <w:rFonts w:ascii="Times New Roman" w:hAnsi="Times New Roman"/>
                  <w:color w:val="000000"/>
                  <w:sz w:val="20"/>
                </w:rPr>
                <w:t xml:space="preserve">LEGAL MATTERS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irpa">
              <w:r>
                <w:rPr>
                  <w:rStyle w:val="InternetLink"/>
                  <w:rFonts w:ascii="Times New Roman" w:hAnsi="Times New Roman"/>
                  <w:color w:val="000000"/>
                  <w:sz w:val="20"/>
                </w:rPr>
                <w:t xml:space="preserve">INDEPENDENT REGISTERED PUBLIC ACCOUNTING FIRM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avin">
              <w:r>
                <w:rPr>
                  <w:rStyle w:val="InternetLink"/>
                  <w:rFonts w:ascii="Times New Roman" w:hAnsi="Times New Roman"/>
                  <w:color w:val="000000"/>
                  <w:sz w:val="20"/>
                </w:rPr>
                <w:t xml:space="preserve">AVAILABLE INFORMATION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pPr>
            <w:hyperlink w:anchor="tioci">
              <w:r>
                <w:rPr>
                  <w:rStyle w:val="InternetLink"/>
                  <w:rFonts w:ascii="Times New Roman" w:hAnsi="Times New Roman"/>
                  <w:color w:val="000000"/>
                  <w:sz w:val="20"/>
                </w:rPr>
                <w:t xml:space="preserve">INCORPORATION OF CERTAIN INFORMATION BY REFERENCE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82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RUNWAY GROWTH FINANCE CORP.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i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15" w:name="tatp"/>
      <w:bookmarkEnd w:id="15"/>
      <w:r>
        <w:rPr>
          <w:rFonts w:ascii="Times New Roman" w:hAnsi="Times New Roman"/>
          <w:b/>
          <w:color w:val="000000"/>
          <w:sz w:val="20"/>
        </w:rPr>
        <w:t>ABOUT THIS PROSPECTUS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20"/>
        </w:rPr>
        <w:t>This prospectus is part of a registration statement that we have filed with the SEC, using the “shelf” registration process. Under this shelf Registration Statement, we may offer, from time to time, in one or more offerings, up to $250,000,000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 w:hAnsi="Times New Roman"/>
          <w:i/>
          <w:color w:val="000000"/>
          <w:sz w:val="20"/>
        </w:rPr>
        <w:t>Plan of Distribution</w:t>
      </w:r>
      <w:r>
        <w:rPr>
          <w:rFonts w:ascii="Times New Roman" w:hAnsi="Times New Roman"/>
          <w:color w:val="000000"/>
          <w:sz w:val="20"/>
        </w:rPr>
        <w:t xml:space="preserve">” for more information.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To the extent that any statement that we make in a prospectus supplement is inconsistent with statements made in this prospectus or in documents incorporated by reference in this prospectus, the statements made or incorporated by reference in this prospectus will be deemed modified or superseded by those made in the prospectus supplement. Before buying any of the securities being offered, please carefully read this prospectus, any accompanying prospectus supplement, any free writing prospectus and the documents incorporated by reference in this prospectus and any accompanying prospectus supplement.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However, we acknowledge our responsibility for all disclosures in this prospectus.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 </w:t>
      </w:r>
    </w:p>
    <w:p>
      <w:pPr>
        <w:pStyle w:val="TextBody"/>
        <w:bidi w:val="0"/>
        <w:spacing w:before="60" w:after="283"/>
        <w:jc w:val="both"/>
        <w:rPr>
          <w:rFonts w:ascii="Times New Roman" w:hAnsi="Times New Roman"/>
          <w:sz w:val="20"/>
        </w:rPr>
      </w:pPr>
      <w:r>
        <w:rPr>
          <w:rFonts w:ascii="Times New Roman" w:hAnsi="Times New Roman"/>
          <w:color w:val="000000"/>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this Registration Statement of which this prospectus is a part, and you may obtain copies of those documents as described in the section titled “</w:t>
      </w:r>
      <w:r>
        <w:rPr>
          <w:rFonts w:ascii="Times New Roman" w:hAnsi="Times New Roman"/>
          <w:i/>
          <w:color w:val="000000"/>
          <w:sz w:val="20"/>
        </w:rPr>
        <w:t>Available Information</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b/>
          <w:color w:val="000000"/>
          <w:sz w:val="20"/>
        </w:rPr>
        <w:t>You should rely only on the information included or incorporated by reference in this prospectus, any prospectus</w:t>
      </w:r>
      <w:r>
        <w:rPr>
          <w:rFonts w:ascii="Times New Roman" w:hAnsi="Times New Roman"/>
          <w:color w:val="000000"/>
          <w:sz w:val="20"/>
        </w:rPr>
        <w:t xml:space="preserve"> supplement </w:t>
      </w:r>
      <w:r>
        <w:rPr>
          <w:rFonts w:ascii="Times New Roman" w:hAnsi="Times New Roman"/>
          <w:b/>
          <w:color w:val="000000"/>
          <w:sz w:val="20"/>
        </w:rPr>
        <w:t>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1 </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ind w:left="0" w:right="0" w:hanging="0"/>
        <w:jc w:val="center"/>
        <w:rPr>
          <w:rFonts w:ascii="Times New Roman" w:hAnsi="Times New Roman"/>
          <w:sz w:val="20"/>
          <w:bdr w:val="single" w:sz="4" w:space="1" w:color="000000"/>
        </w:rPr>
      </w:pPr>
      <w:bookmarkStart w:id="16" w:name="tprsu"/>
      <w:bookmarkEnd w:id="16"/>
      <w:r>
        <w:rPr>
          <w:rFonts w:ascii="Times New Roman" w:hAnsi="Times New Roman"/>
          <w:b/>
          <w:color w:val="000000"/>
          <w:sz w:val="20"/>
          <w:bdr w:val="single" w:sz="4" w:space="1" w:color="000000"/>
        </w:rPr>
        <w:t>PROSPECTUS SUMMARY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w:t>
      </w:r>
      <w:r>
        <w:rPr>
          <w:rFonts w:ascii="Times New Roman" w:hAnsi="Times New Roman"/>
          <w:color w:val="000000"/>
          <w:sz w:val="20"/>
          <w:bdr w:val="single" w:sz="4" w:space="1" w:color="000000"/>
        </w:rPr>
        <w:t xml:space="preserve"> applicable </w:t>
      </w:r>
      <w:r>
        <w:rPr>
          <w:rFonts w:ascii="Times New Roman" w:hAnsi="Times New Roman"/>
          <w:i/>
          <w:color w:val="000000"/>
          <w:sz w:val="20"/>
          <w:bdr w:val="single" w:sz="4" w:space="1" w:color="000000"/>
        </w:rPr>
        <w:t>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Throughout this prospectus we refer to Runway Growth Finance Corp. as “we,” “us,” “our” or the “Company,” and to “Runway Growth Capital LLC,” our investment adviser, as “Runway Growth Capital” or “Adviser.”</w:t>
      </w:r>
      <w:r>
        <w:rPr>
          <w:rFonts w:ascii="Times New Roman" w:hAnsi="Times New Roman"/>
          <w:color w:val="000000"/>
          <w:sz w:val="20"/>
          <w:bdr w:val="single" w:sz="4" w:space="1" w:color="000000"/>
        </w:rPr>
        <w:t xml:space="preserve"> </w:t>
      </w:r>
    </w:p>
    <w:p>
      <w:pPr>
        <w:pStyle w:val="TextBody"/>
        <w:bidi w:val="0"/>
        <w:spacing w:before="220" w:after="283"/>
        <w:jc w:val="left"/>
        <w:rPr>
          <w:rFonts w:ascii="Times New Roman" w:hAnsi="Times New Roman"/>
          <w:sz w:val="20"/>
          <w:bdr w:val="single" w:sz="4" w:space="1" w:color="000000"/>
        </w:rPr>
      </w:pPr>
      <w:r>
        <w:rPr>
          <w:rFonts w:ascii="Times New Roman" w:hAnsi="Times New Roman"/>
          <w:b/>
          <w:color w:val="000000"/>
          <w:sz w:val="20"/>
          <w:bdr w:val="single" w:sz="4" w:space="1" w:color="000000"/>
        </w:rPr>
        <w:t>Runway Growth Finance Corp.</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a specialty finance company focused on providing senior secured loans to high-growth potential companies in technology, healthcare, business services, financial services, and select consumer services and products in other high-growth industries. Our goal is to create significant value for our stockholders and the entrepreneurs we support by providing high-growth potential companies with hybrid debt and equity financing that is more flexible than traditional credit and less dilutive than equity. We are managed by Runway Growth Capital, an experienced provider of growth financing for dynamic, late- and growth-stage companies. Our investment objective is to maximize our total return to our stockholders primarily through current income on our loan portfolio and secondarily through capital gains on our warrants and other equity positions. As of September 30, 2024, we had an investment portfolio of $1.1 billion at fair value, and a net asset value of $13.39 per share. </w:t>
      </w:r>
    </w:p>
    <w:p>
      <w:pPr>
        <w:pStyle w:val="TextBody"/>
        <w:bidi w:val="0"/>
        <w:spacing w:before="14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We are structured as an externally managed, non-diversified closed-end investment company that has elected to be regulated as a business development company (“BDC”) under the Investment Company Act of 1940, as amended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RIC. See “</w:t>
      </w:r>
      <w:r>
        <w:rPr>
          <w:rFonts w:ascii="Times New Roman" w:hAnsi="Times New Roman"/>
          <w:i/>
          <w:color w:val="000000"/>
          <w:sz w:val="20"/>
          <w:bdr w:val="single" w:sz="4" w:space="1" w:color="000000"/>
        </w:rPr>
        <w:t>Certain U.S. Federal Income Tax Considerations</w:t>
      </w:r>
      <w:r>
        <w:rPr>
          <w:rFonts w:ascii="Times New Roman" w:hAnsi="Times New Roman"/>
          <w:color w:val="000000"/>
          <w:sz w:val="20"/>
          <w:bdr w:val="single" w:sz="4" w:space="1" w:color="000000"/>
        </w:rPr>
        <w:t xml:space="preserve">.”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Our Adviser</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externally managed by Runway Growth Capital. Runway Growth Capital was formed in 2015 to pursue an investment strategy focused on providing growth financing for dynamic, late- and growth-stage companies. David Spreng, our Chairman, Co-Chief Executive Officer and President, formed our Adviser following a more than 25-year career in venture capital investing and lending. Runway Growth Capital has 29 employees across three offices in the United States, including five investment professionals focused on origination activities and ten focused on underwriting and managing our investment portfolio. Our Adviser consistently demonstrates a credit first culture while maintaining, what we believe, is an admirable reputation among borrowers for industry knowledge, creativity, and understanding of the challenges often faced by late- and growth-stage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January 2025, Runway Growth Capital was acquired by certain private investment funds advised by BC Partners Credit and MLCI pursuant to its minority investment.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Runway Growth Capital’s senior executive team has on average more than 34 years of experience, and its investment professionals, including origination and underwriting, have on average 23 years of experience. Our Adviser has built its team with investment professionals who have deep industry experience, a track record of successful originations and outcomes across the venture debt and venture and private equity spectrums, along with rich experience in working with and understanding high-growth companies from both an investor’s and an operator’s perspective.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ind w:left="0" w:right="0" w:hanging="0"/>
        <w:jc w:val="both"/>
        <w:rPr>
          <w:rFonts w:ascii="Times New Roman" w:hAnsi="Times New Roman"/>
          <w:sz w:val="20"/>
          <w:bdr w:val="single" w:sz="4" w:space="1" w:color="000000"/>
        </w:rPr>
      </w:pPr>
      <w:r>
        <w:rPr>
          <w:rFonts w:ascii="Times New Roman" w:hAnsi="Times New Roman"/>
          <w:color w:val="000000"/>
          <w:sz w:val="20"/>
          <w:bdr w:val="single" w:sz="4" w:space="1" w:color="000000"/>
        </w:rPr>
        <w:t>Runway Growth Capital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Runway Growth Capital a fee for its investment advisory and management services consisting of two components: a base management fee and an incentive fee. The cost of the base management fee and incentive fee are each borne by our stockholders.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Runway-Cadma I LLC Joint Venture</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Effective March 6, 2024, the Company entered into a joint venture agreement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Our Administrator</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We have entered into an amended and restated administration agreement (the “Administration Agreement”) with Runway Administrator Services LLC (the “Administrator”), a wholly-owned subsidiary of Runway Growth Capital,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our Administrator’s overhead resulting from its obligations under the Administration Agreement, including rent and the allocable portion of the cost of our Chief Compliance Officer and Chief Financial Officer and their respective staffs. For more information,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Oaktree Strategic Relationship</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December 2016, we and Runway Growth Capital entered into a strategic relationship with Oaktree Capital Management, L.P. (“Oaktree”). Oaktree is a leading global investment management firm focused on less efficient markets and alternative investments. Oaktree, together with its affiliates, emphasizes an opportunistic, value-oriented and risk-controlled approach to investments in distressed debt, corporate debt (including high-yield debt and senior loans), control investing, real estate, convertible securities and listed equities. In 2019, Brookfield Corporation (f/k/a Brookfield Asset Management Inc.) (“Brookfield”) acquired a majority economic interest in the business of Oaktree and its affiliates. Oaktree and its affiliates operate as an independent business with Brookfield, with their own product offerings and investment, marketing and support teams. Brookfield is a leading global alternative asset manager with over a 100 year history and over $1 trillion of assets under management (inclusive of Oaktree and its affiliates) across a broad portfolio of real estate, infrastructure, renewable power, credit and private equity assets. </w:t>
      </w:r>
    </w:p>
    <w:p>
      <w:pPr>
        <w:pStyle w:val="TextBody"/>
        <w:bidi w:val="0"/>
        <w:spacing w:before="14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OCM Growth Holdings (“OCM Growth”), an affiliate of Oaktree, purchased an aggregate of 14,571,334 shares of the Company’s common stock for an aggregate purchase price of $219.3 million in the Company’s Initial Private Offering and Second Private Offering. As of December 31, 2024, OCM Growth owned 10,779,668 shares, or approximately 29% of the Company’s outstanding shares. Pursuant to an irrevocable proxy, certain shares of our common stock held by OCM Growth must be voted in the same proportion that the Company’s other stockholders vote their shares. Of the 10,779,668 shares of the Company’s common stock owned by OCM Growth, 10,294,926 shares, or approximately 28% of the Company’s outstanding shares, are subject to this proxy voting arrangement.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the Board of Directors as OCM Growth’s director nominee as an independent director.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ind w:left="0" w:right="0" w:hanging="0"/>
        <w:jc w:val="both"/>
        <w:rPr>
          <w:rFonts w:ascii="Times New Roman" w:hAnsi="Times New Roman"/>
          <w:sz w:val="20"/>
          <w:bdr w:val="single" w:sz="4" w:space="1" w:color="000000"/>
        </w:rPr>
      </w:pPr>
      <w:r>
        <w:rPr>
          <w:rFonts w:ascii="Times New Roman" w:hAnsi="Times New Roman"/>
          <w:b/>
          <w:color w:val="000000"/>
          <w:sz w:val="20"/>
          <w:bdr w:val="single" w:sz="4" w:space="1" w:color="000000"/>
        </w:rPr>
        <w:t>Our Portfolio</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From the commencement of operations in December 2016 through September 30, 2024, we made total commitments of $2.8 billion to fund investments in 82 portfolio companies, invested $2.2 billion in debt and equity investments, excluding U.S. Treasury Bills, and realized 47 investments. Of the $2.8 billion total commitments since inception, 31% are related to upsizes from existing borrowers. As of September 30, 2024, our debt investment portfolio consisted of 49 debt investments in 32 portfolio companies with an aggregate fair value of $1.0 billion, while our equity portfolio consisted of 66 warrant positions in 46 portfolio companies, eleven preferred stock positions in four portfolio companies, six common stock positions in six portfolio companies, and three equity investments in three companies with an aggregate fair value of $62.2 million.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September 30, 2024, 100%, or $1.0 billion, of our debt investment portfolio at fair value consisted of senior term loans and 98.6% of our debt investments were secured by a first lien on all or a portion of the tangible and intangible assets of the applicable portfolio company.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Certain of the loans we make to portfolio companies have financial maintenance covenants, which are intended to protect lenders from adverse changes in a portfolio company’s financial performance. 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September 30, 2024, we had a total of $260.4 million in unfunded commitments which was comprised of $231.0 million to provide debt financing to our portfolio companies and $29.4 million in unfunded commitments to provide equity financing to the JV. As of September 30, 2024, we had approximately $67.3 million of available unfunded commitments to portfolio companies that are eligible to be drawn based on achieved milestones and $29.4 million in unfunded capital commitments to the JV. We believe that our available cash balances, availability under our Credit Agreement with KeyBank National Association (as amended, the “Credit Agreement”) provides sufficient funds to cover our unfunded commitments as of September 30, 2024.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For the three and nine months ended September 30, 2024, our debt investment portfolio had a dollar-weighted annualized yield of 15.9% and 15.5%, respectively. For the three and nine months ended September 30, 2023, our debt investment portfolio had a dollar-weighted annualized yield of 18.3% and 16.0%,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September 30, 2024, our debt investments had a dollar-weighted average term of 58 months at origination and a dollar-weighted average remaining term of 33 months, or approximately 2.8 years. As of September 30, 2024, substantially all of our debt investments had a committed principal amount of between $6.0 million and $85.0 million and pay cash interest at annual interest rates of between 8.0% and 14.8%.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16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following table shows our dollar-weighted annualized yield by investment type for the three and nine months ended September 30, 2024 and September 30, 2023: </w:t>
      </w:r>
    </w:p>
    <w:tbl>
      <w:tblPr>
        <w:tblW w:w="9565" w:type="dxa"/>
        <w:jc w:val="left"/>
        <w:tblInd w:w="0" w:type="dxa"/>
        <w:tblLayout w:type="fixed"/>
        <w:tblCellMar>
          <w:top w:w="28" w:type="dxa"/>
          <w:left w:w="28" w:type="dxa"/>
          <w:bottom w:w="28" w:type="dxa"/>
          <w:right w:w="28" w:type="dxa"/>
        </w:tblCellMar>
      </w:tblPr>
      <w:tblGrid>
        <w:gridCol w:w="1531"/>
        <w:gridCol w:w="146"/>
        <w:gridCol w:w="853"/>
        <w:gridCol w:w="169"/>
        <w:gridCol w:w="853"/>
        <w:gridCol w:w="146"/>
        <w:gridCol w:w="146"/>
        <w:gridCol w:w="798"/>
        <w:gridCol w:w="158"/>
        <w:gridCol w:w="798"/>
        <w:gridCol w:w="146"/>
        <w:gridCol w:w="853"/>
        <w:gridCol w:w="169"/>
        <w:gridCol w:w="853"/>
        <w:gridCol w:w="146"/>
        <w:gridCol w:w="797"/>
        <w:gridCol w:w="158"/>
        <w:gridCol w:w="845"/>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1"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Fair Value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1" w:type="dxa"/>
            <w:gridSpan w:val="7"/>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Cost</w:t>
            </w:r>
            <w:r>
              <w:rPr>
                <w:rFonts w:ascii="Times New Roman" w:hAnsi="Times New Roman"/>
                <w:b/>
                <w:color w:val="000000"/>
                <w:sz w:val="13"/>
              </w:rPr>
              <w:t>(2)</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r>
    </w:tbl>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 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(2) 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 </w:t>
      </w:r>
    </w:p>
    <w:p>
      <w:pPr>
        <w:pStyle w:val="TextBody"/>
        <w:bidi w:val="0"/>
        <w:spacing w:before="22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Investment Strategy and Approach</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investment objective is to maximize total return to our stockholders primarily through current income on our loan portfolio and secondarily through capital appreciation on our warrants and other equity positions. We typically invest in senior secured term loans and other senior debt obligations and may on occasion invest in second lien loans. We generally receive warrants and/or other equity securities from portfolio companies in connection with our investments in loans to these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focus on lending to late- and growth-stage companies in technology, healthcare , business services, financial services, and select consumer services and products in other high-growth industries.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typically the sole lender to our portfolio companies and do not actively syndicate the loans we originate to other lenders nor do we participate in syndications built by other lenders.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investment strategy.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risk-adjusted return for the portfolio viewed as a whole. Borrowers tend to use the proceeds of our financing to invest in sales and marketing, expand capacity of the overall business or refinance existing debt.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Sponsored Growth Lending</w:t>
      </w:r>
      <w:r>
        <w:rPr>
          <w:rFonts w:ascii="Times New Roman" w:hAnsi="Times New Roman"/>
          <w:color w:val="000000"/>
          <w:sz w:val="20"/>
          <w:bdr w:val="single" w:sz="4" w:space="1" w:color="000000"/>
        </w:rPr>
        <w:t xml:space="preserve">. Our Sponsored Growth Lending strategy generally includes loans to late- and growth-stage companies that are already backed by established venture capital firms. Our Sponsored Growth Lending strategy typically includes the receipt of warrants and/or other equity from these venture- backed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provides us access to many high-quality companies backed by top-tier venture capital and private equity investors;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delivers consistent returns through double-digit loan yields; and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often offers us the ability to participate in equity upside of portfolio companies through the acquisition of warrants.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Non-Sponsored Growth Lending</w:t>
      </w:r>
      <w:r>
        <w:rPr>
          <w:rFonts w:ascii="Times New Roman" w:hAnsi="Times New Roman"/>
          <w:color w:val="000000"/>
          <w:sz w:val="20"/>
          <w:bdr w:val="single" w:sz="4" w:space="1" w:color="000000"/>
        </w:rPr>
        <w:t xml:space="preserve">. Our Non-Sponsored Growth Lending strategy generally includes loans to late- and growth-stage, private companies that are funded directly by entrepreneurs and founders, or companies that no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longer require institutional equity investment (which may selectively include publicly traded companies). We refer to these target borrowers as “non-sponsored growth companies”.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a BDC, we are generally limited in our ability to invest in any portfolio company in which Runway Growth Capital or any of its affiliates currently has an investment or to make any co-investments with our investment adviser or its affiliates without an exemptive order from the SEC, subject to certain exceptions. On August 10, 2020, as amended on August 30, 2022, we, Runway Growth Capital, and certain other funds and accounts sponsored or managed by Runway Growth Capital were granted an exemptive order (the “Order”) that permits us greater flexibility than the 1940 Act permits to negotiate the terms of co-investments if our Board determines that it would be advantageous for us to co-invest with other accounts sponsored or managed by Runway Growth Capital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Runway Growth Capital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 </w:t>
      </w:r>
    </w:p>
    <w:p>
      <w:pPr>
        <w:pStyle w:val="TextBody"/>
        <w:bidi w:val="0"/>
        <w:spacing w:before="24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Market Opportunity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that the market environment is favorable for us to continue to pursue an investment strategy primarily focused on late stage and high-growth companies in technology, healthcare, business services, financial services, and select consumer services and products in other high-growth industries.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Focus on Innovative Companies Across a Variety of High-Growth Industries</w:t>
      </w:r>
      <w:r>
        <w:rPr>
          <w:rFonts w:ascii="Times New Roman" w:hAnsi="Times New Roman"/>
          <w:color w:val="000000"/>
          <w:sz w:val="20"/>
          <w:bdr w:val="single" w:sz="4" w:space="1" w:color="000000"/>
        </w:rPr>
        <w:t xml:space="preserve"> </w:t>
      </w:r>
    </w:p>
    <w:p>
      <w:pPr>
        <w:pStyle w:val="TextBody"/>
        <w:bidi w:val="0"/>
        <w:spacing w:before="160" w:after="280"/>
        <w:jc w:val="both"/>
        <w:rPr>
          <w:rFonts w:ascii="Times New Roman" w:hAnsi="Times New Roman"/>
          <w:sz w:val="20"/>
          <w:bdr w:val="single" w:sz="4" w:space="1" w:color="000000"/>
        </w:rPr>
      </w:pPr>
      <w:r>
        <w:rPr>
          <w:rFonts w:ascii="Times New Roman" w:hAnsi="Times New Roman"/>
          <w:i/>
          <w:color w:val="000000"/>
          <w:sz w:val="20"/>
          <w:bdr w:val="single" w:sz="4" w:space="1" w:color="000000"/>
        </w:rPr>
        <w:t>Diversified high-growth potential industries</w:t>
      </w:r>
      <w:r>
        <w:rPr>
          <w:rFonts w:ascii="Times New Roman" w:hAnsi="Times New Roman"/>
          <w:color w:val="000000"/>
          <w:sz w:val="20"/>
          <w:bdr w:val="single" w:sz="4" w:space="1" w:color="000000"/>
        </w:rPr>
        <w:t xml:space="preserve">: We target companies active in industries that support high- 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left"/>
        <w:rPr>
          <w:rFonts w:ascii="Times New Roman" w:hAnsi="Times New Roman"/>
          <w:sz w:val="20"/>
          <w:bdr w:val="single" w:sz="4" w:space="1" w:color="000000"/>
        </w:rPr>
      </w:pPr>
      <w:r>
        <w:rPr>
          <w:rFonts w:ascii="Times New Roman" w:hAnsi="Times New Roman"/>
          <w:b/>
          <w:color w:val="000000"/>
          <w:sz w:val="20"/>
          <w:bdr w:val="single" w:sz="4" w:space="1" w:color="000000"/>
        </w:rPr>
        <w:t>Annual Venture Capital Activity — Deal Volume ($ in billions) and Deal Count</w:t>
      </w:r>
      <w:r>
        <w:rPr>
          <w:rFonts w:ascii="Times New Roman" w:hAnsi="Times New Roman"/>
          <w:color w:val="000000"/>
          <w:sz w:val="20"/>
          <w:bdr w:val="single" w:sz="4" w:space="1" w:color="000000"/>
        </w:rPr>
        <w:t xml:space="preserve"> </w:t>
      </w:r>
    </w:p>
    <w:p>
      <w:pPr>
        <w:pStyle w:val="TextBody"/>
        <w:bidi w:val="0"/>
        <w:spacing w:before="160" w:after="283"/>
        <w:jc w:val="center"/>
        <w:rPr>
          <w:bdr w:val="single" w:sz="4" w:space="1" w:color="000000"/>
        </w:rPr>
      </w:pPr>
      <w:r>
        <w:rPr>
          <w:bdr w:val="single" w:sz="4" w:space="1" w:color="000000"/>
        </w:rPr>
        <w:drawing>
          <wp:inline distT="0" distB="0" distL="0" distR="0">
            <wp:extent cx="5267325" cy="40862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16"/>
                    <a:stretch>
                      <a:fillRect/>
                    </a:stretch>
                  </pic:blipFill>
                  <pic:spPr bwMode="auto">
                    <a:xfrm>
                      <a:off x="0" y="0"/>
                      <a:ext cx="5267325" cy="4086225"/>
                    </a:xfrm>
                    <a:prstGeom prst="rect">
                      <a:avLst/>
                    </a:prstGeom>
                  </pic:spPr>
                </pic:pic>
              </a:graphicData>
            </a:graphic>
          </wp:inline>
        </w:drawing>
      </w:r>
    </w:p>
    <w:p>
      <w:pPr>
        <w:pStyle w:val="TextBody"/>
        <w:pBdr>
          <w:bottom w:val="single" w:sz="5" w:space="1" w:color="000000"/>
        </w:pBdr>
        <w:bidi w:val="0"/>
        <w:spacing w:before="120" w:after="283"/>
        <w:jc w:val="left"/>
        <w:rPr>
          <w:bdr w:val="single" w:sz="4" w:space="1" w:color="000000"/>
        </w:rPr>
      </w:pPr>
      <w:r>
        <w:rPr>
          <w:bdr w:val="single" w:sz="4" w:space="1" w:color="000000"/>
        </w:rPr>
        <w:t> </w:t>
      </w:r>
    </w:p>
    <w:p>
      <w:pPr>
        <w:pStyle w:val="TextBody"/>
        <w:bidi w:val="0"/>
        <w:spacing w:before="8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Source: Pitchbook-NVCA Venture Monitor data, Q4 2024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Sponsored and Non-Sponsored Lending Represents an Attractive Source of Funding</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Sponsored Growth Lending</w:t>
      </w:r>
      <w:r>
        <w:rPr>
          <w:rFonts w:ascii="Times New Roman" w:hAnsi="Times New Roman"/>
          <w:color w:val="000000"/>
          <w:sz w:val="20"/>
          <w:bdr w:val="single" w:sz="4" w:space="1" w:color="000000"/>
        </w:rPr>
        <w:t xml:space="preserve">: An attractive market opportunity exists for a lender that invests in secured loans to late- and growth-stage companies that have not yet achieved profitability. Sponsored growth lending provides an attractive source of funds for venture-backed companies, their management teams, and their equity capital investors, as it: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is typically less dilutive and complements equity financing from venture capital and private equity funds;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often extends the time period during which a company can operate before seeking additional equity capital or pursuing a sale transaction or other liquidity event; and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generally allows companies to better match cash sources with uses.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Non-Sponsored Growth Lending</w:t>
      </w:r>
      <w:r>
        <w:rPr>
          <w:rFonts w:ascii="Times New Roman" w:hAnsi="Times New Roman"/>
          <w:color w:val="000000"/>
          <w:sz w:val="20"/>
          <w:bdr w:val="single" w:sz="4" w:space="1" w:color="000000"/>
        </w:rPr>
        <w:t xml:space="preserve">: An attractive market opportunity exists for a lender that invests in secured loans to late- and growth-stage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access to growth capital without the requirement to take on institutional-size investments that may exceed the company’s capital requirements;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tax deductible interest payments;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significant operational involvement;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personal guarantees;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very modest dilution, if any; and </w:t>
      </w:r>
    </w:p>
    <w:p>
      <w:pPr>
        <w:pStyle w:val="TextBody"/>
        <w:bidi w:val="0"/>
        <w:spacing w:before="10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 no loss of managerial control or forced redemption.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ind w:left="0" w:right="0" w:hanging="0"/>
        <w:jc w:val="both"/>
        <w:rPr>
          <w:rFonts w:ascii="Times New Roman" w:hAnsi="Times New Roman"/>
          <w:sz w:val="20"/>
          <w:bdr w:val="single" w:sz="4" w:space="1" w:color="000000"/>
        </w:rPr>
      </w:pPr>
      <w:r>
        <w:rPr>
          <w:rFonts w:ascii="Times New Roman" w:hAnsi="Times New Roman"/>
          <w:b/>
          <w:i/>
          <w:color w:val="000000"/>
          <w:sz w:val="20"/>
          <w:bdr w:val="single" w:sz="4" w:space="1" w:color="000000"/>
        </w:rPr>
        <w:t>Large and Growing Market for Debt Financing to Venture Capital-Backed Companies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Healthy, stable venture environment: </w:t>
      </w:r>
      <w:r>
        <w:rPr>
          <w:rFonts w:ascii="Times New Roman" w:hAnsi="Times New Roman"/>
          <w:color w:val="000000"/>
          <w:sz w:val="20"/>
          <w:bdr w:val="single" w:sz="4" w:space="1" w:color="000000"/>
        </w:rPr>
        <w:t xml:space="preserve">Approximately 15,250 companies received venture capital financing in 2024, according to the Pitchbook-NVCA Venture Monitor, a quarterly report published jointly by NVCA and Pitchbook on venture capital activity (“Pitchbook-NVCA”). Despite the broader economic challenges of 2024, we anticipate the market for borrowers will gradually improve over the coming quarters. The venture debt lending market, as defined in the Q4 2024 Pitchbook-NVCA Venture Monitor, is estimated at $53.3 billion or roughly 25.5% of total U.S. venture capital deal value in. </w:t>
      </w:r>
    </w:p>
    <w:p>
      <w:pPr>
        <w:pStyle w:val="TextBody"/>
        <w:bidi w:val="0"/>
        <w:spacing w:before="220" w:after="283"/>
        <w:jc w:val="center"/>
        <w:rPr>
          <w:rFonts w:ascii="Times New Roman" w:hAnsi="Times New Roman"/>
          <w:sz w:val="20"/>
          <w:bdr w:val="single" w:sz="4" w:space="1" w:color="000000"/>
        </w:rPr>
      </w:pPr>
      <w:r>
        <w:rPr>
          <w:rFonts w:ascii="Times New Roman" w:hAnsi="Times New Roman"/>
          <w:b/>
          <w:color w:val="000000"/>
          <w:sz w:val="20"/>
          <w:bdr w:val="single" w:sz="4" w:space="1" w:color="000000"/>
        </w:rPr>
        <w:t>Annual Venture Capital Activity — Deal Volume ($ in billions) and Deal Count</w:t>
      </w:r>
      <w:r>
        <w:rPr>
          <w:rFonts w:ascii="Times New Roman" w:hAnsi="Times New Roman"/>
          <w:color w:val="000000"/>
          <w:sz w:val="20"/>
          <w:bdr w:val="single" w:sz="4" w:space="1" w:color="000000"/>
        </w:rPr>
        <w:t xml:space="preserve"> </w:t>
      </w:r>
    </w:p>
    <w:p>
      <w:pPr>
        <w:pStyle w:val="TextBody"/>
        <w:bidi w:val="0"/>
        <w:spacing w:before="160" w:after="283"/>
        <w:jc w:val="center"/>
        <w:rPr>
          <w:bdr w:val="single" w:sz="4" w:space="1" w:color="000000"/>
        </w:rPr>
      </w:pPr>
      <w:r>
        <w:rPr>
          <w:bdr w:val="single" w:sz="4" w:space="1" w:color="000000"/>
        </w:rPr>
        <w:drawing>
          <wp:inline distT="0" distB="0" distL="0" distR="0">
            <wp:extent cx="4695825" cy="22955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17"/>
                    <a:stretch>
                      <a:fillRect/>
                    </a:stretch>
                  </pic:blipFill>
                  <pic:spPr bwMode="auto">
                    <a:xfrm>
                      <a:off x="0" y="0"/>
                      <a:ext cx="4695825" cy="2295525"/>
                    </a:xfrm>
                    <a:prstGeom prst="rect">
                      <a:avLst/>
                    </a:prstGeom>
                  </pic:spPr>
                </pic:pic>
              </a:graphicData>
            </a:graphic>
          </wp:inline>
        </w:drawing>
      </w:r>
    </w:p>
    <w:p>
      <w:pPr>
        <w:pStyle w:val="TextBody"/>
        <w:pBdr>
          <w:bottom w:val="single" w:sz="5" w:space="1" w:color="000000"/>
        </w:pBdr>
        <w:bidi w:val="0"/>
        <w:jc w:val="left"/>
        <w:rPr>
          <w:bdr w:val="single" w:sz="4" w:space="1" w:color="000000"/>
        </w:rPr>
      </w:pPr>
      <w:r>
        <w:rPr>
          <w:bdr w:val="single" w:sz="4" w:space="1" w:color="000000"/>
        </w:rPr>
        <w:t> </w:t>
      </w:r>
    </w:p>
    <w:p>
      <w:pPr>
        <w:pStyle w:val="TextBody"/>
        <w:bidi w:val="0"/>
        <w:spacing w:before="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Source: Pitchbook-NVCA Venture Monitor data, Q4 2024. </w:t>
      </w:r>
    </w:p>
    <w:p>
      <w:pPr>
        <w:pStyle w:val="TextBody"/>
        <w:bidi w:val="0"/>
        <w:spacing w:before="14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Growing pool of target companies</w:t>
      </w:r>
      <w:r>
        <w:rPr>
          <w:rFonts w:ascii="Times New Roman" w:hAnsi="Times New Roman"/>
          <w:color w:val="000000"/>
          <w:sz w:val="20"/>
          <w:bdr w:val="single" w:sz="4" w:space="1" w:color="000000"/>
        </w:rPr>
        <w:t xml:space="preserve">: The time from initial venture capital investment to transaction exit of such investment, either by an initial public offering or merger and acquisition transaction, compressed slightly over the last couple of years but increased in 2024. According to the Pitchbook-NVCA Q4 2024 Venture Monitor, in 2024 the average number of years from initial venture investment to initial public offering of a U.S. venture capital-backed company was 6.3 years, and the average number of years from initial venture investment to merger and acquisition transaction was 4.6 years. Exit transactions are a small proportion of companies financed by venture capital each year. As a result, the pool of target companies has grown larger with increased demand for private capital. </w:t>
      </w:r>
    </w:p>
    <w:p>
      <w:pPr>
        <w:pStyle w:val="TextBody"/>
        <w:bidi w:val="0"/>
        <w:spacing w:before="22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Highly Fragmented, Underserved Market with High Barriers to Entry</w:t>
      </w:r>
      <w:r>
        <w:rPr>
          <w:rFonts w:ascii="Times New Roman" w:hAnsi="Times New Roman"/>
          <w:color w:val="000000"/>
          <w:sz w:val="20"/>
          <w:bdr w:val="single" w:sz="4" w:space="1" w:color="000000"/>
        </w:rPr>
        <w:t xml:space="preserve"> </w:t>
      </w:r>
    </w:p>
    <w:p>
      <w:pPr>
        <w:pStyle w:val="TextBody"/>
        <w:bidi w:val="0"/>
        <w:spacing w:before="160" w:after="260"/>
        <w:jc w:val="both"/>
        <w:rPr>
          <w:rFonts w:ascii="Times New Roman" w:hAnsi="Times New Roman"/>
          <w:sz w:val="20"/>
          <w:bdr w:val="single" w:sz="4" w:space="1" w:color="000000"/>
        </w:rPr>
      </w:pPr>
      <w:r>
        <w:rPr>
          <w:rFonts w:ascii="Times New Roman" w:hAnsi="Times New Roman"/>
          <w:i/>
          <w:color w:val="000000"/>
          <w:sz w:val="20"/>
          <w:bdr w:val="single" w:sz="4" w:space="1" w:color="000000"/>
        </w:rPr>
        <w:t>Unfulfilled demand and limited competition</w:t>
      </w:r>
      <w:r>
        <w:rPr>
          <w:rFonts w:ascii="Times New Roman" w:hAnsi="Times New Roman"/>
          <w:color w:val="000000"/>
          <w:sz w:val="20"/>
          <w:bdr w:val="single" w:sz="4" w:space="1" w:color="000000"/>
        </w:rPr>
        <w:t xml:space="preserve">: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 </w:t>
      </w:r>
    </w:p>
    <w:p>
      <w:pPr>
        <w:pStyle w:val="TextBody"/>
        <w:bidi w:val="0"/>
        <w:jc w:val="both"/>
        <w:rPr>
          <w:rFonts w:ascii="Times New Roman" w:hAnsi="Times New Roman"/>
          <w:sz w:val="20"/>
          <w:bdr w:val="single" w:sz="4" w:space="1" w:color="000000"/>
        </w:rPr>
      </w:pPr>
      <w:r>
        <w:rPr>
          <w:rFonts w:ascii="Times New Roman" w:hAnsi="Times New Roman"/>
          <w:b/>
          <w:color w:val="000000"/>
          <w:sz w:val="20"/>
          <w:bdr w:val="single" w:sz="4" w:space="1" w:color="000000"/>
        </w:rPr>
        <w:t>Competitive Advantages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we are well positioned to address the market for growth lending in a manner that will result in a competitive advantage over other established sponsored growth lenders. We believe our competitive strengths and key differentiators include: </w:t>
      </w:r>
    </w:p>
    <w:p>
      <w:pPr>
        <w:pStyle w:val="TextBody"/>
        <w:bidi w:val="0"/>
        <w:spacing w:before="22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Experienced, Proven Management Team Supported by a Deep Bench of Dedicated Investment Professionals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senior investment professionals of Runway Growth Capital have over 23 years of experience as venture capitalists and lenders who have developed a disciplined, repeatable approach to investing and managing investments in high-growth potential businesses. We believe that the experience, relationships and disciplined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investment and risk management processes of Runway Growth Capital’s investment professionals are a competitive advantage for us.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President and Chief Executive Officer, David Spreng, who is also the founder, Co-Chief Executive Officer and Chief Investment Officer of Runway Growth Capital,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and Chief Operating Officer, Thomas Raterman, has more than 30 years of corporate finance, investment banking, private equity and financial executive management experience with rapidly growing entrepreneurial companies. Greg Greifeld, Managing Director, Deputy Chief Investment Officer and Head of Credit at Runway Growth Capital, has over 16 years of lending, venture capital, and investment management experience.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Runway Growth Capital has a broad team of professionals focused on every aspect of the investment lifecycle. Runway Growth Capital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 </w:t>
      </w:r>
    </w:p>
    <w:p>
      <w:pPr>
        <w:pStyle w:val="TextBody"/>
        <w:bidi w:val="0"/>
        <w:spacing w:before="1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Provide Capital to Robust, High-Growth Venture-backed Companies</w:t>
      </w:r>
      <w:r>
        <w:rPr>
          <w:rFonts w:ascii="Times New Roman" w:hAnsi="Times New Roman"/>
          <w:color w:val="000000"/>
          <w:sz w:val="20"/>
          <w:bdr w:val="single" w:sz="4" w:space="1" w:color="000000"/>
        </w:rPr>
        <w:t xml:space="preserve">. We believe we are favorably positioned within the venture 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2024 Pitchbook NVCA Venture Monitor and Pitchbook-NVCA industry classifications, venture capital deal volume for technology totaled approximately $183.8 billion in 2024, representing a 12.0% CAGR from 2014 to 2024. Venture capital deal volume for life science totaled approximately $36.3 billion in 2024, representing a 9.6% CAGR from 2014 to 2024. We believe companies within these industries can often be characterized as having asset-light business models, attractive recurring revenue streams and strong growth trajectories.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invest across industries to diversify risk and deliver more stable returns. The investment professionals at Runway Growth Capital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Robust Disciplined Investment Process and Credit Analysis</w:t>
      </w:r>
      <w:r>
        <w:rPr>
          <w:rFonts w:ascii="Times New Roman" w:hAnsi="Times New Roman"/>
          <w:color w:val="000000"/>
          <w:sz w:val="20"/>
          <w:bdr w:val="single" w:sz="4" w:space="1" w:color="000000"/>
        </w:rPr>
        <w:t xml:space="preserve">. Runway Growth Capital’s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believe the focused and disciplined approach that Runway Growth Capital applies to our lending strategy enables us to deliver strong, consistent returns to our investors. As of September 30, 2024, our debt portfolio is 98.6% first lien senior secured. Of our $2.2 billion total funded commitments since inception, our cumulative gross loss rate, as a percentage of total commitments since inception, has been 0.88% and our net losses, as a percentage of total commitments since inception, has been 0.71%. On average, our portfolio companies have raised $132.7 million of equity proceeds relative to our average loan commitment size of $41.3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Proprietary Risk Analytics Return Optimization</w:t>
      </w:r>
      <w:r>
        <w:rPr>
          <w:rFonts w:ascii="Times New Roman" w:hAnsi="Times New Roman"/>
          <w:color w:val="000000"/>
          <w:sz w:val="20"/>
          <w:bdr w:val="single" w:sz="4" w:space="1" w:color="000000"/>
        </w:rPr>
        <w:t xml:space="preserve">. Over the past 20 years, Runway Growth Capital’s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Flexible, Opportunity-Specific Pricing and Structure</w:t>
      </w:r>
      <w:r>
        <w:rPr>
          <w:rFonts w:ascii="Times New Roman" w:hAnsi="Times New Roman"/>
          <w:color w:val="000000"/>
          <w:sz w:val="20"/>
          <w:bdr w:val="single" w:sz="4" w:space="1" w:color="000000"/>
        </w:rPr>
        <w:t xml:space="preserve">. Runway Growth Capital’s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(“EBITDA”) but have been unable to access sufficient capital to fund current growth opportunities. We believe that gaining a comprehensive picture of an opportunity based on Runway Growth Capital’s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 </w:t>
      </w:r>
    </w:p>
    <w:p>
      <w:pPr>
        <w:pStyle w:val="TextBody"/>
        <w:bidi w:val="0"/>
        <w:spacing w:before="16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Strong Reputation and Deep Relationships</w:t>
      </w:r>
      <w:r>
        <w:rPr>
          <w:rFonts w:ascii="Times New Roman" w:hAnsi="Times New Roman"/>
          <w:color w:val="000000"/>
          <w:sz w:val="20"/>
          <w:bdr w:val="single" w:sz="4" w:space="1" w:color="000000"/>
        </w:rPr>
        <w:t xml:space="preserve">. Runway Growth Capital’s senior investment professionals enjoy reputations as innovative thought leaders, ingrained in the fabric of the venture community. Runway Growth Capital’s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Runway Growth Capital’s senior investment professionals also have established a network of relationships over two decades with various venture capital firms, venture banks, institutional investors, entrepreneurs and other venture capital market participants, which has allowed Runway Growth Capital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 </w:t>
      </w:r>
    </w:p>
    <w:p>
      <w:pPr>
        <w:pStyle w:val="TextBody"/>
        <w:bidi w:val="0"/>
        <w:spacing w:before="20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Use of Leverage</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a BDC, we are generally required to meet an asset coverage ratio, defined under the 1940 Act as the ratio of our gross assets (less all liabilities and indebtedness not represented by senior securities) to our outstanding senior securities, equal to 200% (or 150% if certain conditions are met) after each issuance of senior securities. On October 28, 2021, the Board approved a proposal that permits us to reduce our asset coverage ratio to 150%. On June 16, 2022, our stockholders approved the reduced asset coverage ratio at our 2022 annual meeting of stockholders. The reduced asset coverage ratio of 150% became effective upon receiving stockholder approval. </w:t>
      </w:r>
    </w:p>
    <w:p>
      <w:pPr>
        <w:pStyle w:val="TextBody"/>
        <w:bidi w:val="0"/>
        <w:spacing w:before="20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Credit Facility</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September 30, 2024,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Borrowings under the Credit Facility bear interest on a per annum rate equal to the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w:t>
      </w:r>
    </w:p>
    <w:p>
      <w:pPr>
        <w:pStyle w:val="TextBody"/>
        <w:bidi w:val="0"/>
        <w:spacing w:before="14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For the three and nine months ended September 30, 2024, the weighted average outstanding principal balance was $273.0 million and $248.1 million, respectively, and the weighted average effective interest rate was 8.55% and 8.54%, respectively. For the three and nine months ended September 30, 2023, the weighted average outstanding principal balance was $250.3 million and $298.0 million, respectively, and the weighted average effective interest rate was 8.07% and 7.99%, respectively. </w:t>
      </w:r>
    </w:p>
    <w:p>
      <w:pPr>
        <w:pStyle w:val="TextBody"/>
        <w:bidi w:val="0"/>
        <w:spacing w:before="20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2026 Notes</w:t>
      </w:r>
      <w:r>
        <w:rPr>
          <w:rFonts w:ascii="Times New Roman" w:hAnsi="Times New Roman"/>
          <w:color w:val="000000"/>
          <w:sz w:val="20"/>
          <w:bdr w:val="single" w:sz="4" w:space="1" w:color="000000"/>
        </w:rPr>
        <w:t xml:space="preserve"> </w:t>
      </w:r>
    </w:p>
    <w:p>
      <w:pPr>
        <w:pStyle w:val="TextBody"/>
        <w:bidi w:val="0"/>
        <w:spacing w:before="160" w:after="280"/>
        <w:jc w:val="both"/>
        <w:rPr>
          <w:rFonts w:ascii="Times New Roman" w:hAnsi="Times New Roman"/>
          <w:sz w:val="20"/>
          <w:bdr w:val="single" w:sz="4" w:space="1" w:color="000000"/>
        </w:rPr>
      </w:pPr>
      <w:r>
        <w:rPr>
          <w:rFonts w:ascii="Times New Roman" w:hAnsi="Times New Roman"/>
          <w:color w:val="000000"/>
          <w:sz w:val="20"/>
          <w:bdr w:val="single" w:sz="4" w:space="1" w:color="00000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hAnsi="Times New Roman"/>
          <w:i/>
          <w:color w:val="000000"/>
          <w:sz w:val="20"/>
          <w:bdr w:val="single" w:sz="4" w:space="1" w:color="000000"/>
        </w:rPr>
        <w:t>pari passu</w:t>
      </w:r>
      <w:r>
        <w:rPr>
          <w:rFonts w:ascii="Times New Roman" w:hAnsi="Times New Roman"/>
          <w:color w:val="000000"/>
          <w:sz w:val="20"/>
          <w:bdr w:val="single" w:sz="4" w:space="1" w:color="000000"/>
        </w:rPr>
        <w:t xml:space="preserve"> with all outstanding and future unsecured unsubordinated indebtedness issued by the Company. </w:t>
      </w:r>
    </w:p>
    <w:p>
      <w:pPr>
        <w:pStyle w:val="TextBody"/>
        <w:bidi w:val="0"/>
        <w:jc w:val="both"/>
        <w:rPr>
          <w:rFonts w:ascii="Times New Roman" w:hAnsi="Times New Roman"/>
          <w:sz w:val="20"/>
          <w:bdr w:val="single" w:sz="4" w:space="1" w:color="000000"/>
        </w:rPr>
      </w:pPr>
      <w:r>
        <w:rPr>
          <w:rFonts w:ascii="Times New Roman" w:hAnsi="Times New Roman"/>
          <w:i/>
          <w:color w:val="000000"/>
          <w:sz w:val="20"/>
          <w:bdr w:val="single" w:sz="4" w:space="1" w:color="000000"/>
        </w:rPr>
        <w:t>December 2026 Notes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December 2026 Notes bore an interest rate of 4.25% per year and were due on December 10, 2026, unless redeemed, purchased or prepaid prior to such date by the Company or its affiliates in accordance with their terms. The April 2026 Notes were repaid in full on January 21, 2026 and are no longer outstanding. Interest on the December 2026 Notes was be due semiannually in arrears on June 10 and December 10 of each year.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December 2026 Notes issuance were $1.0 million, and were capitalized and deferred. As of September 30, 2024 and December 31, 2023, unamortized deferred financing costs related to the December 2026 Notes were $0.4 million and $0.6 million, respectively. </w:t>
      </w:r>
    </w:p>
    <w:p>
      <w:pPr>
        <w:pStyle w:val="TextBody"/>
        <w:bidi w:val="0"/>
        <w:spacing w:before="24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April 2026 Notes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April 2026 Notes issuance were $0.4 million, and were capitalized and deferred. As of September 30, 2024 and December 31, 2023, unamortized deferred financing costs related to the April 2026 Notes were $0.2 million and $0.3 million, respectively. </w:t>
      </w:r>
    </w:p>
    <w:p>
      <w:pPr>
        <w:pStyle w:val="TextBody"/>
        <w:bidi w:val="0"/>
        <w:spacing w:before="240" w:after="283"/>
        <w:jc w:val="both"/>
        <w:rPr>
          <w:rFonts w:ascii="Times New Roman" w:hAnsi="Times New Roman"/>
          <w:sz w:val="20"/>
          <w:bdr w:val="single" w:sz="4" w:space="1" w:color="000000"/>
        </w:rPr>
      </w:pPr>
      <w:r>
        <w:rPr>
          <w:rFonts w:ascii="Times New Roman" w:hAnsi="Times New Roman"/>
          <w:b/>
          <w:i/>
          <w:color w:val="000000"/>
          <w:sz w:val="20"/>
          <w:bdr w:val="single" w:sz="4" w:space="1" w:color="000000"/>
        </w:rPr>
        <w:t>2027 Notes</w:t>
      </w:r>
      <w:r>
        <w:rPr>
          <w:rFonts w:ascii="Times New Roman" w:hAnsi="Times New Roman"/>
          <w:color w:val="000000"/>
          <w:sz w:val="20"/>
          <w:bdr w:val="single" w:sz="4" w:space="1" w:color="000000"/>
        </w:rPr>
        <w:t xml:space="preserve"> </w:t>
      </w:r>
    </w:p>
    <w:p>
      <w:pPr>
        <w:pStyle w:val="TextBody"/>
        <w:bidi w:val="0"/>
        <w:spacing w:before="24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July 2027 Notes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ind w:left="0" w:right="0" w:hanging="0"/>
        <w:jc w:val="left"/>
        <w:rPr>
          <w:rFonts w:ascii="Times New Roman" w:hAnsi="Times New Roman"/>
          <w:sz w:val="20"/>
          <w:bdr w:val="single" w:sz="4" w:space="1" w:color="000000"/>
        </w:rPr>
      </w:pPr>
      <w:r>
        <w:rPr>
          <w:rFonts w:ascii="Times New Roman" w:hAnsi="Times New Roman"/>
          <w:color w:val="000000"/>
          <w:sz w:val="20"/>
          <w:bdr w:val="single" w:sz="4" w:space="1" w:color="000000"/>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i/>
          <w:color w:val="000000"/>
          <w:sz w:val="20"/>
          <w:bdr w:val="single" w:sz="4" w:space="1" w:color="000000"/>
        </w:rPr>
        <w:t>pari passu</w:t>
      </w:r>
      <w:r>
        <w:rPr>
          <w:rFonts w:ascii="Times New Roman" w:hAnsi="Times New Roman"/>
          <w:color w:val="000000"/>
          <w:sz w:val="20"/>
          <w:bdr w:val="single" w:sz="4" w:space="1" w:color="000000"/>
        </w:rPr>
        <w:t xml:space="preserve"> with the Company’s existing and future unsecured, unsubordinated indebtedness. </w:t>
      </w:r>
    </w:p>
    <w:p>
      <w:pPr>
        <w:pStyle w:val="TextBody"/>
        <w:bidi w:val="0"/>
        <w:spacing w:before="160" w:after="28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July 2027 Notes issuance, including the underwriter’s discount and commissions, were $2.7 million, and were capitalized and deferred. As of September 30, 2024 and December 31, 2023, unamortized deferred financing costs related to the July 2027 Notes were $1.5 million and $1.9 million, respectively. </w:t>
      </w:r>
    </w:p>
    <w:p>
      <w:pPr>
        <w:pStyle w:val="TextBody"/>
        <w:bidi w:val="0"/>
        <w:jc w:val="left"/>
        <w:rPr>
          <w:rFonts w:ascii="Times New Roman" w:hAnsi="Times New Roman"/>
          <w:sz w:val="20"/>
          <w:bdr w:val="single" w:sz="4" w:space="1" w:color="000000"/>
        </w:rPr>
      </w:pPr>
      <w:r>
        <w:rPr>
          <w:rFonts w:ascii="Times New Roman" w:hAnsi="Times New Roman"/>
          <w:i/>
          <w:color w:val="000000"/>
          <w:sz w:val="20"/>
          <w:bdr w:val="single" w:sz="4" w:space="1" w:color="000000"/>
        </w:rPr>
        <w:t>August 2027 Notes</w:t>
      </w:r>
      <w:r>
        <w:rPr>
          <w:rFonts w:ascii="Times New Roman" w:hAnsi="Times New Roman"/>
          <w:color w:val="000000"/>
          <w:sz w:val="20"/>
          <w:bdr w:val="single" w:sz="4" w:space="1" w:color="000000"/>
        </w:rPr>
        <w:t xml:space="preserve">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August 31, 2022, the Company issued and sold a private debt offering of $20.0 million in aggregate principal amount of 7.00% interest-bearing unsecured Series 2022A Senior Notes due 2027 (the “August 2027 Notes”) to HCM Master Fund Limited. </w:t>
      </w:r>
    </w:p>
    <w:p>
      <w:pPr>
        <w:pStyle w:val="TextBody"/>
        <w:bidi w:val="0"/>
        <w:spacing w:before="160" w:after="283"/>
        <w:jc w:val="left"/>
        <w:rPr>
          <w:rFonts w:ascii="Times New Roman" w:hAnsi="Times New Roman"/>
          <w:sz w:val="20"/>
          <w:bdr w:val="single" w:sz="4" w:space="1" w:color="000000"/>
        </w:rPr>
      </w:pPr>
      <w:r>
        <w:rPr>
          <w:rFonts w:ascii="Times New Roman" w:hAnsi="Times New Roman"/>
          <w:color w:val="000000"/>
          <w:sz w:val="20"/>
          <w:bdr w:val="single" w:sz="4" w:space="1" w:color="000000"/>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 w:hAnsi="Times New Roman"/>
          <w:i/>
          <w:color w:val="000000"/>
          <w:sz w:val="20"/>
          <w:bdr w:val="single" w:sz="4" w:space="1" w:color="000000"/>
        </w:rPr>
        <w:t>pari passu</w:t>
      </w:r>
      <w:r>
        <w:rPr>
          <w:rFonts w:ascii="Times New Roman" w:hAnsi="Times New Roman"/>
          <w:color w:val="000000"/>
          <w:sz w:val="20"/>
          <w:bdr w:val="single" w:sz="4" w:space="1" w:color="000000"/>
        </w:rPr>
        <w:t xml:space="preserve"> with all outstanding and future unsecured unsubordinated indebtedness issued by the Company.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August 2027 Notes issuance were $0.7 million, and were capitalized and deferred. As of September 30, 2024 and December 31, 2023, unamortized deferred financing costs related to the August 2027 Notes were $0.4 million and $0.5 million, respectively. </w:t>
      </w:r>
    </w:p>
    <w:p>
      <w:pPr>
        <w:pStyle w:val="TextBody"/>
        <w:bidi w:val="0"/>
        <w:spacing w:before="240" w:after="283"/>
        <w:jc w:val="left"/>
        <w:rPr>
          <w:rFonts w:ascii="Times New Roman" w:hAnsi="Times New Roman"/>
          <w:sz w:val="20"/>
          <w:bdr w:val="single" w:sz="4" w:space="1" w:color="000000"/>
        </w:rPr>
      </w:pPr>
      <w:r>
        <w:rPr>
          <w:rFonts w:ascii="Times New Roman" w:hAnsi="Times New Roman"/>
          <w:i/>
          <w:color w:val="000000"/>
          <w:sz w:val="20"/>
          <w:bdr w:val="single" w:sz="4" w:space="1" w:color="000000"/>
        </w:rPr>
        <w:t>December 2027 Notes</w:t>
      </w:r>
      <w:r>
        <w:rPr>
          <w:rFonts w:ascii="Times New Roman" w:hAnsi="Times New Roman"/>
          <w:color w:val="000000"/>
          <w:sz w:val="20"/>
          <w:bdr w:val="single" w:sz="4" w:space="1" w:color="000000"/>
        </w:rPr>
        <w:t xml:space="preserve">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December 7, 2022, the Company issued and sold $51.75 million in aggregate principal amount of 8.00% interest-bearing unsecured Notes due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 </w:t>
      </w:r>
    </w:p>
    <w:p>
      <w:pPr>
        <w:pStyle w:val="TextBody"/>
        <w:bidi w:val="0"/>
        <w:spacing w:before="160" w:after="283"/>
        <w:jc w:val="left"/>
        <w:rPr>
          <w:rFonts w:ascii="Times New Roman" w:hAnsi="Times New Roman"/>
          <w:sz w:val="20"/>
          <w:bdr w:val="single" w:sz="4" w:space="1" w:color="000000"/>
        </w:rPr>
      </w:pPr>
      <w:r>
        <w:rPr>
          <w:rFonts w:ascii="Times New Roman" w:hAnsi="Times New Roman"/>
          <w:color w:val="000000"/>
          <w:sz w:val="20"/>
          <w:bdr w:val="single" w:sz="4" w:space="1" w:color="000000"/>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hAnsi="Times New Roman"/>
          <w:i/>
          <w:color w:val="000000"/>
          <w:sz w:val="20"/>
          <w:bdr w:val="single" w:sz="4" w:space="1" w:color="000000"/>
        </w:rPr>
        <w:t>pari passu</w:t>
      </w:r>
      <w:r>
        <w:rPr>
          <w:rFonts w:ascii="Times New Roman" w:hAnsi="Times New Roman"/>
          <w:color w:val="000000"/>
          <w:sz w:val="20"/>
          <w:bdr w:val="single" w:sz="4" w:space="1" w:color="000000"/>
        </w:rPr>
        <w:t xml:space="preserve"> with the Company’s existing and future unsecured, unsubordinated indebtedness. </w:t>
      </w:r>
    </w:p>
    <w:p>
      <w:pPr>
        <w:pStyle w:val="TextBody"/>
        <w:bidi w:val="0"/>
        <w:spacing w:before="160" w:after="283"/>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Aggregate costs in connection with the December 2027 Notes issuance, including the underwriter’s discount and commissions, were $1.9 million, and were capitalized and deferred. As of September 30, 2024 and December 31, 2023, unamortized deferred financing costs related to the December 2027 Notes were $1.2 million and $1.5 million, respectively.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center"/>
        <w:rPr>
          <w:rFonts w:ascii="Times New Roman" w:hAnsi="Times New Roman"/>
          <w:sz w:val="20"/>
          <w:bdr w:val="single" w:sz="4" w:space="1" w:color="000000"/>
        </w:rPr>
      </w:pPr>
      <w:bookmarkStart w:id="17" w:name="tfae"/>
      <w:bookmarkEnd w:id="17"/>
      <w:r>
        <w:rPr>
          <w:rFonts w:ascii="Times New Roman" w:hAnsi="Times New Roman"/>
          <w:b/>
          <w:color w:val="000000"/>
          <w:sz w:val="20"/>
          <w:bdr w:val="single" w:sz="4" w:space="1" w:color="000000"/>
        </w:rPr>
        <w:t>FEES AND EXPENSES</w:t>
      </w:r>
      <w:r>
        <w:rPr>
          <w:rFonts w:ascii="Times New Roman" w:hAnsi="Times New Roman"/>
          <w:color w:val="000000"/>
          <w:sz w:val="20"/>
          <w:bdr w:val="single" w:sz="4" w:space="1" w:color="000000"/>
        </w:rPr>
        <w:t xml:space="preserve"> </w:t>
      </w:r>
    </w:p>
    <w:p>
      <w:pPr>
        <w:pStyle w:val="TextBody"/>
        <w:bidi w:val="0"/>
        <w:spacing w:before="160" w:after="16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 </w:t>
      </w:r>
    </w:p>
    <w:tbl>
      <w:tblPr>
        <w:tblW w:w="8500" w:type="dxa"/>
        <w:jc w:val="left"/>
        <w:tblInd w:w="0" w:type="dxa"/>
        <w:tblLayout w:type="fixed"/>
        <w:tblCellMar>
          <w:top w:w="28" w:type="dxa"/>
          <w:left w:w="28" w:type="dxa"/>
          <w:bottom w:w="28" w:type="dxa"/>
          <w:right w:w="28" w:type="dxa"/>
        </w:tblCellMar>
      </w:tblPr>
      <w:tblGrid>
        <w:gridCol w:w="6601"/>
        <w:gridCol w:w="346"/>
        <w:gridCol w:w="571"/>
        <w:gridCol w:w="271"/>
        <w:gridCol w:w="711"/>
      </w:tblGrid>
      <w:tr>
        <w:trPr/>
        <w:tc>
          <w:tcPr>
            <w:tcW w:w="6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 transaction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load (as a percentage of offering price)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(1)</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Offering expenses (as a percentage of offering price)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(2)</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reinvestment plan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0" w:right="0" w:firstLine="200"/>
              <w:jc w:val="left"/>
              <w:rPr>
                <w:rFonts w:ascii="Times New Roman" w:hAnsi="Times New Roman"/>
                <w:color w:val="000000"/>
                <w:sz w:val="13"/>
              </w:rPr>
            </w:pPr>
            <w:r>
              <w:rPr>
                <w:rFonts w:ascii="Times New Roman" w:hAnsi="Times New Roman"/>
                <w:color w:val="000000"/>
                <w:sz w:val="13"/>
              </w:rPr>
              <w:t>(3)</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 transaction expenses (as a percentage of offering price)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expenses (as a percentage of net assets attributable to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Management Fee payable under the Advisory Agreement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(4) (8)</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Incentive Fee payable under the Advisory Agreement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(5) (8)</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payments and fees paid on borrowed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color w:val="000000"/>
                <w:sz w:val="13"/>
              </w:rPr>
            </w:pPr>
            <w:r>
              <w:rPr>
                <w:rFonts w:ascii="Times New Roman" w:hAnsi="Times New Roman"/>
                <w:color w:val="000000"/>
                <w:sz w:val="13"/>
              </w:rPr>
              <w:t>(6) (8)</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0" w:right="0" w:firstLine="200"/>
              <w:jc w:val="left"/>
              <w:rPr>
                <w:rFonts w:ascii="Times New Roman" w:hAnsi="Times New Roman"/>
                <w:color w:val="000000"/>
                <w:sz w:val="13"/>
              </w:rPr>
            </w:pPr>
            <w:r>
              <w:rPr>
                <w:rFonts w:ascii="Times New Roman" w:hAnsi="Times New Roman"/>
                <w:color w:val="000000"/>
                <w:sz w:val="13"/>
              </w:rPr>
              <w:t>(7) (8)</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annual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5" w:space="1" w:color="000000"/>
        </w:pBdr>
        <w:bidi w:val="0"/>
        <w:spacing w:before="200" w:after="283"/>
        <w:jc w:val="left"/>
        <w:rPr>
          <w:bdr w:val="single" w:sz="4" w:space="1" w:color="000000"/>
        </w:rPr>
      </w:pPr>
      <w:r>
        <w:rPr>
          <w:bdr w:val="single" w:sz="4" w:space="1" w:color="000000"/>
        </w:rPr>
        <w:t>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 In the event that the securities are sold to or through underwriters, a related prospectus supplement will disclose the applicable sales load (underwriting discount or commission).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(2) A related prospectus supplement will disclose the estimated amount of offering expenses, the offering price and the estimated amount of offering expenses borne by the Company as a percentage of the offering price. </w:t>
      </w:r>
    </w:p>
    <w:p>
      <w:pPr>
        <w:pStyle w:val="TextBody"/>
        <w:bidi w:val="0"/>
        <w:spacing w:before="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(3) The expenses of the dividend reinvestment plan are included in “other expenses” in the table above. For additional information, see “</w:t>
      </w:r>
      <w:r>
        <w:rPr>
          <w:rFonts w:ascii="Times New Roman" w:hAnsi="Times New Roman"/>
          <w:i/>
          <w:color w:val="000000"/>
          <w:sz w:val="20"/>
          <w:bdr w:val="single" w:sz="4" w:space="1" w:color="000000"/>
        </w:rPr>
        <w:t>Dividend Reinvestment Plan</w:t>
      </w:r>
      <w:r>
        <w:rPr>
          <w:rFonts w:ascii="Times New Roman" w:hAnsi="Times New Roman"/>
          <w:color w:val="000000"/>
          <w:sz w:val="20"/>
          <w:bdr w:val="single" w:sz="4" w:space="1" w:color="000000"/>
        </w:rPr>
        <w:t xml:space="preserve">.” </w:t>
      </w:r>
    </w:p>
    <w:p>
      <w:pPr>
        <w:pStyle w:val="TextBody"/>
        <w:bidi w:val="0"/>
        <w:spacing w:before="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(4) Assumes the base management fee will be an amount equal to 0.375% (1.50% annualized) of our average daily Gross Assets during the most recently completed calendar quarter.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t>
      </w:r>
    </w:p>
    <w:p>
      <w:pPr>
        <w:pStyle w:val="TextBody"/>
        <w:bidi w:val="0"/>
        <w:spacing w:before="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(5) The incentive fee, which provides Runway Growth Capital with a share of the income that Runway Growth Capital generates for us, consists of an Investment Income Fee and a Capital Gains Fee. </w:t>
      </w:r>
    </w:p>
    <w:p>
      <w:pPr>
        <w:pStyle w:val="TextBody"/>
        <w:bidi w:val="0"/>
        <w:spacing w:before="60" w:after="120"/>
        <w:jc w:val="both"/>
        <w:rPr>
          <w:bdr w:val="single" w:sz="4" w:space="1" w:color="000000"/>
        </w:rPr>
      </w:pPr>
      <w:r>
        <w:rPr>
          <w:color w:val="000000"/>
          <w:bdr w:val="single" w:sz="4" w:space="1" w:color="000000"/>
        </w:rPr>
        <w:t xml:space="preserve">  </w:t>
      </w:r>
      <w:r>
        <w:rPr>
          <w:rFonts w:ascii="Times New Roman" w:hAnsi="Times New Roman"/>
          <w:color w:val="000000"/>
          <w:sz w:val="20"/>
          <w:bdr w:val="single" w:sz="4" w:space="1" w:color="000000"/>
        </w:rPr>
        <w:t xml:space="preserve">Under the Income Incentive Fee, we pay Runway Growth Capital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Runway Growth Capital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Runway Growth Capital with 20.0% of our Pre-Incentive Fee net investment income as if a hurdle did not apply if our Pre-Incentive Fee net investment income exceeds 2.667% in any calendar quarter (10.668% annualized)); and (3) 20.0% of the amount of our Pre-Incentive Fee net investment income, if any, that exceeds 2.667% in any calendar quarter (10.668% annualized) payable to Runway Growth Capital (once the hurdle is reached and the catch-up is achieved, 20.0% of all Pre-Incentive Fee net investment income thereafter is allocated to Runway Growth Capital). </w:t>
      </w:r>
    </w:p>
    <w:p>
      <w:pPr>
        <w:pStyle w:val="TextBody"/>
        <w:bidi w:val="0"/>
        <w:jc w:val="both"/>
        <w:rPr>
          <w:bdr w:val="single" w:sz="4" w:space="1" w:color="000000"/>
        </w:rPr>
      </w:pPr>
      <w:r>
        <w:rPr>
          <w:color w:val="000000"/>
          <w:bdr w:val="single" w:sz="4" w:space="1" w:color="000000"/>
        </w:rPr>
        <w:t xml:space="preserve">  </w:t>
      </w:r>
      <w:r>
        <w:rPr>
          <w:rFonts w:ascii="Times New Roman" w:hAnsi="Times New Roman"/>
          <w:color w:val="000000"/>
          <w:sz w:val="20"/>
          <w:bdr w:val="single" w:sz="4" w:space="1" w:color="000000"/>
        </w:rPr>
        <w:t>Under the Capital Gains Fee, we will pay Runway Growth Capital,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8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(6) Interest payments on borrowed funds represents an estimate of our annualized interest expense based on borrowings under the Credit Agreement and the 2026 Notes and 2027 Notes. The assumed weighted average interest rate on our total debt outstanding was 7.41%. Assumes we have on average $362 million outstanding under the Credit Agreement and average $240 million in aggregate principal amount of the 2026 Notes and 2027 Notes outstanding. We may borrow additional funds from time to time to make investments to the extent we determine that the economic situation is conducive to doing so. We may also issue additional debt securities or preferred stock, subject to our compliance with applicable requirements under the 1940 Act. </w:t>
      </w:r>
    </w:p>
    <w:p>
      <w:pPr>
        <w:pStyle w:val="TextBody"/>
        <w:bidi w:val="0"/>
        <w:spacing w:before="8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(7) Includes our overhead expenses, such as payments under the Administration Agreement for certain expenses incurred by the Adviser. See “</w:t>
      </w:r>
      <w:r>
        <w:rPr>
          <w:rFonts w:ascii="Times New Roman" w:hAnsi="Times New Roman"/>
          <w:i/>
          <w:color w:val="000000"/>
          <w:sz w:val="20"/>
          <w:bdr w:val="single" w:sz="4" w:space="1" w:color="000000"/>
        </w:rPr>
        <w:t>Management and Other Agreements.”</w:t>
      </w:r>
      <w:r>
        <w:rPr>
          <w:rFonts w:ascii="Times New Roman" w:hAnsi="Times New Roman"/>
          <w:color w:val="000000"/>
          <w:sz w:val="20"/>
          <w:bdr w:val="single" w:sz="4" w:space="1" w:color="000000"/>
        </w:rPr>
        <w:t xml:space="preserve"> We based these expenses on estimated amounts for the current fiscal year. </w:t>
      </w:r>
    </w:p>
    <w:p>
      <w:pPr>
        <w:pStyle w:val="TextBody"/>
        <w:bidi w:val="0"/>
        <w:spacing w:before="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(8) Estimated. </w:t>
      </w:r>
    </w:p>
    <w:p>
      <w:pPr>
        <w:pStyle w:val="TextBody"/>
        <w:bidi w:val="0"/>
        <w:spacing w:before="240" w:after="283"/>
        <w:jc w:val="left"/>
        <w:rPr>
          <w:rFonts w:ascii="Times New Roman" w:hAnsi="Times New Roman"/>
          <w:sz w:val="20"/>
          <w:bdr w:val="single" w:sz="4" w:space="1" w:color="000000"/>
        </w:rPr>
      </w:pPr>
      <w:r>
        <w:rPr>
          <w:rFonts w:ascii="Times New Roman" w:hAnsi="Times New Roman"/>
          <w:b/>
          <w:color w:val="000000"/>
          <w:sz w:val="20"/>
          <w:bdr w:val="single" w:sz="4" w:space="1" w:color="000000"/>
        </w:rPr>
        <w:t>Example</w:t>
      </w:r>
      <w:r>
        <w:rPr>
          <w:rFonts w:ascii="Times New Roman" w:hAnsi="Times New Roman"/>
          <w:color w:val="000000"/>
          <w:sz w:val="20"/>
          <w:bdr w:val="single" w:sz="4" w:space="1" w:color="000000"/>
        </w:rPr>
        <w:t xml:space="preserve"> </w:t>
      </w:r>
    </w:p>
    <w:p>
      <w:pPr>
        <w:pStyle w:val="TextBody"/>
        <w:bidi w:val="0"/>
        <w:spacing w:before="160" w:after="16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 </w:t>
      </w:r>
    </w:p>
    <w:tbl>
      <w:tblPr>
        <w:tblW w:w="10205" w:type="dxa"/>
        <w:jc w:val="left"/>
        <w:tblInd w:w="0" w:type="dxa"/>
        <w:tblLayout w:type="fixed"/>
        <w:tblCellMar>
          <w:top w:w="28" w:type="dxa"/>
          <w:left w:w="28" w:type="dxa"/>
          <w:bottom w:w="28" w:type="dxa"/>
          <w:right w:w="28" w:type="dxa"/>
        </w:tblCellMar>
      </w:tblPr>
      <w:tblGrid>
        <w:gridCol w:w="1459"/>
        <w:gridCol w:w="1320"/>
        <w:gridCol w:w="1320"/>
        <w:gridCol w:w="1320"/>
        <w:gridCol w:w="1345"/>
        <w:gridCol w:w="271"/>
        <w:gridCol w:w="421"/>
        <w:gridCol w:w="146"/>
        <w:gridCol w:w="278"/>
        <w:gridCol w:w="432"/>
        <w:gridCol w:w="146"/>
        <w:gridCol w:w="278"/>
        <w:gridCol w:w="432"/>
        <w:gridCol w:w="146"/>
        <w:gridCol w:w="271"/>
        <w:gridCol w:w="620"/>
      </w:tblGrid>
      <w:tr>
        <w:trPr/>
        <w:tc>
          <w:tcPr>
            <w:tcW w:w="145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 years</w:t>
            </w:r>
          </w:p>
        </w:tc>
      </w:tr>
      <w:tr>
        <w:trPr/>
        <w:tc>
          <w:tcPr>
            <w:tcW w:w="67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would pay the following expenses on a $1,000 investment, assuming a 5% annual return from realized capital gains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r>
    </w:tbl>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w:t>
      </w:r>
      <w:r>
        <w:rPr>
          <w:rFonts w:ascii="Times New Roman" w:hAnsi="Times New Roman"/>
          <w:i/>
          <w:color w:val="000000"/>
          <w:sz w:val="20"/>
          <w:bdr w:val="single" w:sz="4" w:space="1" w:color="000000"/>
        </w:rPr>
        <w:t>Dividend Reinvestment Plan”</w:t>
      </w:r>
      <w:r>
        <w:rPr>
          <w:rFonts w:ascii="Times New Roman" w:hAnsi="Times New Roman"/>
          <w:color w:val="000000"/>
          <w:sz w:val="20"/>
          <w:bdr w:val="single" w:sz="4" w:space="1" w:color="000000"/>
        </w:rPr>
        <w:t xml:space="preserve"> for additional information regarding our dividend reinvestment plan.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center"/>
        <w:rPr>
          <w:rFonts w:ascii="Times New Roman" w:hAnsi="Times New Roman"/>
          <w:sz w:val="20"/>
          <w:bdr w:val="single" w:sz="4" w:space="1" w:color="000000"/>
        </w:rPr>
      </w:pPr>
      <w:bookmarkStart w:id="18" w:name="tfihi"/>
      <w:bookmarkEnd w:id="18"/>
      <w:r>
        <w:rPr>
          <w:rFonts w:ascii="Times New Roman" w:hAnsi="Times New Roman"/>
          <w:b/>
          <w:color w:val="000000"/>
          <w:sz w:val="20"/>
          <w:bdr w:val="single" w:sz="4" w:space="1" w:color="000000"/>
        </w:rPr>
        <w:t>FINANCIAL HIGHLIGHTS</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Information regarding our financial highlights is incorporated by reference herein from our most recent Annual Report on Form 10-K and our most recent Quarterly Report on Form 10-Q.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20" w:after="283"/>
        <w:ind w:left="0" w:right="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ind w:left="0" w:right="0" w:hanging="0"/>
        <w:jc w:val="center"/>
        <w:rPr>
          <w:rFonts w:ascii="Times New Roman" w:hAnsi="Times New Roman"/>
          <w:sz w:val="20"/>
          <w:bdr w:val="single" w:sz="4" w:space="1" w:color="000000"/>
        </w:rPr>
      </w:pPr>
      <w:bookmarkStart w:id="19" w:name="tsfia"/>
      <w:bookmarkEnd w:id="19"/>
      <w:r>
        <w:rPr>
          <w:rFonts w:ascii="Times New Roman" w:hAnsi="Times New Roman"/>
          <w:b/>
          <w:color w:val="000000"/>
          <w:sz w:val="20"/>
          <w:bdr w:val="single" w:sz="4" w:space="1" w:color="000000"/>
        </w:rPr>
        <w:t>SELECTED FINANCIAL INFORMATION AND OTHER DATA</w:t>
      </w:r>
      <w:r>
        <w:rPr>
          <w:rFonts w:ascii="Times New Roman" w:hAnsi="Times New Roman"/>
          <w:color w:val="000000"/>
          <w:sz w:val="20"/>
          <w:bdr w:val="single" w:sz="4" w:space="1" w:color="000000"/>
        </w:rPr>
        <w:t xml:space="preserve"> </w:t>
      </w:r>
    </w:p>
    <w:p>
      <w:pPr>
        <w:pStyle w:val="TextBody"/>
        <w:bidi w:val="0"/>
        <w:spacing w:before="160" w:after="283"/>
        <w:jc w:val="both"/>
        <w:rPr>
          <w:rFonts w:ascii="Times New Roman" w:hAnsi="Times New Roman"/>
          <w:sz w:val="20"/>
          <w:bdr w:val="single" w:sz="4" w:space="1" w:color="000000"/>
        </w:rPr>
      </w:pPr>
      <w:r>
        <w:rPr>
          <w:rFonts w:ascii="Times New Roman" w:hAnsi="Times New Roman"/>
          <w:color w:val="000000"/>
          <w:sz w:val="20"/>
          <w:bdr w:val="single" w:sz="4" w:space="1" w:color="000000"/>
        </w:rPr>
        <w:t>The information in “</w:t>
      </w:r>
      <w:r>
        <w:rPr>
          <w:rFonts w:ascii="Times New Roman" w:hAnsi="Times New Roman"/>
          <w:i/>
          <w:color w:val="000000"/>
          <w:sz w:val="20"/>
          <w:bdr w:val="single" w:sz="4" w:space="1" w:color="000000"/>
        </w:rPr>
        <w:t>Item 8. Consolidated Financial Statements and Supplementary Data</w:t>
      </w:r>
      <w:r>
        <w:rPr>
          <w:rFonts w:ascii="Times New Roman" w:hAnsi="Times New Roman"/>
          <w:color w:val="000000"/>
          <w:sz w:val="20"/>
          <w:bdr w:val="single" w:sz="4" w:space="1" w:color="000000"/>
        </w:rPr>
        <w:t>,” including the financial notes related thereto, of our most recent Annual Report on Form 10-K, and in “</w:t>
      </w:r>
      <w:r>
        <w:rPr>
          <w:rFonts w:ascii="Times New Roman" w:hAnsi="Times New Roman"/>
          <w:i/>
          <w:color w:val="000000"/>
          <w:sz w:val="20"/>
          <w:bdr w:val="single" w:sz="4" w:space="1" w:color="000000"/>
        </w:rPr>
        <w:t>Item 1. Consolidated Statements of Assets and Liabilities</w:t>
      </w:r>
      <w:r>
        <w:rPr>
          <w:rFonts w:ascii="Times New Roman" w:hAnsi="Times New Roman"/>
          <w:color w:val="000000"/>
          <w:sz w:val="20"/>
          <w:bdr w:val="single" w:sz="4" w:space="1" w:color="000000"/>
        </w:rPr>
        <w:t>” and “</w:t>
      </w:r>
      <w:r>
        <w:rPr>
          <w:rFonts w:ascii="Times New Roman" w:hAnsi="Times New Roman"/>
          <w:i/>
          <w:color w:val="000000"/>
          <w:sz w:val="20"/>
          <w:bdr w:val="single" w:sz="4" w:space="1" w:color="000000"/>
        </w:rPr>
        <w:t>Item 1. Consolidated Statements of Operations</w:t>
      </w:r>
      <w:r>
        <w:rPr>
          <w:rFonts w:ascii="Times New Roman" w:hAnsi="Times New Roman"/>
          <w:color w:val="000000"/>
          <w:sz w:val="20"/>
          <w:bdr w:val="single" w:sz="4" w:space="1" w:color="000000"/>
        </w:rPr>
        <w:t>,” including the financial notes related thereto, of our most recent Quarterly Report on Form 10-Q are incorporated by reference herein.</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20" w:name="trifa"/>
      <w:bookmarkEnd w:id="20"/>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w:t>
      </w:r>
      <w:r>
        <w:rPr>
          <w:rFonts w:ascii="Times New Roman" w:hAnsi="Times New Roman"/>
          <w:i/>
          <w:color w:val="000000"/>
          <w:sz w:val="20"/>
        </w:rPr>
        <w:t>Part I, Item IA. Risk Factors</w:t>
      </w:r>
      <w:r>
        <w:rPr>
          <w:rFonts w:ascii="Times New Roman" w:hAnsi="Times New Roman"/>
          <w:color w:val="000000"/>
          <w:sz w:val="20"/>
        </w:rPr>
        <w:t>” in our most recent Annual Report on Form 10-K, which is incorporated by reference herein in their entirety, “</w:t>
      </w:r>
      <w:r>
        <w:rPr>
          <w:rFonts w:ascii="Times New Roman" w:hAnsi="Times New Roman"/>
          <w:i/>
          <w:color w:val="000000"/>
          <w:sz w:val="20"/>
        </w:rPr>
        <w:t>Part II, Item 1A. Risk Factors</w:t>
      </w:r>
      <w:r>
        <w:rPr>
          <w:rFonts w:ascii="Times New Roman" w:hAnsi="Times New Roman"/>
          <w:color w:val="000000"/>
          <w:sz w:val="20"/>
        </w:rPr>
        <w:t>” in our most recent Quarterly Report on Form 10-Q, which is incorporated by reference herein in their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business, operations and performance. If any of the following events occur, our business, financial condition and results of operations could be materially and adversely affected. In such case, you may lose all or part of your investment. Please also read carefully the section titled “</w:t>
      </w:r>
      <w:r>
        <w:rPr>
          <w:rFonts w:ascii="Times New Roman" w:hAnsi="Times New Roman"/>
          <w:i/>
          <w:color w:val="000000"/>
          <w:sz w:val="20"/>
        </w:rPr>
        <w:t>Special Note Regarding Forward-Looking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17 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21" w:name="tsnrf"/>
      <w:bookmarkEnd w:id="21"/>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changes in political, economic or industry conditions, the interest rate environment or conditions affecting the financial and capital markets;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 economic downturn or recession could impair our portfolio companies’ ability to continue to operate, which could lead to the loss of some or all of our investments in such portfolio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such an economic downturn could disproportionately impact the companies that we intend to target for investment, potentially causing us to experience a decrease in investment opportunities and diminished demand for capital from these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 contraction of available credit and/or an inability to access the equity markets that could impair our lending and investment activities;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interest rate volatility that could adversely affect our results, particularly to the extent that we use leverage as part of our investment strategy;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impact of interest and inflation rates on our business prospects and the prospects of our portfolio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our business prospects and the prospects of our portfolio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our contractual arrangements and relationships with third parties;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ability of our portfolio companies to achieve their objectives;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competition with other entities and our affiliates for investment opportunities;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speculative and illiquid nature of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use of borrowed money to finance a portion of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adequacy of our financing sources and working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loss of key personnel and members of our management team;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timing of cash flows, if any, from the operations of our portfolio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our external investment adviser, Runway Growth Capital LLC, to locate suitable investments for us and to monitor and administer our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ability of Runway Growth Capital LLC to attract and retain highly talented professionals;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ability to qualify and maintain our qualification as a RIC under Subchapter M of the Code, and as a BDC;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occurrence of a disaster, such as a cyber-attack against us or against a third party that has access to our data or networks, a natural catastrophe, an industrial accident, failure of our disaster-recovery systems, or consequential employee error;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effect of legal, tax, and regulatory changes;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other risks, uncertainties and other factors we identify under “Risk Factors” in Part I, Item 1A of our most recent Annual Report on Form 10-K and in our other filings with the SEC.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the forward-looking statements based on those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18 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assumptions also could be inaccurate. In light of these and other uncertainties, the inclusion of a projection or forward-looking statement in this prospectus, the prospectus supplement, any documents we may incorporate by reference herein, and any related free writing prospectus should not be regarded as a representation by us that our plans and objectives will be achieved. These forward-looking statements apply only as of the dates of this prospectus, the prospectus supplement, any documents we may incorporate by reference herein, and any related free writing prospectus. Moreover, we assume no duty and do not undertake to update the forward-looking statements. Because we are an investment company, the forward-looking statements and projections contained in this prospectus are excluded from the safe harbor protection provided by Section 21E of the Exchange Act.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19 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22" w:name="tuop"/>
      <w:bookmarkEnd w:id="22"/>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strategy, repayment of any outstanding indebtedness, paying operating expenses and other general corporate purposes.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appropriate investment opportunities consistent with our investment objective, but no longer than within six months of any such offerings.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pStyle w:val="TextBody"/>
        <w:bidi w:val="0"/>
        <w:spacing w:before="240" w:after="283"/>
        <w:jc w:val="both"/>
        <w:rPr>
          <w:rFonts w:ascii="Times New Roman" w:hAnsi="Times New Roman"/>
          <w:sz w:val="20"/>
        </w:rPr>
      </w:pPr>
      <w:bookmarkStart w:id="23" w:name="tproc"/>
      <w:bookmarkEnd w:id="23"/>
      <w:r>
        <w:rPr>
          <w:rFonts w:ascii="Times New Roman" w:hAnsi="Times New Roman"/>
          <w:b/>
          <w:color w:val="000000"/>
          <w:sz w:val="20"/>
        </w:rPr>
        <w:t>PRICE RANGE OF COMMON STOCK AND DISTRIBUTIONS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Our common stock began trading on the Nasdaq Global Select Market (“Nasdaq”) on October 21, 2021, under the symbol “RWAY” in connection with our initial public offering of shares of our common stock. See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of our most recent Annual Report on Form 10-K. Shares of BDCs may trade at a market price that is less than the value of the net assets attributable to those shares. The possibility that our shares of common stock will trade at a discount from net asset value (“NAV”) per share or at premiums that are unsustainable over the long term are separate and distinct from the risk that our NAV per share will decrease. It is not possible to predict whether our common stock will trade at, above, or below NAV per share. See “</w:t>
      </w:r>
      <w:r>
        <w:rPr>
          <w:rFonts w:ascii="Times New Roman" w:hAnsi="Times New Roman"/>
          <w:i/>
          <w:color w:val="000000"/>
          <w:sz w:val="20"/>
        </w:rPr>
        <w:t>Item 1A. Risk Factors — Risks Related to an Investment in Our Common Stock</w:t>
      </w:r>
      <w:r>
        <w:rPr>
          <w:rFonts w:ascii="Times New Roman" w:hAnsi="Times New Roman"/>
          <w:color w:val="000000"/>
          <w:sz w:val="20"/>
        </w:rPr>
        <w:t xml:space="preserve">” in our most recent annual report on Form 10-K. On March 17, 2025, the last reported closing sales price of our common stock on the Nasdaq was $10.89 per share, which represented a discount of approximately 18.7% to our NAV per share of $13.39 as of September 30, 2024.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Prior to our initial public offering, the shares of our common stock were offered and sold in transactions exempt from registration under the Securities Act.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following table sets forth the most recent fiscal quarter’s NAV per share of our common stock, the high and low closing sales prices of our common stock, such sales prices as a percentage of NAV per share and quarterly distribution per share.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462"/>
        <w:gridCol w:w="146"/>
        <w:gridCol w:w="267"/>
        <w:gridCol w:w="723"/>
        <w:gridCol w:w="146"/>
        <w:gridCol w:w="226"/>
        <w:gridCol w:w="571"/>
        <w:gridCol w:w="146"/>
        <w:gridCol w:w="211"/>
        <w:gridCol w:w="571"/>
        <w:gridCol w:w="146"/>
        <w:gridCol w:w="1317"/>
        <w:gridCol w:w="679"/>
        <w:gridCol w:w="146"/>
        <w:gridCol w:w="1309"/>
        <w:gridCol w:w="675"/>
        <w:gridCol w:w="146"/>
        <w:gridCol w:w="383"/>
        <w:gridCol w:w="935"/>
      </w:tblGrid>
      <w:tr>
        <w:trPr/>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Net Asset Value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High Sale Price Premium (Discount) to Net Asset Value</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4"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Low Sale Price Premium (Discount) to Net Asset Value</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8"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Cash Dividend Per Share</w:t>
            </w:r>
            <w:r>
              <w:rPr>
                <w:rFonts w:ascii="Times New Roman" w:hAnsi="Times New Roman"/>
                <w:b/>
                <w:color w:val="000000"/>
                <w:sz w:val="13"/>
              </w:rPr>
              <w:t>(3)</w:t>
            </w:r>
          </w:p>
        </w:tc>
      </w:tr>
      <w:tr>
        <w:trPr/>
        <w:tc>
          <w:tcPr>
            <w:tcW w:w="1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4"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8"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 March 17,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r>
      <w:tr>
        <w:trPr/>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r>
      <w:tr>
        <w:trPr/>
        <w:tc>
          <w:tcPr>
            <w:tcW w:w="1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r>
    </w:tbl>
    <w:p>
      <w:pPr>
        <w:pStyle w:val="TextBody"/>
        <w:pBdr>
          <w:bottom w:val="single" w:sz="5" w:space="1" w:color="000000"/>
        </w:pBdr>
        <w:bidi w:val="0"/>
        <w:spacing w:before="120" w:after="283"/>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 Not determined at time of filing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(1) NAV per share is generally determined as of the last day in the relevant quarter and therefore may not reflect the NAV per share on the date of the high and low sales prices. The NAVs shown are based on outstanding shares at the end of each period.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(2) Calculated as the respective high or low closing sales price less net asset value, divided by net asset value (in each case, as of the applicable quarter).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(3) Represents the dividend or distribution declared in the relevant quarter. </w:t>
      </w:r>
    </w:p>
    <w:p>
      <w:pPr>
        <w:pStyle w:val="TextBody"/>
        <w:bidi w:val="0"/>
        <w:spacing w:before="240" w:after="283"/>
        <w:jc w:val="both"/>
        <w:rPr>
          <w:rFonts w:ascii="Times New Roman" w:hAnsi="Times New Roman"/>
          <w:sz w:val="20"/>
        </w:rPr>
      </w:pPr>
      <w:r>
        <w:rPr>
          <w:rFonts w:ascii="Times New Roman" w:hAnsi="Times New Roman"/>
          <w:b/>
          <w:color w:val="000000"/>
          <w:sz w:val="20"/>
        </w:rPr>
        <w:t>Distribution Policy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subject to a nondeductible 4% U.S. federal excise tax on certain of our undistributed income, unless we timely distribute (or are deemed to have timely distributed) an amount equal to the sum 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at least 98% of our ordinary income (not taking into account any capital gains or losses) for the calendar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at least 98.2% of our capital gain net income for a one-year period generally ending on October 31 of the calendar year (unless an election is made by us to use our taxable year);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net ordinary income and capital gain net income that we recognized for preceding years, but were not distributed during such years, and on which we paid no U.S. federal income tax.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w:t>
      </w:r>
      <w:r>
        <w:rPr>
          <w:rFonts w:ascii="Times New Roman" w:hAnsi="Times New Roman"/>
          <w:i/>
          <w:color w:val="000000"/>
          <w:sz w:val="20"/>
        </w:rPr>
        <w:t>Regulation as a Business Development Company — Senior Securities</w:t>
      </w:r>
      <w:r>
        <w:rPr>
          <w:rFonts w:ascii="Times New Roman" w:hAnsi="Times New Roman"/>
          <w:color w:val="000000"/>
          <w:sz w:val="20"/>
        </w:rPr>
        <w:t xml:space="preserve">.” In our most recent Annual Report on Form 10-K.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left"/>
        <w:rPr>
          <w:rFonts w:ascii="Times New Roman" w:hAnsi="Times New Roman"/>
          <w:sz w:val="20"/>
        </w:rPr>
      </w:pPr>
      <w:r>
        <w:rPr>
          <w:rFonts w:ascii="Times New Roman" w:hAnsi="Times New Roman"/>
          <w:b/>
          <w:color w:val="000000"/>
          <w:sz w:val="20"/>
        </w:rPr>
        <w:t>Dividends Declared</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nine months period ended September 30, 2024: </w:t>
      </w:r>
    </w:p>
    <w:tbl>
      <w:tblPr>
        <w:tblW w:w="6292" w:type="dxa"/>
        <w:jc w:val="left"/>
        <w:tblInd w:w="0" w:type="dxa"/>
        <w:tblLayout w:type="fixed"/>
        <w:tblCellMar>
          <w:top w:w="28" w:type="dxa"/>
          <w:left w:w="28" w:type="dxa"/>
          <w:bottom w:w="28" w:type="dxa"/>
          <w:right w:w="28" w:type="dxa"/>
        </w:tblCellMar>
      </w:tblPr>
      <w:tblGrid>
        <w:gridCol w:w="1501"/>
        <w:gridCol w:w="146"/>
        <w:gridCol w:w="1591"/>
        <w:gridCol w:w="146"/>
        <w:gridCol w:w="1591"/>
        <w:gridCol w:w="146"/>
        <w:gridCol w:w="117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12,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26,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2023: </w:t>
      </w:r>
    </w:p>
    <w:tbl>
      <w:tblPr>
        <w:tblW w:w="6652" w:type="dxa"/>
        <w:jc w:val="left"/>
        <w:tblInd w:w="0" w:type="dxa"/>
        <w:tblLayout w:type="fixed"/>
        <w:tblCellMar>
          <w:top w:w="28" w:type="dxa"/>
          <w:left w:w="28" w:type="dxa"/>
          <w:bottom w:w="28" w:type="dxa"/>
          <w:right w:w="28" w:type="dxa"/>
        </w:tblCellMar>
      </w:tblPr>
      <w:tblGrid>
        <w:gridCol w:w="1621"/>
        <w:gridCol w:w="146"/>
        <w:gridCol w:w="1711"/>
        <w:gridCol w:w="146"/>
        <w:gridCol w:w="1711"/>
        <w:gridCol w:w="146"/>
        <w:gridCol w:w="117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23,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7,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15,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15,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28,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2022: </w:t>
      </w:r>
    </w:p>
    <w:tbl>
      <w:tblPr>
        <w:tblW w:w="6532" w:type="dxa"/>
        <w:jc w:val="left"/>
        <w:tblInd w:w="0" w:type="dxa"/>
        <w:tblLayout w:type="fixed"/>
        <w:tblCellMar>
          <w:top w:w="28" w:type="dxa"/>
          <w:left w:w="28" w:type="dxa"/>
          <w:bottom w:w="28" w:type="dxa"/>
          <w:right w:w="28" w:type="dxa"/>
        </w:tblCellMar>
      </w:tblPr>
      <w:tblGrid>
        <w:gridCol w:w="1606"/>
        <w:gridCol w:w="146"/>
        <w:gridCol w:w="1606"/>
        <w:gridCol w:w="146"/>
        <w:gridCol w:w="1711"/>
        <w:gridCol w:w="146"/>
        <w:gridCol w:w="117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8,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22,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10,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24,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28,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23,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27,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22,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2021: </w:t>
      </w:r>
    </w:p>
    <w:tbl>
      <w:tblPr>
        <w:tblW w:w="6457" w:type="dxa"/>
        <w:jc w:val="left"/>
        <w:tblInd w:w="0" w:type="dxa"/>
        <w:tblLayout w:type="fixed"/>
        <w:tblCellMar>
          <w:top w:w="28" w:type="dxa"/>
          <w:left w:w="28" w:type="dxa"/>
          <w:bottom w:w="28" w:type="dxa"/>
          <w:right w:w="28" w:type="dxa"/>
        </w:tblCellMar>
      </w:tblPr>
      <w:tblGrid>
        <w:gridCol w:w="1531"/>
        <w:gridCol w:w="146"/>
        <w:gridCol w:w="1606"/>
        <w:gridCol w:w="146"/>
        <w:gridCol w:w="1711"/>
        <w:gridCol w:w="146"/>
        <w:gridCol w:w="117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4,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5,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19,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30,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13,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19,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20,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12,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28,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8,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22,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2020: </w:t>
      </w:r>
    </w:p>
    <w:tbl>
      <w:tblPr>
        <w:tblW w:w="6157" w:type="dxa"/>
        <w:jc w:val="left"/>
        <w:tblInd w:w="0" w:type="dxa"/>
        <w:tblLayout w:type="fixed"/>
        <w:tblCellMar>
          <w:top w:w="28" w:type="dxa"/>
          <w:left w:w="28" w:type="dxa"/>
          <w:bottom w:w="28" w:type="dxa"/>
          <w:right w:w="28" w:type="dxa"/>
        </w:tblCellMar>
      </w:tblPr>
      <w:tblGrid>
        <w:gridCol w:w="1426"/>
        <w:gridCol w:w="146"/>
        <w:gridCol w:w="1411"/>
        <w:gridCol w:w="146"/>
        <w:gridCol w:w="1711"/>
        <w:gridCol w:w="146"/>
        <w:gridCol w:w="117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8,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20,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12,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r>
    </w:tbl>
    <w:p>
      <w:pPr>
        <w:pStyle w:val="TextBody"/>
        <w:bidi w:val="0"/>
        <w:spacing w:before="220" w:after="16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2019: </w:t>
      </w:r>
    </w:p>
    <w:tbl>
      <w:tblPr>
        <w:tblW w:w="6787" w:type="dxa"/>
        <w:jc w:val="left"/>
        <w:tblInd w:w="0" w:type="dxa"/>
        <w:tblLayout w:type="fixed"/>
        <w:tblCellMar>
          <w:top w:w="28" w:type="dxa"/>
          <w:left w:w="28" w:type="dxa"/>
          <w:bottom w:w="28" w:type="dxa"/>
          <w:right w:w="28" w:type="dxa"/>
        </w:tblCellMar>
      </w:tblPr>
      <w:tblGrid>
        <w:gridCol w:w="1741"/>
        <w:gridCol w:w="146"/>
        <w:gridCol w:w="1726"/>
        <w:gridCol w:w="146"/>
        <w:gridCol w:w="1711"/>
        <w:gridCol w:w="146"/>
        <w:gridCol w:w="11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26,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22,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7,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16,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8,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26,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27,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30,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12,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9,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10,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23,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r>
    </w:tbl>
    <w:p>
      <w:pPr>
        <w:pStyle w:val="TextBody"/>
        <w:bidi w:val="0"/>
        <w:spacing w:before="220" w:after="160"/>
        <w:jc w:val="both"/>
        <w:rPr>
          <w:rFonts w:ascii="Times New Roman" w:hAnsi="Times New Roman"/>
          <w:color w:val="000000"/>
          <w:sz w:val="20"/>
        </w:rPr>
      </w:pPr>
      <w:r>
        <w:rPr>
          <w:rFonts w:ascii="Times New Roman" w:hAnsi="Times New Roman"/>
          <w:color w:val="000000"/>
          <w:sz w:val="20"/>
        </w:rPr>
        <w:t xml:space="preserve">The following table reflects the distributions declared on shares of our common stock during the year ended December 31, 2018: </w:t>
      </w:r>
    </w:p>
    <w:tbl>
      <w:tblPr>
        <w:tblW w:w="6457" w:type="dxa"/>
        <w:jc w:val="left"/>
        <w:tblInd w:w="0" w:type="dxa"/>
        <w:tblLayout w:type="fixed"/>
        <w:tblCellMar>
          <w:top w:w="28" w:type="dxa"/>
          <w:left w:w="28" w:type="dxa"/>
          <w:bottom w:w="28" w:type="dxa"/>
          <w:right w:w="28" w:type="dxa"/>
        </w:tblCellMar>
      </w:tblPr>
      <w:tblGrid>
        <w:gridCol w:w="1621"/>
        <w:gridCol w:w="146"/>
        <w:gridCol w:w="1516"/>
        <w:gridCol w:w="146"/>
        <w:gridCol w:w="1711"/>
        <w:gridCol w:w="146"/>
        <w:gridCol w:w="117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Distribution</w:t>
              <w:br/>
              <w:t>per Share</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3,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15,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26,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15,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November 15,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r>
    </w:tbl>
    <w:p>
      <w:pPr>
        <w:pStyle w:val="TextBody"/>
        <w:bidi w:val="0"/>
        <w:spacing w:before="300" w:after="283"/>
        <w:jc w:val="both"/>
        <w:rPr>
          <w:rFonts w:ascii="Times New Roman" w:hAnsi="Times New Roman"/>
          <w:sz w:val="20"/>
        </w:rPr>
      </w:pPr>
      <w:r>
        <w:rPr>
          <w:rFonts w:ascii="Times New Roman" w:hAnsi="Times New Roman"/>
          <w:i/>
          <w:color w:val="000000"/>
          <w:sz w:val="20"/>
        </w:rPr>
        <w:t>Dividend Reinvestment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We have adopted an “opt out” dividend reinvestment plan for our stockholders. See “</w:t>
      </w:r>
      <w:r>
        <w:rPr>
          <w:rFonts w:ascii="Times New Roman" w:hAnsi="Times New Roman"/>
          <w:i/>
          <w:color w:val="000000"/>
          <w:sz w:val="20"/>
        </w:rPr>
        <w:t>Dividend Reinvestment Plan.”</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24" w:name="tmadi"/>
      <w:bookmarkEnd w:id="24"/>
      <w:r>
        <w:rPr>
          <w:rFonts w:ascii="Times New Roman" w:hAnsi="Times New Roman"/>
          <w:b/>
          <w:color w:val="000000"/>
          <w:sz w:val="20"/>
        </w:rPr>
        <w:t>MANAGEMENT’S DISCUSSION AND ANALYSIS OF FINANCIAL CONDITION AND</w:t>
        <w:br/>
        <w:t>RESULTS OF OPERATIONS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contained in “</w:t>
      </w:r>
      <w:r>
        <w:rPr>
          <w:rFonts w:ascii="Times New Roman" w:hAnsi="Times New Roman"/>
          <w:i/>
          <w:color w:val="000000"/>
          <w:sz w:val="20"/>
        </w:rPr>
        <w:t>Part II, Item 7. Management’s Discussion and Analysis of Financial Condition and Results of Operations</w:t>
      </w:r>
      <w:r>
        <w:rPr>
          <w:rFonts w:ascii="Times New Roman" w:hAnsi="Times New Roman"/>
          <w:color w:val="000000"/>
          <w:sz w:val="20"/>
        </w:rPr>
        <w:t>” of our most recent Annual Report on Form 10-K and in “</w:t>
      </w:r>
      <w:r>
        <w:rPr>
          <w:rFonts w:ascii="Times New Roman" w:hAnsi="Times New Roman"/>
          <w:i/>
          <w:color w:val="000000"/>
          <w:sz w:val="20"/>
        </w:rPr>
        <w:t>Part I, Item 2. Management’s Discussion and Analysis of Financial Condition and Results of Operations</w:t>
      </w:r>
      <w:r>
        <w:rPr>
          <w:rFonts w:ascii="Times New Roman" w:hAnsi="Times New Roman"/>
          <w:color w:val="000000"/>
          <w:sz w:val="20"/>
        </w:rPr>
        <w:t xml:space="preserve">” of our most recent Quarterly Report on Form 10-Q are incorporated by reference herein and should be read in conjunction with, and are qualified by reference to, our financial statements and notes thereto included in such Annual Report on Form 10-K and such Quarterly Report on Form 10-Q, as applicable.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25" w:name="tbus"/>
      <w:bookmarkEnd w:id="25"/>
      <w:r>
        <w:rPr>
          <w:rFonts w:ascii="Times New Roman" w:hAnsi="Times New Roman"/>
          <w:b/>
          <w:color w:val="000000"/>
          <w:sz w:val="20"/>
        </w:rPr>
        <w:t>BUSINESS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contained in “</w:t>
      </w:r>
      <w:r>
        <w:rPr>
          <w:rFonts w:ascii="Times New Roman" w:hAnsi="Times New Roman"/>
          <w:i/>
          <w:color w:val="000000"/>
          <w:sz w:val="20"/>
        </w:rPr>
        <w:t>Part I, Item 1. Business</w:t>
      </w:r>
      <w:r>
        <w:rPr>
          <w:rFonts w:ascii="Times New Roman" w:hAnsi="Times New Roman"/>
          <w:color w:val="000000"/>
          <w:sz w:val="20"/>
        </w:rPr>
        <w:t>,” “</w:t>
      </w:r>
      <w:r>
        <w:rPr>
          <w:rFonts w:ascii="Times New Roman" w:hAnsi="Times New Roman"/>
          <w:i/>
          <w:color w:val="000000"/>
          <w:sz w:val="20"/>
        </w:rPr>
        <w:t>Part I, Item 2. Properties</w:t>
      </w:r>
      <w:r>
        <w:rPr>
          <w:rFonts w:ascii="Times New Roman" w:hAnsi="Times New Roman"/>
          <w:color w:val="000000"/>
          <w:sz w:val="20"/>
        </w:rPr>
        <w:t>” and “</w:t>
      </w:r>
      <w:r>
        <w:rPr>
          <w:rFonts w:ascii="Times New Roman" w:hAnsi="Times New Roman"/>
          <w:i/>
          <w:color w:val="000000"/>
          <w:sz w:val="20"/>
        </w:rPr>
        <w:t>Part I, Item 3. Legal Proceedings</w:t>
      </w:r>
      <w:r>
        <w:rPr>
          <w:rFonts w:ascii="Times New Roman" w:hAnsi="Times New Roman"/>
          <w:color w:val="000000"/>
          <w:sz w:val="20"/>
        </w:rPr>
        <w:t>” of our most recent Annual Report on Form 10-K, and in “</w:t>
      </w:r>
      <w:r>
        <w:rPr>
          <w:rFonts w:ascii="Times New Roman" w:hAnsi="Times New Roman"/>
          <w:i/>
          <w:color w:val="000000"/>
          <w:sz w:val="20"/>
        </w:rPr>
        <w:t>Part II, Item 1. Legal Proceedings</w:t>
      </w:r>
      <w:r>
        <w:rPr>
          <w:rFonts w:ascii="Times New Roman" w:hAnsi="Times New Roman"/>
          <w:color w:val="000000"/>
          <w:sz w:val="20"/>
        </w:rPr>
        <w:t xml:space="preserve">” of our most recent Quarterly Report on Form 10-Q are incorporated herein by reference. </w:t>
      </w:r>
    </w:p>
    <w:p>
      <w:pPr>
        <w:pStyle w:val="TextBody"/>
        <w:bidi w:val="0"/>
        <w:spacing w:before="240" w:after="283"/>
        <w:jc w:val="center"/>
        <w:rPr>
          <w:rFonts w:ascii="Times New Roman" w:hAnsi="Times New Roman"/>
          <w:sz w:val="20"/>
        </w:rPr>
      </w:pPr>
      <w:bookmarkStart w:id="26" w:name="tsese"/>
      <w:bookmarkEnd w:id="26"/>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Information about our senior securities as of the fiscal years ended December 31, 2023, December 31, 2022, December 31, 2021, December 31, 2020, December 31, 2019, and December 31, 2018 is located in </w:t>
      </w:r>
      <w:r>
        <w:rPr>
          <w:rFonts w:ascii="Times New Roman" w:hAnsi="Times New Roman"/>
          <w:i/>
          <w:color w:val="000000"/>
          <w:sz w:val="20"/>
        </w:rPr>
        <w:t>Part II, Item 8, Note 7</w:t>
      </w:r>
      <w:r>
        <w:rPr>
          <w:rFonts w:ascii="Times New Roman" w:hAnsi="Times New Roman"/>
          <w:color w:val="000000"/>
          <w:sz w:val="20"/>
        </w:rPr>
        <w:t> — </w:t>
      </w:r>
      <w:r>
        <w:rPr>
          <w:rFonts w:ascii="Times New Roman" w:hAnsi="Times New Roman"/>
          <w:i/>
          <w:color w:val="000000"/>
          <w:sz w:val="20"/>
        </w:rPr>
        <w:t>Borrowings</w:t>
      </w:r>
      <w:r>
        <w:rPr>
          <w:rFonts w:ascii="Times New Roman" w:hAnsi="Times New Roman"/>
          <w:color w:val="000000"/>
          <w:sz w:val="20"/>
        </w:rPr>
        <w:t xml:space="preserve"> in our most recent annual report on Form 10-K and is incorporated by reference into the Registration Statement of which this prospectus, any accompanying prospectus supplement and any related free writing prospectus is part. </w:t>
      </w:r>
      <w:r>
        <w:rPr>
          <w:rFonts w:ascii="Times New Roman" w:hAnsi="Times New Roman"/>
          <w:i/>
          <w:color w:val="000000"/>
          <w:sz w:val="20"/>
        </w:rPr>
        <w:t>The report of RSM US, LLP</w:t>
      </w:r>
      <w:r>
        <w:rPr>
          <w:rFonts w:ascii="Times New Roman" w:hAnsi="Times New Roman"/>
          <w:color w:val="000000"/>
          <w:sz w:val="20"/>
        </w:rPr>
        <w:t xml:space="preserve">, our independent registered public accounting firm, on the audited consolidated financial statements as of December 31, 2023 and December 31, 2022, which include the senior securities table, is included in our most recent annual report on Form 10-K and is incorporated by reference into the Registration Statement of which this prospectus, any accompanying prospectus supplement and any related free writing prospectus is part.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Information about our senior securities is shown in the following table as of September 30, 2024 (unaudited) and December 31, 2023 (in thousands).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728"/>
        <w:gridCol w:w="146"/>
        <w:gridCol w:w="562"/>
        <w:gridCol w:w="2089"/>
        <w:gridCol w:w="146"/>
        <w:gridCol w:w="339"/>
        <w:gridCol w:w="1089"/>
        <w:gridCol w:w="146"/>
        <w:gridCol w:w="645"/>
        <w:gridCol w:w="1530"/>
        <w:gridCol w:w="146"/>
        <w:gridCol w:w="401"/>
        <w:gridCol w:w="1238"/>
      </w:tblGrid>
      <w:tr>
        <w:trPr/>
        <w:tc>
          <w:tcPr>
            <w:tcW w:w="1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Total Amount Outstanding Exclusive of Treasury Securities</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Asset Coverage per Unit</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Involuntary Liquidating Preference per Unit</w:t>
            </w:r>
            <w:r>
              <w:rPr>
                <w:rFonts w:ascii="Times New Roman" w:hAnsi="Times New Roman"/>
                <w:b/>
                <w:color w:val="000000"/>
                <w:sz w:val="13"/>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Average Market Value per Unit</w:t>
            </w:r>
            <w:r>
              <w:rPr>
                <w:rFonts w:ascii="Times New Roman" w:hAnsi="Times New Roman"/>
                <w:b/>
                <w:color w:val="000000"/>
                <w:sz w:val="13"/>
              </w:rPr>
              <w:t>(4)</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Credit Facility - CIBC </w:t>
            </w:r>
            <w:r>
              <w:rPr>
                <w:rFonts w:ascii="Times New Roman" w:hAnsi="Times New Roman"/>
                <w:b/>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September 30, 2024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N/A</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pBdr>
          <w:bottom w:val="single" w:sz="5" w:space="1" w:color="000000"/>
        </w:pBdr>
        <w:bidi w:val="0"/>
        <w:spacing w:before="200" w:after="283"/>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(1) Total amount of each class of senior securities outstanding.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(2) Asset coverage per unit is the ratio of the carrying value of total assets, less all liabilities excluding indebtedness represented by senior securities in this table to the aggregate amount of senior securities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representing indebtedness. Asset coverage per unit is expressed in terms of dollar amounts per $1,000 of indebtedness and is calculated on a consolidated basis.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(3) The amount to which such class of senior security would be entitled upon the Company’s involuntary liquidation in preference to any security junior to it. The “— “ in this column indicates information that the SEC expressly does not require to be disclosed for certain types of senior securities.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(4) Not applicable because the senior securities are not registered for public trading.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(5) On June 22, 2018, the Company entered into the credit facility with CIBC. On May 31, 2019, in conjunction with securing and entering into the new Credit Facility, the Company terminated the credit facility with CIBC.</w:t>
      </w:r>
    </w:p>
    <w:p>
      <w:pPr>
        <w:pStyle w:val="TextBody"/>
        <w:bidi w:val="0"/>
        <w:jc w:val="center"/>
        <w:rPr>
          <w:rFonts w:ascii="Times New Roman" w:hAnsi="Times New Roman"/>
          <w:sz w:val="20"/>
        </w:rPr>
      </w:pPr>
      <w:bookmarkStart w:id="27" w:name="tpoco"/>
      <w:bookmarkEnd w:id="27"/>
      <w:r>
        <w:rPr>
          <w:rFonts w:ascii="Times New Roman" w:hAnsi="Times New Roman"/>
          <w:b/>
          <w:color w:val="000000"/>
          <w:sz w:val="20"/>
        </w:rPr>
        <w:t>PORTFOLIO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sets forth certain information regarding each of the portfolio companies in which we had a debt or equity investment as of September 30, 2024. We may receive rights to observe the meetings of our portfolio companies’ board of directors. Other than these investments, our only relationship with our portfolio companies are the managerial assistance we may separately provide to our portfolio companies, which services would be ancillary to our investments. As of September 30, 2024, one representative of the Adviser held positions on the board of directors of Snagajob.com, Inc., Coginiti Corp, and Gynesonics, Inc. As of September 30, 2024, the Adviser held responsibility for all managerial responsibilities of Pivot 3, Inc. As of September 30, 2024, with the exception of Pivot3, Inc., we did not “control” any of our portfolio companies as defined in the 1940 Act. As of September 30, 2024, with the exception of Coginiti Corp, and Gynesonics, Inc., we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spacing w:before="0" w:after="160"/>
        <w:jc w:val="center"/>
        <w:rPr>
          <w:rFonts w:ascii="Times New Roman" w:hAnsi="Times New Roman"/>
          <w:sz w:val="20"/>
        </w:rPr>
      </w:pPr>
      <w:r>
        <w:rPr>
          <w:rFonts w:ascii="Times New Roman" w:hAnsi="Times New Roman"/>
          <w:b/>
          <w:color w:val="000000"/>
          <w:sz w:val="20"/>
        </w:rPr>
        <w:t xml:space="preserve">Schedule of Investments </w:t>
        <w:br/>
        <w:t xml:space="preserve">September 30, 2024 </w:t>
        <w:br/>
        <w:t>(In thousands, except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146"/>
        <w:gridCol w:w="976"/>
        <w:gridCol w:w="146"/>
        <w:gridCol w:w="1021"/>
        <w:gridCol w:w="146"/>
        <w:gridCol w:w="901"/>
        <w:gridCol w:w="146"/>
        <w:gridCol w:w="931"/>
        <w:gridCol w:w="146"/>
        <w:gridCol w:w="766"/>
        <w:gridCol w:w="146"/>
        <w:gridCol w:w="766"/>
        <w:gridCol w:w="146"/>
        <w:gridCol w:w="586"/>
        <w:gridCol w:w="146"/>
        <w:gridCol w:w="916"/>
        <w:gridCol w:w="146"/>
        <w:gridCol w:w="146"/>
        <w:gridCol w:w="691"/>
        <w:gridCol w:w="146"/>
        <w:gridCol w:w="146"/>
        <w:gridCol w:w="73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574"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3"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1225 West Burnside Suite 401 Portland, OR 97209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433 California Street Suite 800 8th Floor San Francisco, CA 94104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SOFR+6.25%, 11.25% floor, 2.00% PIK,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1900 9th Street Suite 300 Boulder, CO 80302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SOFR+9.50%, 12.26% floor, 7.50%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 Pennsylvania Avenue North West 6th Floor Washington, DC 20004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9.00% floor, 1.00% PIK, 5.75%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37,872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8300 7th Avenue South Seattle, WA 98108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12.10% floor, 3.83%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1321 Upland Drive Suite 8389 Houston, TX 77043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SOFR+9.00%, 9.50% floor, 10.00% cash cap, 4.50%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- 46.59%*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236,379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450 West 33rd Street Eleventh Floor New York, NY 10001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PRIME+4.50%, 8.50%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2375 East Camelback Road Suite 690 Phoenix, AZ 85016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12.78%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26,186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 Hayward Street Suite E Franklin, MA 02038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SOFR+9.26%, 9.76% floor, 3.4375%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Predactiv, Inc. (fka Sharethis,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3000 El Camino Real Building 4, Suite 200 Palo Alto, CA 94306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SOFR+9.25%, 11.86% floor, 4.00%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10.86% floor, 4.00%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Vesta Payment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5400 Meadows Road, 5th Floor Lake Oswego, OR 97035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5.00%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22,441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- 21.23%*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29 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668" w:type="dxa"/>
        <w:jc w:val="left"/>
        <w:tblInd w:w="0" w:type="dxa"/>
        <w:tblLayout w:type="fixed"/>
        <w:tblCellMar>
          <w:top w:w="28" w:type="dxa"/>
          <w:left w:w="28" w:type="dxa"/>
          <w:bottom w:w="28" w:type="dxa"/>
          <w:right w:w="28" w:type="dxa"/>
        </w:tblCellMar>
      </w:tblPr>
      <w:tblGrid>
        <w:gridCol w:w="161"/>
        <w:gridCol w:w="146"/>
        <w:gridCol w:w="1141"/>
        <w:gridCol w:w="146"/>
        <w:gridCol w:w="1321"/>
        <w:gridCol w:w="146"/>
        <w:gridCol w:w="901"/>
        <w:gridCol w:w="146"/>
        <w:gridCol w:w="931"/>
        <w:gridCol w:w="146"/>
        <w:gridCol w:w="766"/>
        <w:gridCol w:w="146"/>
        <w:gridCol w:w="766"/>
        <w:gridCol w:w="146"/>
        <w:gridCol w:w="586"/>
        <w:gridCol w:w="146"/>
        <w:gridCol w:w="916"/>
        <w:gridCol w:w="146"/>
        <w:gridCol w:w="146"/>
        <w:gridCol w:w="691"/>
        <w:gridCol w:w="146"/>
        <w:gridCol w:w="146"/>
        <w:gridCol w:w="7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503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7700 Old Georgetown Road Suite 300 Bethesda, MD 20814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SOFR+6.85%, 10.89%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46602 Landing Parkway Fremont, CA 94538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PRIME+5.25%, 8.75%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480 Oakmead Parkway Sunnyvale, CA 94085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PRIME+4.90%, 8.90% floor, 4.50%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40,067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8911 South Sandy Parkway Suite 200 Sandy, UT 84070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SOFR+9.75%, 12.26% floor, 10.50%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2320 Faraday Avenue Suite 100 Carlsbad, CA 92008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PRIME+2.70%, 6.70% floor, 2.00% PIK, 4.50%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Schimmelt 2 5611 ZX Eindhoven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10.75% floor, 2.50%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155 Bovet Road Suite 100 San Mateo, CA 94402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SOFR+8.48%, 8.98% floor, 3.95%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25101 Rye Canyon Loop Valencia, CA 91355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9.00% floor, 4.00%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142,085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Milk Street Boston, MA 02109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SOFR+8.50% PIK, 9.00% floor, 2.75%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430 Shotwell Street San Francisco, CA 94110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PRIME+4.75%, 11.00% floor, 11.00% cash cap,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16,210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Paul-Lincke-Ufer 39-40 10999 Berlin, 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8.26% floor, 1.25% PIK,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52,963</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831"/>
        <w:gridCol w:w="146"/>
        <w:gridCol w:w="1008"/>
        <w:gridCol w:w="146"/>
        <w:gridCol w:w="902"/>
        <w:gridCol w:w="146"/>
        <w:gridCol w:w="941"/>
        <w:gridCol w:w="146"/>
        <w:gridCol w:w="767"/>
        <w:gridCol w:w="146"/>
        <w:gridCol w:w="766"/>
        <w:gridCol w:w="146"/>
        <w:gridCol w:w="586"/>
        <w:gridCol w:w="146"/>
        <w:gridCol w:w="925"/>
        <w:gridCol w:w="146"/>
        <w:gridCol w:w="146"/>
        <w:gridCol w:w="826"/>
        <w:gridCol w:w="146"/>
        <w:gridCol w:w="146"/>
        <w:gridCol w:w="74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427"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6"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 Madison Avenue Floor 5 New York, NY 10016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SOFR+4.75%, 6.75% floor, 3.25% PIK, 0.96%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1100 Circle 75 Parkway Suite 800 Atlanta, GA 30339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11.75% floor, 1.60%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215 Park Avenue South 11th Floor New York, NY 10003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10.72%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303 Twin Dolphin Drive, 6th Floor Redwood City, CA 94065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11.07%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39,893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5801 Southwest 6th Avenue Topeka, KS 66636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SOFR+8.00%, 10.00%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- 30.49%*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154,708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222 Merchandise Mart Plaza Suite 228 Chicago, IL 60654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PRIME+6.25%, 12.50% floor, 3.30%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North Pacific Coast Highway Suite 1100 El Segundo, CA 90245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SOFR+4.50%, 6.50% floor, 2.50% PIK, 2.34%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69,333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424 South Woods Mill Road Suite 210 Saint Louis, MO 63017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PRIME+3.25%, 11.75% floor, 2.25%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30,556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410 Albert Street Suite 200 Waterloo, Ontario N2L 3V3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SOFR+8.00%, 8.50% floor, 2.00%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114,390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6"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- 192.73%*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977,845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6"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Northburgh St, London EC1V 0AT, 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Advertising - 0.02%*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653" w:type="dxa"/>
        <w:jc w:val="left"/>
        <w:tblInd w:w="0" w:type="dxa"/>
        <w:tblLayout w:type="fixed"/>
        <w:tblCellMar>
          <w:top w:w="28" w:type="dxa"/>
          <w:left w:w="28" w:type="dxa"/>
          <w:bottom w:w="28" w:type="dxa"/>
          <w:right w:w="28" w:type="dxa"/>
        </w:tblCellMar>
      </w:tblPr>
      <w:tblGrid>
        <w:gridCol w:w="161"/>
        <w:gridCol w:w="146"/>
        <w:gridCol w:w="1141"/>
        <w:gridCol w:w="146"/>
        <w:gridCol w:w="1321"/>
        <w:gridCol w:w="146"/>
        <w:gridCol w:w="901"/>
        <w:gridCol w:w="146"/>
        <w:gridCol w:w="946"/>
        <w:gridCol w:w="146"/>
        <w:gridCol w:w="766"/>
        <w:gridCol w:w="146"/>
        <w:gridCol w:w="766"/>
        <w:gridCol w:w="146"/>
        <w:gridCol w:w="826"/>
        <w:gridCol w:w="146"/>
        <w:gridCol w:w="916"/>
        <w:gridCol w:w="146"/>
        <w:gridCol w:w="146"/>
        <w:gridCol w:w="601"/>
        <w:gridCol w:w="146"/>
        <w:gridCol w:w="146"/>
        <w:gridCol w:w="55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5054"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3"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 Market Street 4th Floor San Francisco, CA 94105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 Pennsylvania Avenue North West 6th Floor Washington, DC 20004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Clyde Road Somerset Franklin Township, NJ 08873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Series A Cumulative Redeemable Perpetual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Milk Street Boston, MA 02109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Paul-Lincke-Ufer 39-40 10999 Berlin, 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224 Airport Parkway Suite 550 San Jose, CA 95110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zSpace,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490 De Guigne Drive, Suite 200 Sunnyvale, CA 94085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6,351</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368" w:type="dxa"/>
        <w:jc w:val="left"/>
        <w:tblInd w:w="0" w:type="dxa"/>
        <w:tblLayout w:type="fixed"/>
        <w:tblCellMar>
          <w:top w:w="28" w:type="dxa"/>
          <w:left w:w="28" w:type="dxa"/>
          <w:bottom w:w="28" w:type="dxa"/>
          <w:right w:w="28" w:type="dxa"/>
        </w:tblCellMar>
      </w:tblPr>
      <w:tblGrid>
        <w:gridCol w:w="161"/>
        <w:gridCol w:w="146"/>
        <w:gridCol w:w="1261"/>
        <w:gridCol w:w="146"/>
        <w:gridCol w:w="1021"/>
        <w:gridCol w:w="146"/>
        <w:gridCol w:w="901"/>
        <w:gridCol w:w="146"/>
        <w:gridCol w:w="931"/>
        <w:gridCol w:w="146"/>
        <w:gridCol w:w="766"/>
        <w:gridCol w:w="146"/>
        <w:gridCol w:w="766"/>
        <w:gridCol w:w="146"/>
        <w:gridCol w:w="826"/>
        <w:gridCol w:w="146"/>
        <w:gridCol w:w="916"/>
        <w:gridCol w:w="146"/>
        <w:gridCol w:w="146"/>
        <w:gridCol w:w="511"/>
        <w:gridCol w:w="146"/>
        <w:gridCol w:w="146"/>
        <w:gridCol w:w="55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85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 Box 811428 Los Angeles, CA 90081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1225 West Burnside Suite 401 Portland, OR 97209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 Market Street 4th Floor San Francisco, CA 94105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433 California Street Suite 800 8th Floor San Francisco, CA 94104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1900 9th Street Suite 300 Boulder, CO 80302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Dtex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19630 Allendale Avenue Suite 2218 Saratoga, CA 95070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C-Prime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C-Prime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 Pennsylvania Avenue North West 6th Floor Washington, DC 20004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8300 7th Avenue South Seattle, WA 98108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8"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- 0.92%*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450 West 33rd Street Eleventh Floor New York, NY 10001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Biotechnology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Mustang Bio,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377 Plantation Street Worcester, MA 01605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TRACON Pharmaceuticals,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4350 La Jolla Village Drive Suite 800 San Diego, CA 92122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Biotechnology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1125"/>
        <w:gridCol w:w="146"/>
        <w:gridCol w:w="1102"/>
        <w:gridCol w:w="146"/>
        <w:gridCol w:w="913"/>
        <w:gridCol w:w="146"/>
        <w:gridCol w:w="962"/>
        <w:gridCol w:w="146"/>
        <w:gridCol w:w="777"/>
        <w:gridCol w:w="146"/>
        <w:gridCol w:w="773"/>
        <w:gridCol w:w="146"/>
        <w:gridCol w:w="691"/>
        <w:gridCol w:w="146"/>
        <w:gridCol w:w="1000"/>
        <w:gridCol w:w="146"/>
        <w:gridCol w:w="146"/>
        <w:gridCol w:w="511"/>
        <w:gridCol w:w="146"/>
        <w:gridCol w:w="148"/>
        <w:gridCol w:w="4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847"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6"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Computer &amp; Electronics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Massdrop,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115 North McCarthy Boulevard Milpitas, CA 95035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Computer &amp; Electronics Retail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2375 East Camelback Road Suite 690 Phoenix, AZ 85016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 Hayward Street Suite E Franklin, MA 02038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Predactiv, Inc. (fka Sharethis,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3000 El Camino Real Building 4, Suite 200 Palo Alto, CA 94306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7700 Old Georgetown Road Suite 300 Bethesda, MD 20814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Epic IO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3463 Lakemont Boulevard Suite 104 Fort Mill, SC 29708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46602 Landing Parkway Fremont, CA 94538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Revelle Aesthetics,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2570 West El Camino Real Suite 310 Mountain View, CA 94040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1144"/>
        <w:gridCol w:w="146"/>
        <w:gridCol w:w="959"/>
        <w:gridCol w:w="146"/>
        <w:gridCol w:w="902"/>
        <w:gridCol w:w="146"/>
        <w:gridCol w:w="933"/>
        <w:gridCol w:w="146"/>
        <w:gridCol w:w="767"/>
        <w:gridCol w:w="146"/>
        <w:gridCol w:w="766"/>
        <w:gridCol w:w="146"/>
        <w:gridCol w:w="826"/>
        <w:gridCol w:w="146"/>
        <w:gridCol w:w="923"/>
        <w:gridCol w:w="146"/>
        <w:gridCol w:w="146"/>
        <w:gridCol w:w="511"/>
        <w:gridCol w:w="146"/>
        <w:gridCol w:w="146"/>
        <w:gridCol w:w="5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683"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2"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6"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Huron Drive Natick, MA 01760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480 Oakmead Parkway Sunnyvale, CA 94085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8911 South Sandy Parkway Suite 200 Sandy, UT 84070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2320 Faraday Avenue Suite 100 Carlsbad, CA 92008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Schimmelt 2 5611 ZX Eindhoven 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155 Bovet Road Suite 100 San Mateo, CA 94402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25101 Rye Canyon Loop Valencia, CA 91355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VERO Biotech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387 Technology Circle North West Suite 125 Atlanta, GA 30313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Kingsgate House, Newbury Road Andover SP10 4DU England, 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Milk Street Boston, MA 02109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6"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1138"/>
        <w:gridCol w:w="146"/>
        <w:gridCol w:w="1049"/>
        <w:gridCol w:w="146"/>
        <w:gridCol w:w="906"/>
        <w:gridCol w:w="146"/>
        <w:gridCol w:w="944"/>
        <w:gridCol w:w="146"/>
        <w:gridCol w:w="771"/>
        <w:gridCol w:w="146"/>
        <w:gridCol w:w="769"/>
        <w:gridCol w:w="146"/>
        <w:gridCol w:w="691"/>
        <w:gridCol w:w="146"/>
        <w:gridCol w:w="952"/>
        <w:gridCol w:w="146"/>
        <w:gridCol w:w="146"/>
        <w:gridCol w:w="511"/>
        <w:gridCol w:w="146"/>
        <w:gridCol w:w="146"/>
        <w:gridCol w:w="5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782"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1"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430 Shotwell Street San Francisco, CA 94110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 Madison Avenue Floor 5 New York, NY 10016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1100 Circle 75 Parkway Suite 800 Atlanta, GA 30339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Fidelis Cybersecurity,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4500 East West, Hwy Bethesda, MD 20814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INRIX,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10210 North East Points Drive Suite 400 Kirkland, WA 98033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Longtail Ad Solutions, Inc. (dba JW Player)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530 7th Avenue Suite 1906 New York, NY 10018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215 Park Avenue South 11th Floor New York, NY 10003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303 Twin Dolphin Drive, 6th Floor Redwood City, CA 94065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222 Merchandise Mart Plaza Suite 228 Chicago, IL 60654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653" w:type="dxa"/>
        <w:jc w:val="left"/>
        <w:tblInd w:w="0" w:type="dxa"/>
        <w:tblLayout w:type="fixed"/>
        <w:tblCellMar>
          <w:top w:w="28" w:type="dxa"/>
          <w:left w:w="28" w:type="dxa"/>
          <w:bottom w:w="28" w:type="dxa"/>
          <w:right w:w="28" w:type="dxa"/>
        </w:tblCellMar>
      </w:tblPr>
      <w:tblGrid>
        <w:gridCol w:w="161"/>
        <w:gridCol w:w="146"/>
        <w:gridCol w:w="931"/>
        <w:gridCol w:w="146"/>
        <w:gridCol w:w="1006"/>
        <w:gridCol w:w="146"/>
        <w:gridCol w:w="901"/>
        <w:gridCol w:w="146"/>
        <w:gridCol w:w="931"/>
        <w:gridCol w:w="146"/>
        <w:gridCol w:w="766"/>
        <w:gridCol w:w="146"/>
        <w:gridCol w:w="766"/>
        <w:gridCol w:w="146"/>
        <w:gridCol w:w="826"/>
        <w:gridCol w:w="146"/>
        <w:gridCol w:w="916"/>
        <w:gridCol w:w="146"/>
        <w:gridCol w:w="146"/>
        <w:gridCol w:w="826"/>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514"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Specialized 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AllClear ID,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9600 Escarpment Boulevard Suite 745 Number 225 Austin, TX 78749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Sesame,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444 Castro Street Suite 500 Mountain View, CA 94041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Specialized Consumer Services - 0.07%*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410 Albert Street Suite 200 Waterloo, Ontario N2L 3V3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424 South Woods Mill Road Suite 210 Saint Louis, MO 63017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Scale Computing,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525 South Meridian Suite 3E Indianapolis, IN 46225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 Hatheway Road Suite 105 Vancouver, WA 98661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- 0.08%*</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14"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- 197.18%*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1,000,405</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161"/>
        <w:gridCol w:w="146"/>
        <w:gridCol w:w="948"/>
        <w:gridCol w:w="146"/>
        <w:gridCol w:w="945"/>
        <w:gridCol w:w="146"/>
        <w:gridCol w:w="904"/>
        <w:gridCol w:w="146"/>
        <w:gridCol w:w="946"/>
        <w:gridCol w:w="146"/>
        <w:gridCol w:w="769"/>
        <w:gridCol w:w="146"/>
        <w:gridCol w:w="767"/>
        <w:gridCol w:w="146"/>
        <w:gridCol w:w="826"/>
        <w:gridCol w:w="146"/>
        <w:gridCol w:w="937"/>
        <w:gridCol w:w="146"/>
        <w:gridCol w:w="146"/>
        <w:gridCol w:w="601"/>
        <w:gridCol w:w="146"/>
        <w:gridCol w:w="146"/>
        <w:gridCol w:w="64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488"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 Chesapeake Drive Redwood City, CA 94063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464 Monterey Avenue Suite E Los Gatos, CA 95030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 Chesapeake Drive Redwood City, CA 94063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3,266,668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32,297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464 Monterey Avenue Suite E Los Gatos, CA 95030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708" w:type="dxa"/>
        <w:jc w:val="left"/>
        <w:tblInd w:w="0" w:type="dxa"/>
        <w:tblLayout w:type="fixed"/>
        <w:tblCellMar>
          <w:top w:w="28" w:type="dxa"/>
          <w:left w:w="28" w:type="dxa"/>
          <w:bottom w:w="28" w:type="dxa"/>
          <w:right w:w="28" w:type="dxa"/>
        </w:tblCellMar>
      </w:tblPr>
      <w:tblGrid>
        <w:gridCol w:w="161"/>
        <w:gridCol w:w="146"/>
        <w:gridCol w:w="1216"/>
        <w:gridCol w:w="146"/>
        <w:gridCol w:w="916"/>
        <w:gridCol w:w="146"/>
        <w:gridCol w:w="901"/>
        <w:gridCol w:w="146"/>
        <w:gridCol w:w="931"/>
        <w:gridCol w:w="146"/>
        <w:gridCol w:w="766"/>
        <w:gridCol w:w="146"/>
        <w:gridCol w:w="766"/>
        <w:gridCol w:w="146"/>
        <w:gridCol w:w="586"/>
        <w:gridCol w:w="146"/>
        <w:gridCol w:w="916"/>
        <w:gridCol w:w="146"/>
        <w:gridCol w:w="196"/>
        <w:gridCol w:w="826"/>
        <w:gridCol w:w="146"/>
        <w:gridCol w:w="19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 Held on a Fully Diluted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 Chesapeake Drive Redwood City, CA 94063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8"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- 11.62%*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205 North Michigan Ave Suite 4200 Chicago IL 60601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205 North Michigan Ave Suite 4200 Chicago IL 60601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8"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09"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- 210.13%*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1,066,100</w:t>
            </w:r>
          </w:p>
        </w:tc>
      </w:tr>
    </w:tbl>
    <w:p>
      <w:pPr>
        <w:pStyle w:val="TextBody"/>
        <w:bidi w:val="0"/>
        <w:spacing w:before="16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39 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Set forth below is a brief description of each portfolio company in which the fair value of our investment represents greater than 5% of our total assets as of September 30, 2024. </w:t>
      </w:r>
    </w:p>
    <w:p>
      <w:pPr>
        <w:pStyle w:val="TextBody"/>
        <w:bidi w:val="0"/>
        <w:spacing w:before="240" w:after="283"/>
        <w:jc w:val="both"/>
        <w:rPr>
          <w:rFonts w:ascii="Times New Roman" w:hAnsi="Times New Roman"/>
          <w:sz w:val="20"/>
        </w:rPr>
      </w:pPr>
      <w:r>
        <w:rPr>
          <w:rFonts w:ascii="Times New Roman" w:hAnsi="Times New Roman"/>
          <w:b/>
          <w:i/>
          <w:color w:val="000000"/>
          <w:sz w:val="20"/>
        </w:rPr>
        <w:t>3PL Central LLC (dba Extensiv)</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3PL Central LLC is a unified cloud-based platform offering fulfillment software to 3PL and eCommerce brands, which provides complete visibility on inventory and order logistics. 3PL Central LLC’s feature set enables customers to manage inventory, automate routine tasks, operate in-house fulfillment, streamline online orders, and connect with its network of partner warehouses. </w:t>
      </w:r>
    </w:p>
    <w:p>
      <w:pPr>
        <w:pStyle w:val="TextBody"/>
        <w:bidi w:val="0"/>
        <w:spacing w:before="240" w:after="283"/>
        <w:jc w:val="both"/>
        <w:rPr>
          <w:rFonts w:ascii="Times New Roman" w:hAnsi="Times New Roman"/>
          <w:sz w:val="20"/>
        </w:rPr>
      </w:pPr>
      <w:r>
        <w:rPr>
          <w:rFonts w:ascii="Times New Roman" w:hAnsi="Times New Roman"/>
          <w:b/>
          <w:i/>
          <w:color w:val="000000"/>
          <w:sz w:val="20"/>
        </w:rPr>
        <w:t>Gynesonics, Inc.</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Gynesonics, Inc., is a healthcare company focused on advancing women’s health by developing minimally invasive, incision-free, uterus-preserving, transcervical technologies for diagnostic and therapeutic applications.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Kin Insurance, Inc.</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Kin Insurance, Inc. (“Kin”) is a direct-to-consumer homeowner’s insurance business. Kin’s end-to-end platform handles all aspects of the business in-house, from lead generation to bind-and-quote / underwriting to claims. </w:t>
      </w:r>
    </w:p>
    <w:p>
      <w:pPr>
        <w:pStyle w:val="TextBody"/>
        <w:bidi w:val="0"/>
        <w:spacing w:before="240" w:after="283"/>
        <w:jc w:val="both"/>
        <w:rPr>
          <w:rFonts w:ascii="Times New Roman" w:hAnsi="Times New Roman"/>
          <w:sz w:val="20"/>
        </w:rPr>
      </w:pPr>
      <w:r>
        <w:rPr>
          <w:rFonts w:ascii="Times New Roman" w:hAnsi="Times New Roman"/>
          <w:b/>
          <w:i/>
          <w:color w:val="000000"/>
          <w:sz w:val="20"/>
        </w:rPr>
        <w:t>VTX Intermediate Holdings, Inc. (dba VertexOne)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VTX Intermediate Holdings, Inc. (“VertexOne”) provides Customer Information System (“CIS”) software and related ancillary services to small-to-mid sized electric, water and gas utility companies. CIS is a mission critical system that manages customer accounts by measuring and reporting consumption, generating billing data, driving billing compliance and feeding all customer-facing activities. Additionally, VertexOne offers a digital customer engagement platform for utility and retail customers that is designed to lower costs to serve customers, improve collections and increase customer satisfaction.</w:t>
      </w:r>
    </w:p>
    <w:p>
      <w:pPr>
        <w:pStyle w:val="TextBody"/>
        <w:bidi w:val="0"/>
        <w:jc w:val="left"/>
        <w:rPr>
          <w:rFonts w:ascii="Times New Roman" w:hAnsi="Times New Roman"/>
          <w:color w:val="000000"/>
          <w:sz w:val="20"/>
        </w:rPr>
      </w:pPr>
      <w:r>
        <w:rPr>
          <w:rFonts w:ascii="Times New Roman" w:hAnsi="Times New Roman"/>
          <w:color w:val="000000"/>
          <w:sz w:val="20"/>
        </w:rPr>
        <w:t>* Value as percentage of net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28" w:name="tman"/>
      <w:bookmarkEnd w:id="28"/>
      <w:r>
        <w:rPr>
          <w:rFonts w:ascii="Times New Roman" w:hAnsi="Times New Roman"/>
          <w:b/>
          <w:color w:val="000000"/>
          <w:sz w:val="20"/>
        </w:rPr>
        <w:t>MANAGEMENT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sections entitled “</w:t>
      </w:r>
      <w:r>
        <w:rPr>
          <w:rFonts w:ascii="Times New Roman" w:hAnsi="Times New Roman"/>
          <w:i/>
          <w:color w:val="000000"/>
          <w:sz w:val="20"/>
        </w:rPr>
        <w:t>Election of Directors</w:t>
      </w:r>
      <w:r>
        <w:rPr>
          <w:rFonts w:ascii="Times New Roman" w:hAnsi="Times New Roman"/>
          <w:color w:val="000000"/>
          <w:sz w:val="20"/>
        </w:rPr>
        <w:t>” and “</w:t>
      </w:r>
      <w:r>
        <w:rPr>
          <w:rFonts w:ascii="Times New Roman" w:hAnsi="Times New Roman"/>
          <w:i/>
          <w:color w:val="000000"/>
          <w:sz w:val="20"/>
        </w:rPr>
        <w:t>Corporate Governance</w:t>
      </w:r>
      <w:r>
        <w:rPr>
          <w:rFonts w:ascii="Times New Roman" w:hAnsi="Times New Roman"/>
          <w:color w:val="000000"/>
          <w:sz w:val="20"/>
        </w:rPr>
        <w:t>” in our most recent definitive proxy on Schedule 14A for our special meeting of stockholders (the “Special Proxy Statement”) and “</w:t>
      </w:r>
      <w:r>
        <w:rPr>
          <w:rFonts w:ascii="Times New Roman" w:hAnsi="Times New Roman"/>
          <w:i/>
          <w:color w:val="000000"/>
          <w:sz w:val="20"/>
        </w:rPr>
        <w:t>Certain Relationships and Related Party Transactions</w:t>
      </w:r>
      <w:r>
        <w:rPr>
          <w:rFonts w:ascii="Times New Roman" w:hAnsi="Times New Roman"/>
          <w:color w:val="000000"/>
          <w:sz w:val="20"/>
        </w:rPr>
        <w:t xml:space="preserve">” in our most recent definitive proxy statement on Schedule 14A for our annual meeting of stockholders (the “Annual Proxy Statement”) as well as information included in our current report on Form 8-K filed with the SEC on November 18, 2024 and Form 8-K filed with the SEC on March 17, 2025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29" w:name="tmaoa"/>
      <w:bookmarkEnd w:id="29"/>
      <w:r>
        <w:rPr>
          <w:rFonts w:ascii="Times New Roman" w:hAnsi="Times New Roman"/>
          <w:b/>
          <w:color w:val="000000"/>
          <w:sz w:val="20"/>
        </w:rPr>
        <w:t>MANAGEMENT AND OTHER AGREEMENTS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sections entitled “</w:t>
      </w:r>
      <w:r>
        <w:rPr>
          <w:rFonts w:ascii="Times New Roman" w:hAnsi="Times New Roman"/>
          <w:i/>
          <w:color w:val="000000"/>
          <w:sz w:val="20"/>
        </w:rPr>
        <w:t>About RGC</w:t>
      </w:r>
      <w:r>
        <w:rPr>
          <w:rFonts w:ascii="Times New Roman" w:hAnsi="Times New Roman"/>
          <w:color w:val="000000"/>
          <w:sz w:val="20"/>
        </w:rPr>
        <w:t>” and “</w:t>
      </w:r>
      <w:r>
        <w:rPr>
          <w:rFonts w:ascii="Times New Roman" w:hAnsi="Times New Roman"/>
          <w:i/>
          <w:color w:val="000000"/>
          <w:sz w:val="20"/>
        </w:rPr>
        <w:t>About Our Administrator</w:t>
      </w:r>
      <w:r>
        <w:rPr>
          <w:rFonts w:ascii="Times New Roman" w:hAnsi="Times New Roman"/>
          <w:color w:val="000000"/>
          <w:sz w:val="20"/>
        </w:rPr>
        <w:t>,” in Part I, Item 1 “</w:t>
      </w:r>
      <w:r>
        <w:rPr>
          <w:rFonts w:ascii="Times New Roman" w:hAnsi="Times New Roman"/>
          <w:i/>
          <w:color w:val="000000"/>
          <w:sz w:val="20"/>
        </w:rPr>
        <w:t>Business</w:t>
      </w:r>
      <w:r>
        <w:rPr>
          <w:rFonts w:ascii="Times New Roman" w:hAnsi="Times New Roman"/>
          <w:color w:val="000000"/>
          <w:sz w:val="20"/>
        </w:rPr>
        <w:t>” of our most recent Annual Report on Form 10-K, and in “</w:t>
      </w:r>
      <w:r>
        <w:rPr>
          <w:rFonts w:ascii="Times New Roman" w:hAnsi="Times New Roman"/>
          <w:i/>
          <w:color w:val="000000"/>
          <w:sz w:val="20"/>
        </w:rPr>
        <w:t>Note 3 — Related Party Agreements and Transactions</w:t>
      </w:r>
      <w:r>
        <w:rPr>
          <w:rFonts w:ascii="Times New Roman" w:hAnsi="Times New Roman"/>
          <w:color w:val="000000"/>
          <w:sz w:val="20"/>
        </w:rPr>
        <w:t xml:space="preserve">” in our financial statements in our most recent Quarterly Report on Form 10-Q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0" w:name="trtac"/>
      <w:bookmarkEnd w:id="30"/>
      <w:r>
        <w:rPr>
          <w:rFonts w:ascii="Times New Roman" w:hAnsi="Times New Roman"/>
          <w:b/>
          <w:color w:val="000000"/>
          <w:sz w:val="20"/>
        </w:rPr>
        <w:t>RELATED-PARTY TRANSACTIONS AND CERTAIN RELATIONSHIPS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 entitled “</w:t>
      </w:r>
      <w:r>
        <w:rPr>
          <w:rFonts w:ascii="Times New Roman" w:hAnsi="Times New Roman"/>
          <w:i/>
          <w:color w:val="000000"/>
          <w:sz w:val="20"/>
        </w:rPr>
        <w:t>Certain Relationships and Related Transactions</w:t>
      </w:r>
      <w:r>
        <w:rPr>
          <w:rFonts w:ascii="Times New Roman" w:hAnsi="Times New Roman"/>
          <w:color w:val="000000"/>
          <w:sz w:val="20"/>
        </w:rPr>
        <w:t xml:space="preserve">” in our most recent Annual Proxy Statement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1" w:name="tcpap"/>
      <w:bookmarkEnd w:id="31"/>
      <w:r>
        <w:rPr>
          <w:rFonts w:ascii="Times New Roman" w:hAnsi="Times New Roman"/>
          <w:b/>
          <w:color w:val="000000"/>
          <w:sz w:val="20"/>
        </w:rPr>
        <w:t>CONTROL PERSONS AND PRINCIPAL SHAREHOLDERS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sections entitled “</w:t>
      </w:r>
      <w:r>
        <w:rPr>
          <w:rFonts w:ascii="Times New Roman" w:hAnsi="Times New Roman"/>
          <w:i/>
          <w:color w:val="000000"/>
          <w:sz w:val="20"/>
        </w:rPr>
        <w:t>Election of Directors</w:t>
      </w:r>
      <w:r>
        <w:rPr>
          <w:rFonts w:ascii="Times New Roman" w:hAnsi="Times New Roman"/>
          <w:color w:val="000000"/>
          <w:sz w:val="20"/>
        </w:rPr>
        <w:t>” and “</w:t>
      </w:r>
      <w:r>
        <w:rPr>
          <w:rFonts w:ascii="Times New Roman" w:hAnsi="Times New Roman"/>
          <w:i/>
          <w:color w:val="000000"/>
          <w:sz w:val="20"/>
        </w:rPr>
        <w:t>Security Ownership of Certain Beneficial Owners and Management</w:t>
      </w:r>
      <w:r>
        <w:rPr>
          <w:rFonts w:ascii="Times New Roman" w:hAnsi="Times New Roman"/>
          <w:color w:val="000000"/>
          <w:sz w:val="20"/>
        </w:rPr>
        <w:t xml:space="preserve">” in our most recent Special Proxy Statement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2" w:name="tdona"/>
      <w:bookmarkEnd w:id="32"/>
      <w:r>
        <w:rPr>
          <w:rFonts w:ascii="Times New Roman" w:hAnsi="Times New Roman"/>
          <w:b/>
          <w:color w:val="000000"/>
          <w:sz w:val="20"/>
        </w:rPr>
        <w:t>DETERMINATION OF NET ASSET VALUE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 entitled “</w:t>
      </w:r>
      <w:r>
        <w:rPr>
          <w:rFonts w:ascii="Times New Roman" w:hAnsi="Times New Roman"/>
          <w:i/>
          <w:color w:val="000000"/>
          <w:sz w:val="20"/>
        </w:rPr>
        <w:t>Critical Accounting Policies</w:t>
      </w:r>
      <w:r>
        <w:rPr>
          <w:rFonts w:ascii="Times New Roman" w:hAnsi="Times New Roman"/>
          <w:color w:val="000000"/>
          <w:sz w:val="20"/>
        </w:rPr>
        <w:t>,” in Part II, Item 8 “</w:t>
      </w:r>
      <w:r>
        <w:rPr>
          <w:rFonts w:ascii="Times New Roman" w:hAnsi="Times New Roman"/>
          <w:i/>
          <w:color w:val="000000"/>
          <w:sz w:val="20"/>
        </w:rPr>
        <w:t>Consolidated Financial Statements and Supplementary Data</w:t>
      </w:r>
      <w:r>
        <w:rPr>
          <w:rFonts w:ascii="Times New Roman" w:hAnsi="Times New Roman"/>
          <w:color w:val="000000"/>
          <w:sz w:val="20"/>
        </w:rPr>
        <w:t>” of our most recent Annual Report on Form 10-K, and in “</w:t>
      </w:r>
      <w:r>
        <w:rPr>
          <w:rFonts w:ascii="Times New Roman" w:hAnsi="Times New Roman"/>
          <w:i/>
          <w:color w:val="000000"/>
          <w:sz w:val="20"/>
        </w:rPr>
        <w:t>Note 2-Summary of Significant Accounting Policies</w:t>
      </w:r>
      <w:r>
        <w:rPr>
          <w:rFonts w:ascii="Times New Roman" w:hAnsi="Times New Roman"/>
          <w:color w:val="000000"/>
          <w:sz w:val="20"/>
        </w:rPr>
        <w:t xml:space="preserve">” in our financial statements in our most recent Quarterly Report on Form 10-Q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3" w:name="tdrp"/>
      <w:bookmarkEnd w:id="33"/>
      <w:r>
        <w:rPr>
          <w:rFonts w:ascii="Times New Roman" w:hAnsi="Times New Roman"/>
          <w:b/>
          <w:color w:val="000000"/>
          <w:sz w:val="20"/>
        </w:rPr>
        <w:t>DIVIDEND REINVESTMENT PLAN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in the section entitled “</w:t>
      </w:r>
      <w:r>
        <w:rPr>
          <w:rFonts w:ascii="Times New Roman" w:hAnsi="Times New Roman"/>
          <w:i/>
          <w:color w:val="000000"/>
          <w:sz w:val="20"/>
        </w:rPr>
        <w:t>Dividend Reinvestment Plan</w:t>
      </w:r>
      <w:r>
        <w:rPr>
          <w:rFonts w:ascii="Times New Roman" w:hAnsi="Times New Roman"/>
          <w:color w:val="000000"/>
          <w:sz w:val="20"/>
        </w:rPr>
        <w:t>,” in Part II, Item 7 “</w:t>
      </w:r>
      <w:r>
        <w:rPr>
          <w:rFonts w:ascii="Times New Roman" w:hAnsi="Times New Roman"/>
          <w:i/>
          <w:color w:val="000000"/>
          <w:sz w:val="20"/>
        </w:rPr>
        <w:t>Management’s Discussion and Analysis of Financial Conditions and Results of Operations</w:t>
      </w:r>
      <w:r>
        <w:rPr>
          <w:rFonts w:ascii="Times New Roman" w:hAnsi="Times New Roman"/>
          <w:color w:val="000000"/>
          <w:sz w:val="20"/>
        </w:rPr>
        <w:t>” of our most recent Annual Report on Form 10-K, and in Part I, Item 2 “</w:t>
      </w:r>
      <w:r>
        <w:rPr>
          <w:rFonts w:ascii="Times New Roman" w:hAnsi="Times New Roman"/>
          <w:i/>
          <w:color w:val="000000"/>
          <w:sz w:val="20"/>
        </w:rPr>
        <w:t>Management’s Discussion and Analysis of Financial Conditions and Results of Operations</w:t>
      </w:r>
      <w:r>
        <w:rPr>
          <w:rFonts w:ascii="Times New Roman" w:hAnsi="Times New Roman"/>
          <w:color w:val="000000"/>
          <w:sz w:val="20"/>
        </w:rPr>
        <w:t xml:space="preserve">” in our most recent Quarterly Report on Form 10-Q is incorporated herein by reference. </w:t>
      </w:r>
    </w:p>
    <w:p>
      <w:pPr>
        <w:pStyle w:val="TextBody"/>
        <w:bidi w:val="0"/>
        <w:jc w:val="center"/>
        <w:rPr/>
      </w:pPr>
      <w:bookmarkStart w:id="34" w:name="tcufi"/>
      <w:bookmarkEnd w:id="34"/>
      <w:r>
        <w:rPr/>
        <w:t> </w:t>
      </w:r>
    </w:p>
    <w:p>
      <w:pPr>
        <w:pStyle w:val="TextBody"/>
        <w:bidi w:val="0"/>
        <w:jc w:val="center"/>
        <w:rPr>
          <w:rFonts w:ascii="Times New Roman" w:hAnsi="Times New Roman"/>
          <w:sz w:val="20"/>
        </w:rPr>
      </w:pPr>
      <w:r>
        <w:rPr>
          <w:rFonts w:ascii="Times New Roman" w:hAnsi="Times New Roman"/>
          <w:b/>
          <w:color w:val="000000"/>
          <w:sz w:val="20"/>
        </w:rPr>
        <w:t>CERTAIN U.S. FEDERAL INCOME TAX CONSIDERATIONS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discussion is a general summary of certain U.S. federal income tax considerations applicable to us and to an investment in our common stock. This discussion does not purport to be a complete description of the U.S. federal income tax considerations applicable to such an investment. For example, this discussion does not describe tax consequences that we have assumed to be generally known by investors or certain considerations that may be relevant to certain types of holders subject to special treatment under U.S. federal income tax laws, including persons who hold our common stock as part of a straddle or a hedging, integrated or constructive sale transaction, persons subject to the alternative minimum tax, tax-exempt organizations, insurance companies, brokers or dealers in securities, pension plans and trusts, persons whose functional currency is not the U.S. dollar, U.S. expatriates, regulated investment companies, real estate investment trusts, personal holding companies, persons who acquire an interest in the Company in connection with the performance of services, and financial institutions. Such persons should consult with their own tax advisers as to the U.S. federal income tax consequences of an investment in our common stock, which may differ substantially from those described herein. This discussion assumes that shareholders hold our common stock as capital assets (within the meaning of the Code).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discussion is based upon the Code, regulations promulgated thereunder, and administrative and judicial interpretations, each as of the date of this Registration Statement and all of which are subject to change, possibly retroactively, which could affect the continuing validity of this discussion. We have not sought and will not seek any ruling from the Internal Revenue Service (“IRS”) regarding any matter discussed herein.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alternative minimum, or gift tax or non U.S., state or local tax. It also does not discuss the special treatment under U.S. federal income tax laws that could result if we invested in tax-exempt securities or certain other investment assets.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For purposes of this discussion, a “U.S. stockholder” is a beneficial owner of shares of our common stock that is for U.S. federal income tax purposes: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 citizen or individual resident of the United States;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 corporation (or other entity or arrangement treated as a corporation) organized in or under the laws of the United States or any political subdivision thereof;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 estate, the income of which is subject to U.S. federal income taxation regardless of its source;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 trust if (i) a court within the United States is able to exercise primary supervision over the administration of the trust and one or more U.S. persons have authority to control all substantial decisions of the trust, or (ii) it has a valid election in effect under applicable U.S. Treasury Regulations to be treated as a U.S. person.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 “non-U.S. stockholder” means a beneficial owner of shares of our common stock that is neither a U.S. stockholder nor a partnership (or other entity or arrangement treated as a partnership for U.S. federal income tax purposes).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a partnership (including an entity or arrangement treated as a partnership for U.S. federal income tax purposes) holds our shares, the U.S. tax treatment of the partnership and each partner generally will depend on the status of the partner and the activities of the partnership.. A partnership considering an investment in our common stock should consult its own tax advisers regarding the U.S. federal income tax consequences of the acquisition, ownership and disposition of shares by the partnership. </w:t>
      </w:r>
    </w:p>
    <w:p>
      <w:pPr>
        <w:pStyle w:val="TextBody"/>
        <w:bidi w:val="0"/>
        <w:spacing w:before="220" w:after="283"/>
        <w:jc w:val="both"/>
        <w:rPr>
          <w:rFonts w:ascii="Times New Roman" w:hAnsi="Times New Roman"/>
          <w:sz w:val="20"/>
        </w:rPr>
      </w:pPr>
      <w:r>
        <w:rPr>
          <w:rFonts w:ascii="Times New Roman" w:hAnsi="Times New Roman"/>
          <w:b/>
          <w:color w:val="000000"/>
          <w:sz w:val="20"/>
        </w:rPr>
        <w:t>Taxation of the Company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elected to be treated, and intend to qualify annually, as a RIC under Subchapter M of the Code; however, no assurance can be given that we will be able to maintain our RIC tax treatment.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To qualify as a RIC, we must, among other things: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satisfy the Annual Distribution Requirement;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as defined in the Code (“QPTP”), hereinafter the “90% Gross Income Test;”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diversify our holdings so that, at the end of each quarter of each taxable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not more than 25% of the value of our total assets is invested in (i) the securities (other than U.S. Government securities and the securities of other RICs) of any issuer, (ii) the securities (other than securities of other RICs) of any two or more issuers that we control and that are determined to be engaged in the same business or similar or related trades or businesses, or the securities of one or more QPTPs (the “Diversification Tests”).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a RIC, we generally are not subject to U.S. federal income tax on investment company taxable income and net capital gain that we timely distribute to our stockholders as dividends. We intend to distribute annually all or substantially all of such income. To the extent we retain any of our net capital gain or any investment company taxable income, we are subject to U.S. federal income tax imposed at corporate rates, and possibly U.S. federal excise tax (discussed below), on such retained amounts. We may choose to retain a portion of any investment company taxable income and some or all of our net capital gain, and pay the associated U.S. federal income tax and any applicable U.S. federal excise tax.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subject to a nondeductible 4% U.S. federal excise tax on certain of our undistributed income, unless we timely distribute (or are deemed to have timely distributed) an amount equal to at least the sum 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98% of our ordinary income (not taking into account any capital gains or losses) for the calendar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98.2% of our capital gain net income (which is the excess of the gains from sales or exchanges of capital assets over the losses from such sales or exchanges) for a one-year period generally ending on October 31 of the calendar year (unless an election is made by us to use our taxable year);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certain undistributed amounts from previous years on which we paid no U.S. federal income tax.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While we intend to distribute sufficient income and capital gains in order to avoid imposition of this nondeductible 4% U.S. federal excise tax, we may not be successful in avoiding entirely the imposition of this tax. </w:t>
      </w:r>
    </w:p>
    <w:p>
      <w:pPr>
        <w:pStyle w:val="TextBody"/>
        <w:bidi w:val="0"/>
        <w:spacing w:before="160" w:after="283"/>
        <w:jc w:val="both"/>
        <w:rPr>
          <w:rFonts w:ascii="Times New Roman" w:hAnsi="Times New Roman"/>
          <w:sz w:val="20"/>
        </w:rPr>
      </w:pPr>
      <w:r>
        <w:rPr>
          <w:rFonts w:ascii="Times New Roman" w:hAnsi="Times New Roman"/>
          <w:color w:val="000000"/>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w:t>
      </w:r>
      <w:r>
        <w:rPr>
          <w:rFonts w:ascii="Times New Roman" w:hAnsi="Times New Roman"/>
          <w:i/>
          <w:color w:val="000000"/>
          <w:sz w:val="20"/>
        </w:rPr>
        <w:t>Regulation</w:t>
      </w:r>
      <w:r>
        <w:rPr>
          <w:rFonts w:ascii="Times New Roman" w:hAnsi="Times New Roman"/>
          <w:color w:val="000000"/>
          <w:sz w:val="20"/>
        </w:rPr>
        <w:t xml:space="preserve">.”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limit the applicability of the 4% U.S. federal excise tax, we may make such dispositions at times that, from an investment standpoint, are not advantageous. </w:t>
      </w:r>
    </w:p>
    <w:p>
      <w:pPr>
        <w:pStyle w:val="TextBody"/>
        <w:bidi w:val="0"/>
        <w:spacing w:before="160" w:after="260"/>
        <w:jc w:val="both"/>
        <w:rPr>
          <w:rFonts w:ascii="Times New Roman" w:hAnsi="Times New Roman"/>
          <w:color w:val="000000"/>
          <w:sz w:val="20"/>
        </w:rPr>
      </w:pPr>
      <w:r>
        <w:rPr>
          <w:rFonts w:ascii="Times New Roman" w:hAnsi="Times New Roman"/>
          <w:color w:val="000000"/>
          <w:sz w:val="20"/>
        </w:rPr>
        <w:t xml:space="preserve">A RIC is limited in its ability to deduct expenses in excess of its investment company taxable income.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taxable income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color w:val="000000"/>
          <w:sz w:val="20"/>
        </w:rPr>
        <w:t>Failure to Qualify as a RIC</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If we fail to qualify for treatment as a RIC, and certain relief provisions are not applicable, we would be subject to U.S. federal income tax on all of our taxable income (including our net capital gains) imposed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holding period and other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adjusted tax basis in our common stock, and any remaining distributions would be treated as a capital gain. 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requalify as a RIC for a period greater than two taxable years, we may be subject to U.S. federal income tax imposed at corporate rates on any net built-in gains with respect to certain of our assets </w:t>
      </w:r>
      <w:r>
        <w:rPr>
          <w:rFonts w:ascii="Times New Roman" w:hAnsi="Times New Roman"/>
          <w:i/>
          <w:color w:val="000000"/>
          <w:sz w:val="20"/>
        </w:rPr>
        <w:t>(i.e.</w:t>
      </w:r>
      <w:r>
        <w:rPr>
          <w:rFonts w:ascii="Times New Roman" w:hAnsi="Times New Roman"/>
          <w:color w:val="000000"/>
          <w:sz w:val="20"/>
        </w:rPr>
        <w:t xml:space="preserve">, the excess of the aggregate gains, including items of income, over aggregate losses that would have been realized with respect to such assets if we had been liquidated) that we elect to recognize on requalification or when recognized over the next five years.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remainder of this discussion assumes that we qualify as a RIC for each taxable year. </w:t>
      </w:r>
    </w:p>
    <w:p>
      <w:pPr>
        <w:pStyle w:val="TextBody"/>
        <w:bidi w:val="0"/>
        <w:spacing w:before="220" w:after="283"/>
        <w:jc w:val="both"/>
        <w:rPr>
          <w:rFonts w:ascii="Times New Roman" w:hAnsi="Times New Roman"/>
          <w:sz w:val="20"/>
        </w:rPr>
      </w:pPr>
      <w:r>
        <w:rPr>
          <w:rFonts w:ascii="Times New Roman" w:hAnsi="Times New Roman"/>
          <w:b/>
          <w:color w:val="000000"/>
          <w:sz w:val="20"/>
        </w:rPr>
        <w:t>Company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Debt Instruments. </w:t>
      </w:r>
      <w:r>
        <w:rPr>
          <w:rFonts w:ascii="Times New Roman" w:hAnsi="Times New Roman"/>
          <w:color w:val="000000"/>
          <w:sz w:val="20"/>
        </w:rPr>
        <w:t xml:space="preserve">In certain circumstances, we may be required to recognize taxable income prior to the time at which we receive cash. For example, if we hold 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 </w:t>
      </w:r>
    </w:p>
    <w:p>
      <w:pPr>
        <w:pStyle w:val="TextBody"/>
        <w:bidi w:val="0"/>
        <w:spacing w:before="140" w:after="180"/>
        <w:jc w:val="both"/>
        <w:rPr>
          <w:rFonts w:ascii="Times New Roman" w:hAnsi="Times New Roman"/>
          <w:sz w:val="20"/>
        </w:rPr>
      </w:pPr>
      <w:r>
        <w:rPr>
          <w:rFonts w:ascii="Times New Roman" w:hAnsi="Times New Roman"/>
          <w:i/>
          <w:color w:val="000000"/>
          <w:sz w:val="20"/>
        </w:rPr>
        <w:t xml:space="preserve">Warrants. </w:t>
      </w:r>
      <w:r>
        <w:rPr>
          <w:rFonts w:ascii="Times New Roman" w:hAnsi="Times New Roman"/>
          <w:color w:val="000000"/>
          <w:sz w:val="20"/>
        </w:rPr>
        <w:t xml:space="preserve">Gain or loss realized by us from the sale or exchange of warrants acquired by us as well as any loss attributable to the lapse of such warrants generally are treated as capital gain or loss. The treatment of such gain or loss as long-term or short-term generally depends on how long we held a particular warrant and on the nature of the disposition transaction. </w:t>
      </w:r>
    </w:p>
    <w:p>
      <w:pPr>
        <w:pStyle w:val="TextBody"/>
        <w:bidi w:val="0"/>
        <w:jc w:val="left"/>
        <w:rPr>
          <w:rFonts w:ascii="Times New Roman" w:hAnsi="Times New Roman"/>
          <w:sz w:val="20"/>
        </w:rPr>
      </w:pPr>
      <w:r>
        <w:rPr>
          <w:rFonts w:ascii="Times New Roman" w:hAnsi="Times New Roman"/>
          <w:i/>
          <w:color w:val="000000"/>
          <w:sz w:val="20"/>
        </w:rPr>
        <w:t xml:space="preserve">Foreign Investments. </w:t>
      </w:r>
      <w:r>
        <w:rPr>
          <w:rFonts w:ascii="Times New Roman" w:hAnsi="Times New Roman"/>
          <w:color w:val="000000"/>
          <w:sz w:val="20"/>
        </w:rPr>
        <w:t xml:space="preserve">In the event we invest in foreign securities, we may be subject to withholding and other foreign taxes with respect to those securities. In this regard, withholding tax rates in countries with which the United States does not have a tax treaty may be 35% or more. The United States has entered into tax treaties with many foreign countries that may entitle us to a reduced rate of, or exemption from, withholding tax on investment income and gains. The effective rate of foreign tax cannot be determined at this time since the amount of our assets to be invested within various countries is not now known. We do not expect to satisfy the requirement to pass through to our stockholders their share of the foreign taxes paid by us.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Passive Foreign Investment Companies. </w:t>
      </w:r>
      <w:r>
        <w:rPr>
          <w:rFonts w:ascii="Times New Roman" w:hAnsi="Times New Roman"/>
          <w:color w:val="000000"/>
          <w:sz w:val="20"/>
        </w:rPr>
        <w:t xml:space="preserve">If we purchase shares in a “passive foreign investment company,” or PFIC, we may be subject to U.S. federal income tax on any “excess distribution” received on, or any gain from, the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disposition of such shares. Additional charges in the nature of interest generally will be imposed on us in respect of deferred taxes arising from any such excess distributions or gains. This additional tax and interest may apply even if we make a distribution as a taxable dividend by us to our shareholders in an amount equal to (1) any excess distribution, or (2) the gain from the dispositions of such shares. If we invest in a PFIC and elect to treat the PFIC as a “qualified electing fund”, or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any increase in the value of such shares and as ordinary loss any decrease in such value to the extent that any such decrease does not exceed prior increases included in our income. Under either election, we may be required to recognize income in excess of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Income inclusions from a QEF will be “good income” for purposes of the 90% Gross Income Test provided that they are derived in connection with our business of investing in stocks and securities or the QEF distributes such income to us in the same taxable year to which the income is included in our income.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Controlled Foreign Corporations. </w:t>
      </w:r>
      <w:r>
        <w:rPr>
          <w:rFonts w:ascii="Times New Roman" w:hAnsi="Times New Roman"/>
          <w:color w:val="000000"/>
          <w:sz w:val="20"/>
        </w:rPr>
        <w:t xml:space="preserve">If we hold more than 10% of the shares in a foreign corporation that is treated as a controlled foreign corporation, or “CFC,” we may be treated as receiving a deemed distribution (taxable as ordinary income) each year from such foreign corporation in an amount equal to our pro rata share of certain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indirectly or by attribution) 10% or more of the combined voting power of all classes of shares of a corporation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such income will be subject to the Annual Distribution Requirement and will be taken into account for purposes of the 4% U.S. federal excise tax. Income inclusions from a CFC will be “good income” for purposes of the 90% Gross Income Test provided that they are derived in connection with our business of investing in stocks and securities or the CFC distributes such income to us in the same taxable year to which the income is included in our income. </w:t>
      </w:r>
    </w:p>
    <w:p>
      <w:pPr>
        <w:pStyle w:val="TextBody"/>
        <w:bidi w:val="0"/>
        <w:spacing w:before="160" w:after="260"/>
        <w:jc w:val="both"/>
        <w:rPr>
          <w:rFonts w:ascii="Times New Roman" w:hAnsi="Times New Roman"/>
          <w:sz w:val="20"/>
        </w:rPr>
      </w:pPr>
      <w:r>
        <w:rPr>
          <w:rFonts w:ascii="Times New Roman" w:hAnsi="Times New Roman"/>
          <w:i/>
          <w:color w:val="000000"/>
          <w:sz w:val="20"/>
        </w:rPr>
        <w:t xml:space="preserve">Foreign Currency Transactions. </w:t>
      </w:r>
      <w:r>
        <w:rPr>
          <w:rFonts w:ascii="Times New Roman" w:hAnsi="Times New Roman"/>
          <w:color w:val="000000"/>
          <w:sz w:val="20"/>
        </w:rPr>
        <w:t xml:space="preserve">Under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 </w:t>
      </w:r>
    </w:p>
    <w:p>
      <w:pPr>
        <w:pStyle w:val="TextBody"/>
        <w:bidi w:val="0"/>
        <w:jc w:val="both"/>
        <w:rPr>
          <w:rFonts w:ascii="Times New Roman" w:hAnsi="Times New Roman"/>
          <w:sz w:val="20"/>
        </w:rPr>
      </w:pPr>
      <w:r>
        <w:rPr>
          <w:rFonts w:ascii="Times New Roman" w:hAnsi="Times New Roman"/>
          <w:b/>
          <w:color w:val="000000"/>
          <w:sz w:val="20"/>
        </w:rPr>
        <w:t>Taxation of U.S.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Distributions by us generally are taxable to U.S. stockholders as ordinary income or capital gains. Distributions of our investment company taxable income will be taxable as ordinary income to U.S. stockholders to the extent of our current or accumulated earnings and profits, whether paid in cash or reinvested in additional shares of our common stock. To the extent such distributions paid by us to non-corporate U.S. stockholders (including individuals) are attributable to dividends from U.S. corporations and certain qualified foreign corporations and such distributions are timely designated (“Qualifying Dividends”), they may be eligible for reduced rates of U.S. federal income tax. In this regard, it is anticipated that distributions paid by us generally will not be attributable to dividends and, therefore, generally will not qualify for the reduced rate of U.S. federal income tax applicable to Qualifying Dividends.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Distributions of our net capital gain (which is generally our realized net long-term capital gains in excess of realized net short-term capital losses) properly reported by us as “capital gain dividends” will be taxable to a U.S. stockholder as long-term capital gains, which are currently taxable at a maximum rate of 20% in the case of individuals or estates, regardless of the U.S. stockholder’s holding period for his, her or its common stock and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49 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regardless of whether paid in cash or reinvested in additional common stock. Distributions in excess of our current and accumulated earnings and profits first will reduce a U.S. stockholder’s adjusted tax basis in such U.S. stockholder’s common stock and, after the adjusted basis is reduced to zero, will constitute capital gains to such U.S. stockholder.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Although we currently intend to distribute any net long-term capital gains at least annually, we may in the future decide to retain some or all of our net long-term capital gains but designate the retained amount as a “deemed distribution.” In that case, among other consequences, we will pay U.S. federal income tax on the retained amount, each U.S. stockholder will be required to include such stockholder’s share of the deemed distribution in income as if it had been distributed to the U.S. stockholder, and the U.S. stockholder will be entitled to claim a credit equal to such stockholder’s allocable share of the U.S. federal income tax paid on the deemed distribution by us. The amount of the deemed distribution net of such tax will be added to the U.S. stockholder’s adjusted tax basis for their common stock. Since we expect to pay U.S. federal income tax on any retained capital gains at the applicable corporate rate 0, and since that rate is in excess of the maximum rate currently payable by individuals on long-term capital gains, the amount of U.S. federal income tax that individual U.S. stockholders will be treated as having paid and for which they will receive a credit will exceed the U.S. federal income tax they owe on the retained net capital gain. Such excess generally may be claimed as a credit against the U.S. stockholder’s other U.S. federal income tax obligations or may be refunded to the extent it exceeds a U.S. stockholder’s liability for U.S. federal income tax. A U.S.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U.S. stockholders prior to the expiration of 60 days after the close of the relevant taxable year. We cannot treat any of our investment company taxable income as a “deemed distribution.” </w:t>
      </w:r>
    </w:p>
    <w:p>
      <w:pPr>
        <w:pStyle w:val="TextBody"/>
        <w:bidi w:val="0"/>
        <w:spacing w:before="160" w:after="180"/>
        <w:jc w:val="both"/>
        <w:rPr>
          <w:rFonts w:ascii="Times New Roman" w:hAnsi="Times New Roman"/>
          <w:color w:val="000000"/>
          <w:sz w:val="20"/>
        </w:rPr>
      </w:pPr>
      <w:r>
        <w:rPr>
          <w:rFonts w:ascii="Times New Roman" w:hAnsi="Times New Roman"/>
          <w:color w:val="000000"/>
          <w:sz w:val="20"/>
        </w:rPr>
        <w:t xml:space="preserve">We or the applicable withholding agent will provide U.S. stockholders with a notice reporting the amount of any ordinary income dividends (including the amount of such dividend, if any, eligible to be treated as qualified dividend income) and capital gain dividends by January 31. 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a stockholder a dividend in January which was declared in the previous October, November or December to stockholders of record on a specified date in one of these months, then the dividend will be treated for tax purposes as being paid by us and received by each stockholder on December 31 of the year in which the dividend was declared. If a U.S. stockholder purchases shares of our stock shortly before the record date of a distribution, the price of the shares will include the value of the distribution and the U.S. stockholder will be subject to U.S. federal income tax on the distribution even though it represents a return of its investment. </w:t>
      </w:r>
    </w:p>
    <w:p>
      <w:pPr>
        <w:pStyle w:val="TextBody"/>
        <w:bidi w:val="0"/>
        <w:jc w:val="both"/>
        <w:rPr>
          <w:rFonts w:ascii="Times New Roman" w:hAnsi="Times New Roman"/>
          <w:sz w:val="20"/>
        </w:rPr>
      </w:pPr>
      <w:r>
        <w:rPr>
          <w:rFonts w:ascii="Times New Roman" w:hAnsi="Times New Roman"/>
          <w:i/>
          <w:color w:val="000000"/>
          <w:sz w:val="20"/>
        </w:rPr>
        <w:t xml:space="preserve">Dividend Reinvestment Plan. </w:t>
      </w:r>
      <w:r>
        <w:rPr>
          <w:rFonts w:ascii="Times New Roman" w:hAnsi="Times New Roman"/>
          <w:color w:val="000000"/>
          <w:sz w:val="20"/>
        </w:rPr>
        <w:t>Under the dividend reinvestment plan, if a U.S. stockholder owns shares of common stock registered in its own name, the U.S. stockholder will have all cash distributions automatically reinvested in additional shares of common stock unless the U.S. stockholder opts out of our dividend reinvestment plan by delivering a written notice to Runway Growth Capital or our dividend paying agent, as applicable, prior to the record date of the next dividend or distribution. See “</w:t>
      </w:r>
      <w:r>
        <w:rPr>
          <w:rFonts w:ascii="Times New Roman" w:hAnsi="Times New Roman"/>
          <w:i/>
          <w:color w:val="000000"/>
          <w:sz w:val="20"/>
        </w:rPr>
        <w:t>Dividend Reinvestment Plan</w:t>
      </w:r>
      <w:r>
        <w:rPr>
          <w:rFonts w:ascii="Times New Roman" w:hAnsi="Times New Roman"/>
          <w:color w:val="000000"/>
          <w:sz w:val="20"/>
        </w:rPr>
        <w:t xml:space="preserve">.” Any distributions reinvested under the plan will nevertheless remain taxable to the U.S. stockholder. The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 </w:t>
      </w:r>
    </w:p>
    <w:p>
      <w:pPr>
        <w:pStyle w:val="TextBody"/>
        <w:bidi w:val="0"/>
        <w:spacing w:before="140" w:after="283"/>
        <w:jc w:val="left"/>
        <w:rPr>
          <w:rFonts w:ascii="Times New Roman" w:hAnsi="Times New Roman"/>
          <w:sz w:val="20"/>
        </w:rPr>
      </w:pPr>
      <w:r>
        <w:rPr>
          <w:rFonts w:ascii="Times New Roman" w:hAnsi="Times New Roman"/>
          <w:i/>
          <w:color w:val="000000"/>
          <w:sz w:val="20"/>
        </w:rPr>
        <w:t xml:space="preserve">Dispositions. </w:t>
      </w:r>
      <w:r>
        <w:rPr>
          <w:rFonts w:ascii="Times New Roman" w:hAnsi="Times New Roman"/>
          <w:color w:val="000000"/>
          <w:sz w:val="20"/>
        </w:rPr>
        <w:t xml:space="preserve">A U.S. stockholder generally will recognize gain or loss on the sale, exchange or other taxable disposition of shares of our common stock in an amount equal to the difference between the U.S. stockholder’s adjusted tax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otherwise, any such gain or loss will be classified as short-term capital gain or loss. Any capital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after the date on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which the shares are disposed. In this case, the tax basis of the shares acquired will be adjusted to reflect the disallowed loss.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Tax Shelter Reporting Regulations. </w:t>
      </w:r>
      <w:r>
        <w:rPr>
          <w:rFonts w:ascii="Times New Roman" w:hAnsi="Times New Roman"/>
          <w:color w:val="000000"/>
          <w:sz w:val="20"/>
        </w:rPr>
        <w:t xml:space="preserve">Under applicable Treasury regulations, if a U.S. stockholder recognizes a loss with respect to shares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 </w:t>
      </w:r>
    </w:p>
    <w:p>
      <w:pPr>
        <w:pStyle w:val="TextBody"/>
        <w:bidi w:val="0"/>
        <w:spacing w:before="140" w:after="283"/>
        <w:jc w:val="both"/>
        <w:rPr>
          <w:rFonts w:ascii="Times New Roman" w:hAnsi="Times New Roman"/>
          <w:sz w:val="20"/>
        </w:rPr>
      </w:pPr>
      <w:r>
        <w:rPr>
          <w:rFonts w:ascii="Times New Roman" w:hAnsi="Times New Roman"/>
          <w:i/>
          <w:color w:val="000000"/>
          <w:sz w:val="20"/>
        </w:rPr>
        <w:t xml:space="preserve">Backup Withholding. </w:t>
      </w:r>
      <w:r>
        <w:rPr>
          <w:rFonts w:ascii="Times New Roman" w:hAnsi="Times New Roman"/>
          <w:color w:val="000000"/>
          <w:sz w:val="20"/>
        </w:rPr>
        <w:t xml:space="preserve">We may be required in certain circumstances to backup withhold, currently at a rate of 24%, on taxable dividends or distributions paid to a non-corporate U.S. stockholder (1) who fail to provide us or the distribution paying agent with a correct taxpayer identification number (in the case of individuals, generally their social security number) or a certificate that such shareholder is exempt from backup withholding or (2) with respect to whom the IRS notifies us that such shareholder has failed to properly report certain interest and dividend income to the IRS and to respond to notices to that effect . Backup withholding is not an additional tax. Any amounts withheld from payments made to you may be refunded or credited against your U.S. federal income tax liability, if any, provided that the required information is timely furnished to the IRS. </w:t>
      </w:r>
    </w:p>
    <w:p>
      <w:pPr>
        <w:pStyle w:val="TextBody"/>
        <w:bidi w:val="0"/>
        <w:spacing w:before="140" w:after="260"/>
        <w:jc w:val="both"/>
        <w:rPr>
          <w:rFonts w:ascii="Times New Roman" w:hAnsi="Times New Roman"/>
          <w:sz w:val="20"/>
        </w:rPr>
      </w:pPr>
      <w:r>
        <w:rPr>
          <w:rFonts w:ascii="Times New Roman" w:hAnsi="Times New Roman"/>
          <w:i/>
          <w:color w:val="000000"/>
          <w:sz w:val="20"/>
        </w:rPr>
        <w:t xml:space="preserve">Limitation on Deduction for Certain Expenses. </w:t>
      </w:r>
      <w:r>
        <w:rPr>
          <w:rFonts w:ascii="Times New Roman" w:hAnsi="Times New Roman"/>
          <w:color w:val="000000"/>
          <w:sz w:val="20"/>
        </w:rPr>
        <w:t xml:space="preserve">For any period that we do not qualify as a “publicly offered regulated investment company,” as defined in the Code, U.S. stockholders will be treated as though they received a distribution equal to certain of our expenses. A “publicly offered regulated investment company” is a RIC whose shares are either (i) continuously offered pursuant to a public offering, (ii) regularly traded on an established securities market or (iii) held by at least 500 persons at all times during the taxable year. We expect that we will constitute a publicly offered RIC, but there can be no assurance that we will in fact so qualify for any of our taxable years. If we are not a publicly offered RIC for any period, a non-corporate U.S. stockholder’s allocable portion of our affected expenses, including our management fees, will be treated as an additional distribution to the U.S. stockholder and will be deductible by such U.S. stockholder only to the extent permitted under the limitations described below. For non-corporate U.S. stockholders, including individuals, trusts, and estates, significant limitations generally apply to the deductibility of certain expenses of a non-publicly offered RIC, including advisory fees. In particular, these expenses, referred to as “miscellaneous itemized deductions,” are currently not deductible to an individual or other non-corporate U.S. stockholder (and beginning in 2026, will be deductible only to the extent they exceed 2% of such a U.S. stockholder’s adjusted gross income), and are not deductible for alternative minimum tax purposes. </w:t>
      </w:r>
    </w:p>
    <w:p>
      <w:pPr>
        <w:pStyle w:val="TextBody"/>
        <w:bidi w:val="0"/>
        <w:jc w:val="both"/>
        <w:rPr>
          <w:rFonts w:ascii="Times New Roman" w:hAnsi="Times New Roman"/>
          <w:sz w:val="20"/>
        </w:rPr>
      </w:pPr>
      <w:r>
        <w:rPr>
          <w:rFonts w:ascii="Times New Roman" w:hAnsi="Times New Roman"/>
          <w:b/>
          <w:color w:val="000000"/>
          <w:sz w:val="20"/>
        </w:rPr>
        <w:t>Taxation of Tax-Exempt U.S. Stockholders.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generally should not be subject to U.S. taxation solely as a result of such stockholder’s ownership of shares of common stock and receipt of dividends with respect to such shares. Moreover, under current law, if we incur indebtedness, such indebtedness will not be attributed to a tax-exempt U.S. stockholder. Therefore, a tax-exempt U.S. stockholder should not be treated as earning income from “debt-financed property” and dividends we pay should not be treated as “unrelated debt-financed income” solely as a result of indebtedness that we incur. Proposals periodically are made to change the treatment of “blocker” investment vehicles interposed between tax-exempt investors and non-qualifying investments. In the event that any such proposals were to be adopted and applied to RICs, the treatment of dividends payable to tax- exempt investors could be adversely affected. In addition, special rules would apply if we were to invest in certain real estate investment trusts or other taxable mortgage pools, which we do not currently plan to do, that could result in a tax-exempt U.S. stockholder recognizing income that would be treated as UBTI.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color w:val="000000"/>
          <w:sz w:val="20"/>
        </w:rPr>
        <w:t>Taxation of Non-U.S.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discussion only applies to non-U.S. stockholders. Whether an investment in shares of our common stock is appropriate for a non-U.S. stockholder will depend upon that person’s particular circumstances. An investment in shares of our common stock by a non-U.S. stockholder may have adverse tax consequences. non-U.S. stockholders should consult their own tax advisers before investing in shares of our common stock.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general, distributions of our investment company taxable income generally are subject to U.S. withholding tax imposed at a 30% rate (or lower rate provided by an applicable treaty) to the extent of our current or accumulated earnings and profits unless an applicable exception applies. However, no withholding is required with respect to certain distributions if (i) the distributions are properly reported to our non-U.S. stockholders as “interest-related dividends” or “short-term capital gain dividends,” (ii) the distributions are derived from sources specified in the Code for such dividends and (iii) certain other requirements are satisfied. Currently, we do not anticipate that any significant amount of our distributions would be reported as eligible for this exemption from withholding. No assurance can be provided that any of our distributions will qualify for this exemption. If the distributions are effectively connected with a U.S. trade or business of the non-U.S. stockholder (and, if a treaty applies, are attributable to a permanent establishment of the non-U.S. stockholder in the United States),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 </w:t>
      </w:r>
    </w:p>
    <w:p>
      <w:pPr>
        <w:pStyle w:val="TextBody"/>
        <w:bidi w:val="0"/>
        <w:spacing w:before="160" w:after="180"/>
        <w:jc w:val="both"/>
        <w:rPr>
          <w:rFonts w:ascii="Times New Roman" w:hAnsi="Times New Roman"/>
          <w:color w:val="000000"/>
          <w:sz w:val="20"/>
        </w:rPr>
      </w:pPr>
      <w:r>
        <w:rPr>
          <w:rFonts w:ascii="Times New Roman" w:hAnsi="Times New Roman"/>
          <w:color w:val="000000"/>
          <w:sz w:val="20"/>
        </w:rPr>
        <w:t xml:space="preserve">Actual or deemed distributions of our net capital gains to a non-U.S. stockholder properly reported by us as capital gain dividends, and gains realized by a non-U.S. stockholder upon the sale or redemption of our common stock, will not be subject to U.S.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the non-U.S. stockholder was present in the United States for 183 days or more during the taxable year and certain other conditions are met.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distribute our net capital gains in the form of deemed rather than actual distributions, a non-U.S. stockholder will be entitled to a U.S. federal income tax credit or tax refund equal to the non-U.S. stockholder’s allocable share of the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any actual or deemed distributions of our net capital gains, or any gains realized upon the sale or redemption of our common stock, are effectively connected with a U.S. trade or business of the non-U.S. stockholder (and, if an income tax treaty applies, are attributable to a permanent establishment maintained by the non-U.S. stockholder in the United States), such amounts will be subject to U.S. income tax, on a net income basis, in the same manner, and at the graduated rates applicable to, a U.S. stockholder. For a corporate non-U.S. stockholder, the after-tax amount of distributions (both actual and deemed) and gains realized upon the sale or redemption of our common stock that are effectively connected to a U.S. trade or business (and, if a treaty applies, are attributable to a permanent establishment maintained by the non-U.S. stockholder in the United States), may, under certain circumstances, be subject to an additional “branch profits tax” at a 30% rate (or at a lower rate if provided for by an applicable treaty). Accordingly, investment in shares of our common stock may not be appropriate for certain non-U.S. stockholders.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Non-U.S. stockholders will not generally be subject to U.S. federal income or withholding tax with respect to gain recognized on the sale or other disposition of shares of our common stock.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Under the dividend reinvestment plan, our non-U.S.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and is not properly reported by us as a short-term capital gains dividend or interest-related dividend (assuming an extension of the exemption discussed above), the amount distributed (to the extent of our current and accumulated earnings and profits) will be subject to withholding of U.S. federal income tax imposed at a 30% rate (or lower rate provided by an applicable income tax treaty) and only the net after-tax amount will be reinvested in our common stock. If the distribution is effectively connected with a U.S. trade or business of the non-U.S. stockholder (and, if a treaty applies, is attributable to a permanent establishment maintained by the non-U.S.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stockholder in the United States), generally the full amount of the distribution will be reinvested in the plan and will nevertheless be subject to U.S. federal income tax imposed at the ordinary income rates applicable to U.S. persons. The non-U.S. stockholder will have an adjusted tax basis in the additional common stock purchased through the plan equal to the amount reinvested. The additional shares will have a new holding period commencing on the day following the day on which the shares are credited to the non-U.S. stockholder’s account. </w:t>
      </w:r>
    </w:p>
    <w:p>
      <w:pPr>
        <w:pStyle w:val="TextBody"/>
        <w:bidi w:val="0"/>
        <w:spacing w:before="100" w:after="283"/>
        <w:jc w:val="both"/>
        <w:rPr>
          <w:rFonts w:ascii="Times New Roman" w:hAnsi="Times New Roman"/>
          <w:sz w:val="20"/>
        </w:rPr>
      </w:pPr>
      <w:r>
        <w:rPr>
          <w:rFonts w:ascii="Times New Roman" w:hAnsi="Times New Roman"/>
          <w:color w:val="000000"/>
          <w:sz w:val="20"/>
        </w:rPr>
        <w:t xml:space="preserve">If we were unable to qualify for treatment as a RIC, any distributions by us would be treated as dividends to the extent of our current and accumulated earnings and profits. We would not be eligible to report any such dividends as interest-related dividends, short-term capital gain dividends, or capital gain dividends. As a result, any such dividend paid to a non-U.S. stockholder that is not effectively connected with a U.S. trade or business of the non-U.S. stockholder (and, if an income tax treaty applies, attributable to a permanent establishment maintained by the non-U.S. stockholder in the United States) would be subject to the 30% (or reduced applicable treaty rate) U.S. withholding tax discussed above regardless of the source of the income giving rise to such distribution. Distributions in excess of our current and accumulated earnings and profits would be treated first as a return of capital to the extent of the non-U.S. stockholder’s adjusted tax basis, and any remaining distributions would be treated as a gain from the sale of the non-U.S. stockholder’s shares subject to taxation as discussed above. For the consequences to the Company for failing to qualify as a RIC, see “— </w:t>
      </w:r>
      <w:r>
        <w:rPr>
          <w:rFonts w:ascii="Times New Roman" w:hAnsi="Times New Roman"/>
          <w:i/>
          <w:color w:val="000000"/>
          <w:sz w:val="20"/>
        </w:rPr>
        <w:t>Failure to Qualify as a RIC</w:t>
      </w:r>
      <w:r>
        <w:rPr>
          <w:rFonts w:ascii="Times New Roman" w:hAnsi="Times New Roman"/>
          <w:color w:val="000000"/>
          <w:sz w:val="20"/>
        </w:rPr>
        <w:t xml:space="preserve">” above. </w:t>
      </w:r>
    </w:p>
    <w:p>
      <w:pPr>
        <w:pStyle w:val="TextBody"/>
        <w:bidi w:val="0"/>
        <w:spacing w:before="100" w:after="120"/>
        <w:jc w:val="both"/>
        <w:rPr>
          <w:rFonts w:ascii="Times New Roman" w:hAnsi="Times New Roman"/>
          <w:color w:val="000000"/>
          <w:sz w:val="20"/>
        </w:rPr>
      </w:pPr>
      <w:r>
        <w:rPr>
          <w:rFonts w:ascii="Times New Roman" w:hAnsi="Times New Roman"/>
          <w:color w:val="000000"/>
          <w:sz w:val="20"/>
        </w:rPr>
        <w:t xml:space="preserve">We must generally report to our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is a resident for tax purposes.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Non-U.S. stockholders should consult their own tax advisers with respect to the U.S. federal income tax and withholding tax, and state, local and non-U.S. tax consequences of an investment in the shares. </w:t>
      </w:r>
    </w:p>
    <w:p>
      <w:pPr>
        <w:pStyle w:val="TextBody"/>
        <w:bidi w:val="0"/>
        <w:spacing w:before="240" w:after="283"/>
        <w:jc w:val="both"/>
        <w:rPr>
          <w:rFonts w:ascii="Times New Roman" w:hAnsi="Times New Roman"/>
          <w:sz w:val="20"/>
        </w:rPr>
      </w:pPr>
      <w:r>
        <w:rPr>
          <w:rFonts w:ascii="Times New Roman" w:hAnsi="Times New Roman"/>
          <w:b/>
          <w:color w:val="000000"/>
          <w:sz w:val="20"/>
        </w:rPr>
        <w:t>Foreign Account Tax Compliance Act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U.S.-source interest and dividends. While the Code would also require withholding on payments of the gross proceeds from the sale of any property that could produce U.S. source interest or dividends, the U.S. Department of the Treasury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such foreign entities certify that they do not have a greater than 10% owner that is a specified U.S. person or provide the withholding agent with identifying information on each greater than 10% owner that is a specified U.S. person. Depending on the status of a beneficial owner and the status of the intermediaries through which they hold their shares, beneficial owners of our common stock could be subject to this 30% withholding tax with respect to distributions on their shares. Under certain circumstances, a beneficial owner might be eligible for refunds or credits of such taxes.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5" w:name="tdoos"/>
      <w:bookmarkEnd w:id="35"/>
      <w:r>
        <w:rPr>
          <w:rFonts w:ascii="Times New Roman" w:hAnsi="Times New Roman"/>
          <w:b/>
          <w:color w:val="000000"/>
          <w:sz w:val="20"/>
        </w:rPr>
        <w:t>DESCRIPTION OF OUR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 </w:t>
      </w:r>
    </w:p>
    <w:p>
      <w:pPr>
        <w:pStyle w:val="TextBody"/>
        <w:bidi w:val="0"/>
        <w:spacing w:before="180" w:after="283"/>
        <w:jc w:val="center"/>
        <w:rPr>
          <w:rFonts w:ascii="Times New Roman" w:hAnsi="Times New Roman"/>
          <w:sz w:val="20"/>
        </w:rPr>
      </w:pPr>
      <w:bookmarkStart w:id="36" w:name="tdooc"/>
      <w:bookmarkEnd w:id="36"/>
      <w:r>
        <w:rPr>
          <w:rFonts w:ascii="Times New Roman" w:hAnsi="Times New Roman"/>
          <w:b/>
          <w:color w:val="000000"/>
          <w:sz w:val="20"/>
        </w:rPr>
        <w:t>DESCRIPTION OF OUR CAPITAL STOCK</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description is based on relevant portions of the Maryland General Corporation Law (the “MGCL”) and on our certificate of incorporation and bylaws. This summary is not necessarily complete, and we refer you to the MGCL and our charter and bylaws for a more detailed description of the provisions summarized below. </w:t>
      </w:r>
    </w:p>
    <w:p>
      <w:pPr>
        <w:pStyle w:val="TextBody"/>
        <w:bidi w:val="0"/>
        <w:spacing w:before="18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the terms of our charter, our authorized stock consists of 100 million shares of common stock, par value $0.01 per share, all of which are initially designated as common stock. As permitted by the MGCL, our charter provides that a majority of the entire Board, without any action by our shareholders, may amend the charter from time to time to increase or decrease the aggregate number of shares of stock or the number of shares of stock of any class or series that we have authority to issue. Our charter also provides that the Board may classify or reclassify any unissued shares of our common stock into one or more classes or series of common stock or preferred stock by setting or changing the preferences, conversion or other rights, voting powers, restrictions, or limitations as to dividends, qualifications, or terms or conditions of redemption of the shares. Unless the Board determines otherwise, we will issue all shares of our stock in uncertificated form.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of our shares of common stock are subject to further calls or to assessments, sinking fund provisions, obligations or potential liabilities associated with ownership of the security (not including investment risks).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following presents our outstanding classes of securities as of March 14, 2025: </w:t>
      </w:r>
    </w:p>
    <w:tbl>
      <w:tblPr>
        <w:tblW w:w="10205" w:type="dxa"/>
        <w:jc w:val="left"/>
        <w:tblInd w:w="0" w:type="dxa"/>
        <w:tblLayout w:type="fixed"/>
        <w:tblCellMar>
          <w:top w:w="28" w:type="dxa"/>
          <w:left w:w="28" w:type="dxa"/>
          <w:bottom w:w="28" w:type="dxa"/>
          <w:right w:w="28" w:type="dxa"/>
        </w:tblCellMar>
      </w:tblPr>
      <w:tblGrid>
        <w:gridCol w:w="1201"/>
        <w:gridCol w:w="146"/>
        <w:gridCol w:w="1549"/>
        <w:gridCol w:w="146"/>
        <w:gridCol w:w="2489"/>
        <w:gridCol w:w="146"/>
        <w:gridCol w:w="4528"/>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8" w:type="dxa"/>
            <w:tcBorders/>
            <w:vAlign w:val="center"/>
          </w:tcPr>
          <w:p>
            <w:pPr>
              <w:pStyle w:val="TableContents"/>
              <w:bidi w:val="0"/>
              <w:spacing w:before="0" w:after="283"/>
              <w:jc w:val="left"/>
              <w:rPr>
                <w:sz w:val="4"/>
                <w:szCs w:val="4"/>
              </w:rPr>
            </w:pPr>
            <w:r>
              <w:rPr>
                <w:sz w:val="4"/>
                <w:szCs w:val="4"/>
              </w:rPr>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 of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Held by Us or for Our Account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Outstanding Exclusive of Amount Held by Us or for Our Account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37,347,428</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before="180" w:after="283"/>
        <w:jc w:val="both"/>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60" w:after="200"/>
        <w:jc w:val="left"/>
        <w:rPr>
          <w:rFonts w:ascii="Times New Roman" w:hAnsi="Times New Roman"/>
          <w:color w:val="000000"/>
          <w:sz w:val="20"/>
        </w:rPr>
      </w:pPr>
      <w:r>
        <w:rPr>
          <w:rFonts w:ascii="Times New Roman" w:hAnsi="Times New Roman"/>
          <w:color w:val="000000"/>
          <w:sz w:val="20"/>
        </w:rPr>
        <w:t xml:space="preserve">Under the terms of our charter, the Board may authorize us to issue shares of preferred stock in one or more classes or series, without shareholder approval, to the extent permitted by the 1940 Act. The Board has the power to fix the preferences, conversion and other rights, voting powers, restrictions, limitations as to dividends and other distributions, qualifications and terms and conditions of redemption of each class or series of preferred stock. We do not currently anticipate issuing preferred stock in the near future. In the event we issue preferred stock, we will make any required disclosure to shareholders. We will not offer preferred stock to the Adviser or our affiliates except on the same terms as offered to all other shareholders.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Preferred stock could be issued with terms that would adversely affect our shareholders. Preferred stock could also be used as an anti-takeover device through the issuance of shares of a class or series of preferred stock with terms and conditions which could have the effect of delaying, deferring or preventing a transaction or a change in control. Every issuance of preferred stock will be required to comply with the requirements of the 1940 Act. The 1940 Act requires, among other things, that: (1) immediately after issuance and before any dividend or other distribution is made with respect to common stock and before any purchase of common stock is made, such preferred stock together with all other senior securities must not exceed an amount equal to 50% of our total assets after deducting the amount of such dividend, distribution or purchase price, as the case may be, and (2) the holders of shares of preferred stock, if any are issued, must be entitled as a class voting separately to elect two directors at all times and to elect a majority of the directors if distributions on such preferred stock are in arrears by two full years or more. Certain matters under the 1940 Act require the affirmative vote of the holders of at least a majority of the outstanding shares of preferred stock (as determined in accordance with the 1940 Act) voting together as a separate class. For example, the vote of such holders of preferred stock would be required to approve a proposal involving a plan of reorganization adversely affecting such securities.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issuance of any preferred stock must be approved by a majority of the independent directors not otherwise interested in the transaction, who will have access, at our expense, to our legal counsel or to independent legal counsel. </w:t>
      </w:r>
    </w:p>
    <w:p>
      <w:pPr>
        <w:pStyle w:val="TextBody"/>
        <w:bidi w:val="0"/>
        <w:spacing w:before="240" w:after="283"/>
        <w:jc w:val="both"/>
        <w:rPr>
          <w:rFonts w:ascii="Times New Roman" w:hAnsi="Times New Roman"/>
          <w:sz w:val="20"/>
        </w:rPr>
      </w:pPr>
      <w:r>
        <w:rPr>
          <w:rFonts w:ascii="Times New Roman" w:hAnsi="Times New Roman"/>
          <w:b/>
          <w:color w:val="000000"/>
          <w:sz w:val="20"/>
        </w:rPr>
        <w:t>Limitation on Liability of Directors and Officers; Indemnification and Advance of Expenses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have entered into indemnification agreements with our directors and executive officers. The indemnification agreements provide our directors and executive officers the maximum indemnification permitted under Maryland law and the 1940 Act. </w:t>
      </w:r>
    </w:p>
    <w:p>
      <w:pPr>
        <w:pStyle w:val="TextBody"/>
        <w:bidi w:val="0"/>
        <w:spacing w:before="220" w:after="283"/>
        <w:jc w:val="both"/>
        <w:rPr>
          <w:rFonts w:ascii="Times New Roman" w:hAnsi="Times New Roman"/>
          <w:sz w:val="20"/>
        </w:rPr>
      </w:pPr>
      <w:r>
        <w:rPr>
          <w:rFonts w:ascii="Times New Roman" w:hAnsi="Times New Roman"/>
          <w:b/>
          <w:color w:val="000000"/>
          <w:sz w:val="20"/>
        </w:rPr>
        <w:t>Certain Provisions of the Maryland General Corporation Law and Our Charter and Bylaws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We expect the benefits of these provisions to outweigh the potential disadvantages of discouraging any such acquisition proposals because, among other things, the negotiation of such proposals may improve their terms. </w:t>
      </w:r>
    </w:p>
    <w:p>
      <w:pPr>
        <w:pStyle w:val="TextBody"/>
        <w:bidi w:val="0"/>
        <w:spacing w:before="220" w:after="283"/>
        <w:jc w:val="both"/>
        <w:rPr>
          <w:rFonts w:ascii="Times New Roman" w:hAnsi="Times New Roman"/>
          <w:sz w:val="20"/>
        </w:rPr>
      </w:pPr>
      <w:r>
        <w:rPr>
          <w:rFonts w:ascii="Times New Roman" w:hAnsi="Times New Roman"/>
          <w:b/>
          <w:i/>
          <w:color w:val="000000"/>
          <w:sz w:val="20"/>
        </w:rPr>
        <w:t>Classified Board of Directors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Board is divided into three classes of directors serving staggered three-year terms.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will help to ensure the continuity and stability of our management and policies. </w:t>
      </w:r>
    </w:p>
    <w:p>
      <w:pPr>
        <w:pStyle w:val="TextBody"/>
        <w:bidi w:val="0"/>
        <w:spacing w:before="220" w:after="283"/>
        <w:jc w:val="both"/>
        <w:rPr>
          <w:rFonts w:ascii="Times New Roman" w:hAnsi="Times New Roman"/>
          <w:sz w:val="20"/>
        </w:rPr>
      </w:pPr>
      <w:r>
        <w:rPr>
          <w:rFonts w:ascii="Times New Roman" w:hAnsi="Times New Roman"/>
          <w:b/>
          <w:i/>
          <w:color w:val="000000"/>
          <w:sz w:val="20"/>
        </w:rPr>
        <w:t>Election of Directors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bylaws, as authorized by our charter,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 </w:t>
      </w:r>
    </w:p>
    <w:p>
      <w:pPr>
        <w:pStyle w:val="TextBody"/>
        <w:bidi w:val="0"/>
        <w:spacing w:before="220" w:after="283"/>
        <w:jc w:val="both"/>
        <w:rPr>
          <w:rFonts w:ascii="Times New Roman" w:hAnsi="Times New Roman"/>
          <w:sz w:val="20"/>
        </w:rPr>
      </w:pPr>
      <w:r>
        <w:rPr>
          <w:rFonts w:ascii="Times New Roman" w:hAnsi="Times New Roman"/>
          <w:b/>
          <w:i/>
          <w:color w:val="000000"/>
          <w:sz w:val="20"/>
        </w:rPr>
        <w:t>Number of Directors; Vacancies; Removal</w:t>
      </w:r>
      <w:r>
        <w:rPr>
          <w:rFonts w:ascii="Times New Roman" w:hAnsi="Times New Roman"/>
          <w:color w:val="000000"/>
          <w:sz w:val="20"/>
        </w:rPr>
        <w:t xml:space="preserve"> </w:t>
      </w:r>
    </w:p>
    <w:p>
      <w:pPr>
        <w:pStyle w:val="TextBody"/>
        <w:bidi w:val="0"/>
        <w:spacing w:before="160" w:after="180"/>
        <w:jc w:val="both"/>
        <w:rPr>
          <w:rFonts w:ascii="Times New Roman" w:hAnsi="Times New Roman"/>
          <w:color w:val="000000"/>
          <w:sz w:val="20"/>
        </w:rPr>
      </w:pPr>
      <w:r>
        <w:rPr>
          <w:rFonts w:ascii="Times New Roman" w:hAnsi="Times New Roman"/>
          <w:color w:val="000000"/>
          <w:sz w:val="20"/>
        </w:rPr>
        <w:t xml:space="preserve">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bidi w:val="0"/>
        <w:jc w:val="both"/>
        <w:rPr>
          <w:rFonts w:ascii="Times New Roman" w:hAnsi="Times New Roman"/>
          <w:color w:val="000000"/>
          <w:sz w:val="20"/>
        </w:rPr>
      </w:pPr>
      <w:r>
        <w:rPr>
          <w:rFonts w:ascii="Times New Roman" w:hAnsi="Times New Roman"/>
          <w:color w:val="000000"/>
          <w:sz w:val="20"/>
        </w:rPr>
        <w:t xml:space="preserve">Our charter provides that a director may be removed only for cause, as defined in our charter, and then only by the affirmative vote of at least two-thirds of the votes entitled to be cast in the election of directors. </w:t>
      </w:r>
    </w:p>
    <w:p>
      <w:pPr>
        <w:pStyle w:val="TextBody"/>
        <w:bidi w:val="0"/>
        <w:spacing w:before="220" w:after="283"/>
        <w:jc w:val="both"/>
        <w:rPr>
          <w:rFonts w:ascii="Times New Roman" w:hAnsi="Times New Roman"/>
          <w:sz w:val="20"/>
        </w:rPr>
      </w:pPr>
      <w:r>
        <w:rPr>
          <w:rFonts w:ascii="Times New Roman" w:hAnsi="Times New Roman"/>
          <w:b/>
          <w:i/>
          <w:color w:val="000000"/>
          <w:sz w:val="20"/>
        </w:rPr>
        <w:t>Action by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i/>
          <w:color w:val="000000"/>
          <w:sz w:val="20"/>
        </w:rPr>
        <w:t>Advance Notice Provisions for Stockholder Nominations and Stockholder Proposals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bylaws provide that with respect to an annual meeting of stockholders, nominations of persons for election to the Board and the proposal of business to be considered by stockholders may be made only (1) pursuant to our notice of the meeting, (2) by or at the direction of the Board or (3) by a stockholder of the Company who is a stockholder of record both at the time of giving of notice provided for in our bylaws and at the time of the annual meeting, who is entitled to vote at the meeting and who has complied with the advance notice provisions of the bylaws. With respect to special meetings of stockholders, only the business specified in our notice of the meeting may be brought before the meeting. Nominations of persons for election to the Board at a special meeting may be made only (1) by or at the direction of the Board or (2) provided that the Board has determined that directors will be elected at the meeting, by a stockholder of the Company who is a stockholder of record both at the time of giving of notice provided for in our bylaws and at the time of the special meeting, who is entitled to vote at the meeting and who has complied with the advance notice provisions of the bylaws.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bidi w:val="0"/>
        <w:spacing w:before="220" w:after="283"/>
        <w:jc w:val="both"/>
        <w:rPr>
          <w:rFonts w:ascii="Times New Roman" w:hAnsi="Times New Roman"/>
          <w:sz w:val="20"/>
        </w:rPr>
      </w:pPr>
      <w:r>
        <w:rPr>
          <w:rFonts w:ascii="Times New Roman" w:hAnsi="Times New Roman"/>
          <w:b/>
          <w:i/>
          <w:color w:val="000000"/>
          <w:sz w:val="20"/>
        </w:rPr>
        <w:t>Calling of Special Meetings of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 </w:t>
      </w:r>
    </w:p>
    <w:p>
      <w:pPr>
        <w:pStyle w:val="TextBody"/>
        <w:bidi w:val="0"/>
        <w:spacing w:before="220" w:after="283"/>
        <w:jc w:val="both"/>
        <w:rPr>
          <w:rFonts w:ascii="Times New Roman" w:hAnsi="Times New Roman"/>
          <w:sz w:val="20"/>
        </w:rPr>
      </w:pPr>
      <w:r>
        <w:rPr>
          <w:rFonts w:ascii="Times New Roman" w:hAnsi="Times New Roman"/>
          <w:b/>
          <w:i/>
          <w:color w:val="000000"/>
          <w:sz w:val="20"/>
        </w:rPr>
        <w:t>Approval of Extraordinary Corporate Action; Amendment of Charter and Bylaws</w:t>
      </w:r>
      <w:r>
        <w:rPr>
          <w:rFonts w:ascii="Times New Roman" w:hAnsi="Times New Roman"/>
          <w:color w:val="000000"/>
          <w:sz w:val="20"/>
        </w:rPr>
        <w:t xml:space="preserve">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 </w:t>
      </w:r>
    </w:p>
    <w:p>
      <w:pPr>
        <w:pStyle w:val="TextBody"/>
        <w:bidi w:val="0"/>
        <w:jc w:val="both"/>
        <w:rPr>
          <w:rFonts w:ascii="Times New Roman" w:hAnsi="Times New Roman"/>
          <w:color w:val="000000"/>
          <w:sz w:val="20"/>
        </w:rPr>
      </w:pPr>
      <w:r>
        <w:rPr>
          <w:rFonts w:ascii="Times New Roman" w:hAnsi="Times New Roman"/>
          <w:color w:val="000000"/>
          <w:sz w:val="20"/>
        </w:rPr>
        <w:t xml:space="preserve">Our charter and bylaws provide that the Board will have the exclusive power to make, alter, amend or repeal any provision of our bylaws. </w:t>
      </w:r>
    </w:p>
    <w:p>
      <w:pPr>
        <w:pStyle w:val="TextBody"/>
        <w:bidi w:val="0"/>
        <w:spacing w:before="240" w:after="283"/>
        <w:jc w:val="both"/>
        <w:rPr>
          <w:rFonts w:ascii="Times New Roman" w:hAnsi="Times New Roman"/>
          <w:sz w:val="20"/>
        </w:rPr>
      </w:pPr>
      <w:r>
        <w:rPr>
          <w:rFonts w:ascii="Times New Roman" w:hAnsi="Times New Roman"/>
          <w:b/>
          <w:i/>
          <w:color w:val="000000"/>
          <w:sz w:val="20"/>
        </w:rPr>
        <w:t>No Appraisal Rights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Except with respect to appraisal rights arising in connection with the Control Share Act discussed below, as permitted by the MGCL, our charter provides that stockholders will not be entitled to exercise appraisal rights unless a majority of the Board shall determine such rights apply.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i/>
          <w:color w:val="000000"/>
          <w:sz w:val="20"/>
        </w:rPr>
        <w:t>Control Share Acquisitions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MGCL Control Share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one-tenth or more but less than one-third;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one-third or more but less than a majority; 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majority or more of all voting power.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before="160" w:after="180"/>
        <w:jc w:val="both"/>
        <w:rPr>
          <w:rFonts w:ascii="Times New Roman" w:hAnsi="Times New Roman"/>
          <w:color w:val="000000"/>
          <w:sz w:val="20"/>
        </w:rPr>
      </w:pPr>
      <w:r>
        <w:rPr>
          <w:rFonts w:ascii="Times New Roman" w:hAnsi="Times New Roman"/>
          <w:color w:val="000000"/>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determines that it would be in our best interests to do so. </w:t>
      </w:r>
    </w:p>
    <w:p>
      <w:pPr>
        <w:pStyle w:val="TextBody"/>
        <w:bidi w:val="0"/>
        <w:spacing w:before="220" w:after="283"/>
        <w:jc w:val="both"/>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person who beneficially owns 10% or more of the voting power of the corporation’s outstanding voting stock;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 affiliate or associate of the corporation who, at any time within the two-year period prior to the date in question, was the beneficial owner of 10% or more of the voting power of the then outstanding voting stock of the corporation.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 person is not an interested stockholder under this statute if the Board approved in advance the transaction by which the stockholder otherwise would have become an interested stockholder. However, in approving a transaction, the Board may provide that its approval is subject to compliance, at or after the time of approval, with any terms and conditions determined by the Board.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After the five-year prohibition, any business combination between the Maryland corporation and an interested stockholder generally must be recommended by the Board of the corporation and approved by the affirmative vote of at least: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80% of the votes entitled to be cast by holders of outstanding shares of voting stock of the corporation;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bidi w:val="0"/>
        <w:spacing w:before="140" w:after="280"/>
        <w:jc w:val="both"/>
        <w:rPr>
          <w:rFonts w:ascii="Times New Roman" w:hAnsi="Times New Roman"/>
          <w:color w:val="000000"/>
          <w:sz w:val="20"/>
        </w:rPr>
      </w:pPr>
      <w:r>
        <w:rPr>
          <w:rFonts w:ascii="Times New Roman" w:hAnsi="Times New Roman"/>
          <w:color w:val="000000"/>
          <w:sz w:val="20"/>
        </w:rPr>
        <w:t xml:space="preserve">The statute permits various exemptions from its provisions, including business combinations that are exempted by the Board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the Board, including a majority of the directors who are not “interested persons” as defined in the 1940 Act. This resolution may be altered or repealed in whole or in part at any time; however, our Board will adopt resolutions so as to make us subject to the provisions of the Business Combination Act only if the Board determines that it would be in our best interests and if the SEC staff does not object to our determination that our being subject to the Business Combination Act does not conflict with the 1940 Act. If this resolution is repealed, or the Board does not otherwise approve a business combination, the statute may discourage others from trying to acquire control of us and increase the difficulty of consummating any offer. </w:t>
      </w:r>
    </w:p>
    <w:p>
      <w:pPr>
        <w:pStyle w:val="TextBody"/>
        <w:bidi w:val="0"/>
        <w:jc w:val="both"/>
        <w:rPr>
          <w:rFonts w:ascii="Times New Roman" w:hAnsi="Times New Roman"/>
          <w:sz w:val="20"/>
        </w:rPr>
      </w:pPr>
      <w:r>
        <w:rPr>
          <w:rFonts w:ascii="Times New Roman" w:hAnsi="Times New Roman"/>
          <w:b/>
          <w:i/>
          <w:color w:val="000000"/>
          <w:sz w:val="20"/>
        </w:rPr>
        <w:t>Conflict with 1940 Act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 </w:t>
      </w:r>
    </w:p>
    <w:p>
      <w:pPr>
        <w:pStyle w:val="TextBody"/>
        <w:bidi w:val="0"/>
        <w:spacing w:before="240" w:after="283"/>
        <w:jc w:val="both"/>
        <w:rPr>
          <w:rFonts w:ascii="Times New Roman" w:hAnsi="Times New Roman"/>
          <w:sz w:val="20"/>
        </w:rPr>
      </w:pPr>
      <w:r>
        <w:rPr>
          <w:rFonts w:ascii="Times New Roman" w:hAnsi="Times New Roman"/>
          <w:b/>
          <w:i/>
          <w:color w:val="000000"/>
          <w:sz w:val="20"/>
        </w:rPr>
        <w:t>Exclusive Forum</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charter and bylaws provide that, to the fullest extent permitted by law, unless we consent in writing to the selection of an alternative forum,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MGCL, the charter or bylaws or the securities, antifraud, unfair trade practices or similar laws of any international, national, state, provincial, territorial, local or other governmental or regulatory authority, including, in each case, the applicable rules and regulations promulgated thereunder, or (iv) any action asserting a claim governed by the internal affairs doctrine shall be a federal or state court located in the state of Delaware, provided that to the extent the appropriate court located in the state of Delaware determines that it does not have jurisdiction over such action, then the sole and exclusive forum shall be any federal or state court located in the state of Maryland. Any person or entity purchasing or otherwise acquiring any interest in shares of capital stock of the Company shall be deemed, to the fullest extent permitted by law, to have notice of and consented to these exclusive forum provisions and to have irrevocably submitted to, and waived any objection to, the exclusive jurisdiction of such courts in connection with any such action or proceeding and consented to process being served in any such action or proceeding, without limitation, by United States mail addressed to the stockholder at the stockholder’s address as it appears on the records of the Company, with postage thereon prepaid. </w:t>
      </w:r>
    </w:p>
    <w:p>
      <w:pPr>
        <w:pStyle w:val="TextBody"/>
        <w:bidi w:val="0"/>
        <w:spacing w:before="240" w:after="283"/>
        <w:jc w:val="both"/>
        <w:rPr>
          <w:rFonts w:ascii="Times New Roman" w:hAnsi="Times New Roman"/>
          <w:sz w:val="20"/>
        </w:rPr>
      </w:pPr>
      <w:r>
        <w:rPr>
          <w:rFonts w:ascii="Times New Roman" w:hAnsi="Times New Roman"/>
          <w:b/>
          <w:color w:val="000000"/>
          <w:sz w:val="20"/>
        </w:rPr>
        <w:t>Transfer Restrictions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shares of our common stock issued and sold by us prior to our initial public offering in reliance upon the available exemptions from the registration requirements of the Securities Act that were not registered for resale in connection with our initial public offering have not been registered under the Securities Act or the securities laws of any jurisdiction and, accordingly, until registered, may not be resold or transferred except as permitted under the Securities Act and the applicable securities laws of any jurisdiction. See “</w:t>
      </w:r>
      <w:r>
        <w:rPr>
          <w:rFonts w:ascii="Times New Roman" w:hAnsi="Times New Roman"/>
          <w:i/>
          <w:color w:val="000000"/>
          <w:sz w:val="20"/>
        </w:rPr>
        <w:t>Shares Eligible For Future Sale</w:t>
      </w:r>
      <w:r>
        <w:rPr>
          <w:rFonts w:ascii="Times New Roman" w:hAnsi="Times New Roman"/>
          <w:color w:val="000000"/>
          <w:sz w:val="20"/>
        </w:rPr>
        <w:t>” for additional information.</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59 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sz w:val="20"/>
        </w:rPr>
      </w:pPr>
      <w:bookmarkStart w:id="37" w:name="tdoop"/>
      <w:bookmarkEnd w:id="37"/>
      <w:r>
        <w:rPr>
          <w:rFonts w:ascii="Times New Roman" w:hAnsi="Times New Roman"/>
          <w:b/>
          <w:color w:val="000000"/>
          <w:sz w:val="20"/>
        </w:rPr>
        <w:t>DESCRIPTION OF OUR PREFERRED STOCK</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shareholder approval. Prior to issuance of shares of each class or series, our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immediately after issuance and before any distribution is made with respect to common stock, we must meet a coverage ratio of total assets (less total liabilities other than indebtedness) to total indebtedness plus preferred stock, of at least 150% (at least 200% prior to June 16, 2022);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features of the preferred stock are further limited by the requirements applicable to RICs under the Code.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any class or series of preferred stock that we may issue, our Board will determine and the articles supplementary and the prospectus supplement relating to such class or series will describe: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designation and number of shares of such class or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rate and time at which, and the preferences and conditions under which, any dividends will be paid on shares of such class or series, as well as whether such dividends are participating or non-participating;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provisions relating to convertibility or exchangeability of the shares of such class or series, including adjustments to the conversion price of such class or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rights and preferences, if any, of holders of shares of such class or series upon our liquidation, dissolution or winding up of our affairs;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voting powers, if any, of the holders of shares of such class or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provisions relating to the redemption of the shares of such class or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limitations on our ability to pay dividends or make distributions on, or acquire or redeem, other securities while shares of such class or series are outstanding;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conditions or restrictions on our ability to issue additional shares of such class or series or other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applicable, a discussion of certain U.S. federal income tax considerations;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other relative powers, preferences and participating, optional or special rights of shares of such class or series, and the qualifications, limitations or restrictions thereof.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38" w:name="tdoos1"/>
      <w:bookmarkEnd w:id="38"/>
      <w:r>
        <w:rPr>
          <w:rFonts w:ascii="Times New Roman" w:hAnsi="Times New Roman"/>
          <w:b/>
          <w:color w:val="000000"/>
          <w:sz w:val="20"/>
        </w:rPr>
        <w:t>DESCRIPTION OF OUR SUBSCRIPTION RIGHTS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issue subscription rights to our shareholders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shareholders, we would distribute certificates evidencing the subscription rights and a prospectus supplement to our shareholders on the record date that we set for receiving subscription rights in such subscription rights offering.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applicable prospectus supplement would describe the following terms of subscription rights in respect of which this prospectus is being delivered: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period of time the offering would remain open (which shall be open a minimum number of days such that all record holders would be eligible to participate in the offering and shall not be open longer than 120 days);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title of such subscription rights;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exercise price for such subscription rights (or method of calculation thereof);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ratio of the offering (which, in the case of transferable rights, will require a minimum of three shares to be held of record before a person is entitled to purchase an additional share);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number of such subscription rights issued to each shareholder;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extent to which such subscription rights are transferable and the market on which they may be traded if they are transferable;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a discussion of certain U.S. federal income tax considerations applicable to the issuance or exercise of such subscription rights;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date on which the right to exercise such subscription rights shall commence, and the date on which such right shall expire (subject to any extension);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extent to which such subscription rights include an over-subscription privilege with respect to unsubscribed securities and the terms of such over-subscription privilege;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termination right we may have in connection with such subscription rights offering;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other terms of such subscription rights, including exercise, settlement and other procedures and limitations relating to the transfer and exercise of such subscription rights. </w:t>
      </w:r>
    </w:p>
    <w:p>
      <w:pPr>
        <w:pStyle w:val="TextBody"/>
        <w:bidi w:val="0"/>
        <w:spacing w:before="220" w:after="283"/>
        <w:jc w:val="both"/>
        <w:rPr>
          <w:rFonts w:ascii="Times New Roman" w:hAnsi="Times New Roman"/>
          <w:sz w:val="20"/>
        </w:rPr>
      </w:pPr>
      <w:r>
        <w:rPr>
          <w:rFonts w:ascii="Times New Roman" w:hAnsi="Times New Roman"/>
          <w:b/>
          <w:color w:val="000000"/>
          <w:sz w:val="20"/>
        </w:rPr>
        <w:t>Exercise of Subscription Rights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shareholders, to or through agents, underwriters or dealers or through a combination of such methods, as set forth in the applicable prospectus supplement. </w:t>
      </w:r>
    </w:p>
    <w:p>
      <w:pPr>
        <w:pStyle w:val="TextBody"/>
        <w:bidi w:val="0"/>
        <w:spacing w:before="220" w:after="283"/>
        <w:jc w:val="both"/>
        <w:rPr>
          <w:rFonts w:ascii="Times New Roman" w:hAnsi="Times New Roman"/>
          <w:sz w:val="20"/>
        </w:rPr>
      </w:pPr>
      <w:r>
        <w:rPr>
          <w:rFonts w:ascii="Times New Roman" w:hAnsi="Times New Roman"/>
          <w:b/>
          <w:color w:val="000000"/>
          <w:sz w:val="20"/>
        </w:rPr>
        <w:t>Dilutive Effects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shareholder who chooses not to participate in a rights offering should expect to own a smaller interest in us upon completion of such rights offering. Any rights offering will dilute the ownership interest and voting power of shareholders who do not fully exercise their subscription rights. Further, because the net proceeds per share from any rights offering may be lower than our then-current net asset value per share, the rights offering may reduce our net asset value per share. The amount of dilution that a shareholder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significant number of additional shares may be issued upon completion of such rights offering. All of our shareholders will also indirectly bear the expenses associated with any rights offering we may conduct, regardless of whether they elect to exercise any rights. </w:t>
      </w:r>
    </w:p>
    <w:p>
      <w:pPr>
        <w:pStyle w:val="TextBody"/>
        <w:bidi w:val="0"/>
        <w:spacing w:before="240" w:after="283"/>
        <w:jc w:val="center"/>
        <w:rPr>
          <w:rFonts w:ascii="Times New Roman" w:hAnsi="Times New Roman"/>
          <w:sz w:val="20"/>
        </w:rPr>
      </w:pPr>
      <w:bookmarkStart w:id="39" w:name="tdoow"/>
      <w:bookmarkEnd w:id="39"/>
      <w:r>
        <w:rPr>
          <w:rFonts w:ascii="Times New Roman" w:hAnsi="Times New Roman"/>
          <w:b/>
          <w:color w:val="000000"/>
          <w:sz w:val="20"/>
        </w:rPr>
        <w:t>DESCRIPTION OF OUR WARRANTS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 prospectus supplement will describe the particular terms of any series of warrants we may issue, including the following: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title of such warrants;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aggregate number of such warrants;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price or prices at which such warrants will be issued;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currency or currencies, including composite currencies, in which the price of such warrants may be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the designation and terms of the securities with which the warrants are issued and the number of warrants issued with each such security or each principal amount of such security;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date on which the right to exercise such warrants shall commence and the date on which such right will expire;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whether such warrants will be issued in registered form or bearer form;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the minimum or maximum amount of such warrants which may be exercised at any one time;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the date on and after which such warrants and the related securities will be separately transferable;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information with respect to book-entry procedures, if any;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terms of the securities issuable upon exercise of the warrants;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applicable, a discussion of certain U.S. federal income tax considerations;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other terms of such warrants, including terms, procedures and limitations relating to the exchange and exercise of such warrants.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the 1940 Act, we may generally only offer warrants provided that (1) the warrants expire by their terms within ten years; (2) the exercise or conversion price is not less than the current market value at the date of issuance; (3) our shareholders authorize the proposal to issue such warrants, and our Board approves such issuance on the basis that the issuance is in the best interests of us and our shareholders;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40" w:name="tdood"/>
      <w:bookmarkEnd w:id="40"/>
      <w:r>
        <w:rPr>
          <w:rFonts w:ascii="Times New Roman" w:hAnsi="Times New Roman"/>
          <w:b/>
          <w:color w:val="000000"/>
          <w:sz w:val="20"/>
        </w:rPr>
        <w:t>DESCRIPTION OF OUR DEBT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140" w:after="283"/>
        <w:jc w:val="both"/>
        <w:rPr>
          <w:rFonts w:ascii="Times New Roman" w:hAnsi="Times New Roman"/>
          <w:sz w:val="20"/>
        </w:rPr>
      </w:pPr>
      <w:r>
        <w:rPr>
          <w:rFonts w:ascii="Times New Roman" w:hAnsi="Times New Roman"/>
          <w:color w:val="000000"/>
          <w:sz w:val="20"/>
        </w:rPr>
        <w:t xml:space="preserve">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w:t>
      </w:r>
      <w:r>
        <w:rPr>
          <w:rFonts w:ascii="Times New Roman" w:hAnsi="Times New Roman"/>
          <w:i/>
          <w:color w:val="000000"/>
          <w:sz w:val="20"/>
        </w:rPr>
        <w:t>Events of Default — Remedies If an Event of Default Occurs</w:t>
      </w:r>
      <w:r>
        <w:rPr>
          <w:rFonts w:ascii="Times New Roman" w:hAnsi="Times New Roman"/>
          <w:color w:val="000000"/>
          <w:sz w:val="20"/>
        </w:rPr>
        <w:t xml:space="preserve">.” Second, the trustee performs certain administrative duties for us. </w:t>
      </w:r>
    </w:p>
    <w:p>
      <w:pPr>
        <w:pStyle w:val="TextBody"/>
        <w:bidi w:val="0"/>
        <w:spacing w:before="140" w:after="283"/>
        <w:jc w:val="both"/>
        <w:rPr>
          <w:rFonts w:ascii="Times New Roman" w:hAnsi="Times New Roman"/>
          <w:sz w:val="20"/>
        </w:rPr>
      </w:pPr>
      <w:r>
        <w:rPr>
          <w:rFonts w:ascii="Times New Roman" w:hAnsi="Times New Roman"/>
          <w:color w:val="000000"/>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w:t>
      </w:r>
      <w:r>
        <w:rPr>
          <w:rFonts w:ascii="Times New Roman" w:hAnsi="Times New Roman"/>
          <w:i/>
          <w:color w:val="000000"/>
          <w:sz w:val="20"/>
        </w:rPr>
        <w:t>Available Information</w:t>
      </w:r>
      <w:r>
        <w:rPr>
          <w:rFonts w:ascii="Times New Roman" w:hAnsi="Times New Roman"/>
          <w:color w:val="000000"/>
          <w:sz w:val="20"/>
        </w:rPr>
        <w:t xml:space="preserve">” for information on how to obtain a copy of the applicable indenture.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prospectus supplement, which will accompany this prospectus, will describe the particular series of debt securities being offered, including, among other things: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designation or title of the series of debt securities;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total principal amount of the series of debt securities;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percentage of the principal amount at which the series of debt securities will be offered;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date or dates on which principal will be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rate or rates (which may be either fixed or variable) and/or the method of determining such rate or rates of interest, if any;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date or dates from which any interest will accrue, or the method of determining such date or dates, and the date or dates on which any interest will be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whether any interest may be paid by issuing additional securities of the same series in lieu of cash (and the terms upon which any such interest may be paid by issuing additional securities);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terms for redemption, extension or early repayment, if any;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currencies in which the series of debt securities are issued and payable;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place or places, if any, other than or in addition to the Borough of Manhattan in the City of New York, of payment, transfer, conversion and/or exchange of the debt securities;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denominations in which the offered debt securities will be issued (if other than $1,000 and any integral multiple thereof);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provision for any sinking fund;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restrictive covenants;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any Events of Default;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the series of debt securities is issuable in certificated form;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provisions for defeasance or covenant defeasance;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special federal income tax implications, including, if applicable, U.S. federal income tax considerations relating to original issue discount;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and under what circumstances we will pay additional amounts in respect of any tax, assessment or governmental charge and, if so, whether we will have the option to redeem the debt securities rather than pay the additional amounts (and the terms of this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provisions for convertibility or exchangeability of the debt securities into or for any other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the debt securities are subject to subordination and the terms of such subordination;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the debt securities are secured and the terms of any security interest;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listing, if any, on a securities exchange;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any other terms.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160" w:after="283"/>
        <w:jc w:val="both"/>
        <w:rPr>
          <w:rFonts w:ascii="Times New Roman" w:hAnsi="Times New Roman"/>
          <w:sz w:val="20"/>
        </w:rPr>
      </w:pPr>
      <w:r>
        <w:rPr>
          <w:rFonts w:ascii="Times New Roman" w:hAnsi="Times New Roman"/>
          <w:color w:val="000000"/>
          <w:sz w:val="20"/>
        </w:rPr>
        <w:t>Generally, pursuant to the 1940 Act, our total borrowings are limited so that we cannot incur additional borrowings if immediately after such borrowing or issuance, the ratio of our total assets (less total liabilities other than indebtedness represented by senior securities) to our total indebtedness represented by senior securities plus preferred stock, if any, is at least 200%. However, legislation enacted in March 2018 has modified the 1940 Act by allowing a BDC to increase the maximum amount of leverage it may incur from an asset coverage ratio of 200% to an asset coverage ratio of 150%, if certain requirements are met. This means that generally, a BDC can borrow up to $1 for every $1 of investor equity or, if certain requirements are met and it reduces its asset coverage ratio, it can borrow up to $2 for every $1 of investor equity. The reduced asset coverage requirement would permit a BDC to double the amount of leverage it could incur. We are permitted to increase our asset coverage ratio to at least 150% if stockholders representing at least a majority of the votes cast, at an annual or special meeting at which quorum is met, approve a proposal to do so. On June 16, 2022, our stockholders approved the reduced asset coverage ratio at our 2022 annual meeting of stockholders. The reduced asset coverage ratio of 150% became effective upon receiving stockholder approval. We may also borrow amounts up to 5% of the value of our gross assets for temporary purposes without regard to asset coverage. For a discussion of the risks associated with leverage, see “</w:t>
      </w:r>
      <w:r>
        <w:rPr>
          <w:rFonts w:ascii="Times New Roman" w:hAnsi="Times New Roman"/>
          <w:i/>
          <w:color w:val="000000"/>
          <w:sz w:val="20"/>
        </w:rPr>
        <w:t>Risk Factors — Risks Related to Business Development Companies — Regulations governing our operation as a business development company and RIC affect our ability to raise capital and the way in which we raise additional capital or borrow for investment purposes, which may have a negative effect on our growth. As a business development company, the necessity of raising additional capital may expose us to risks, including risks associated with leverage</w:t>
      </w:r>
      <w:r>
        <w:rPr>
          <w:rFonts w:ascii="Times New Roman" w:hAnsi="Times New Roman"/>
          <w:color w:val="000000"/>
          <w:sz w:val="20"/>
        </w:rPr>
        <w:t xml:space="preserve">” in our most recent Annual Report on Form 10-K. </w:t>
      </w:r>
    </w:p>
    <w:p>
      <w:pPr>
        <w:pStyle w:val="TextBody"/>
        <w:bidi w:val="0"/>
        <w:spacing w:before="240" w:after="283"/>
        <w:jc w:val="both"/>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160" w:after="180"/>
        <w:jc w:val="both"/>
        <w:rPr>
          <w:rFonts w:ascii="Times New Roman" w:hAnsi="Times New Roman"/>
          <w:sz w:val="20"/>
        </w:rPr>
      </w:pPr>
      <w:r>
        <w:rPr>
          <w:rFonts w:ascii="Times New Roman" w:hAnsi="Times New Roman"/>
          <w:color w:val="000000"/>
          <w:sz w:val="20"/>
        </w:rPr>
        <w:t xml:space="preserve">The indenture does not limit the amount of debt securities that may be issued thereunder from time to time. The indenture also provides that there may be more than one trustee thereunder, each with respect to one or more different series of indenture securities. See “— </w:t>
      </w:r>
      <w:r>
        <w:rPr>
          <w:rFonts w:ascii="Times New Roman" w:hAnsi="Times New Roman"/>
          <w:i/>
          <w:color w:val="000000"/>
          <w:sz w:val="20"/>
        </w:rPr>
        <w:t>Resignation of Trustee</w:t>
      </w:r>
      <w:r>
        <w:rPr>
          <w:rFonts w:ascii="Times New Roman" w:hAnsi="Times New Roman"/>
          <w:color w:val="000000"/>
          <w:sz w:val="20"/>
        </w:rPr>
        <w:t xml:space="preserv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jc w:val="both"/>
        <w:rPr>
          <w:rFonts w:ascii="Times New Roman" w:hAnsi="Times New Roman"/>
          <w:sz w:val="20"/>
        </w:rPr>
      </w:pPr>
      <w:r>
        <w:rPr>
          <w:rFonts w:ascii="Times New Roman" w:hAnsi="Times New Roman"/>
          <w:color w:val="000000"/>
          <w:sz w:val="20"/>
        </w:rPr>
        <w:t xml:space="preserve">Except as described under “— </w:t>
      </w:r>
      <w:r>
        <w:rPr>
          <w:rFonts w:ascii="Times New Roman" w:hAnsi="Times New Roman"/>
          <w:i/>
          <w:color w:val="000000"/>
          <w:sz w:val="20"/>
        </w:rPr>
        <w:t>Events of Default</w:t>
      </w:r>
      <w:r>
        <w:rPr>
          <w:rFonts w:ascii="Times New Roman" w:hAnsi="Times New Roman"/>
          <w:color w:val="000000"/>
          <w:sz w:val="20"/>
        </w:rPr>
        <w:t xml:space="preserve">” and “— </w:t>
      </w:r>
      <w:r>
        <w:rPr>
          <w:rFonts w:ascii="Times New Roman" w:hAnsi="Times New Roman"/>
          <w:i/>
          <w:color w:val="000000"/>
          <w:sz w:val="20"/>
        </w:rPr>
        <w:t>Merger or Consolidation</w:t>
      </w:r>
      <w:r>
        <w:rPr>
          <w:rFonts w:ascii="Times New Roman" w:hAnsi="Times New Roman"/>
          <w:color w:val="000000"/>
          <w:sz w:val="20"/>
        </w:rPr>
        <w:t xml:space="preserve">” below, the indenture does not contain any provisions that give you protection in the event we issue a large amount of debt or we are acquired by another entity.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220" w:after="283"/>
        <w:jc w:val="both"/>
        <w:rPr>
          <w:rFonts w:ascii="Times New Roman" w:hAnsi="Times New Roman"/>
          <w:sz w:val="20"/>
        </w:rPr>
      </w:pPr>
      <w:r>
        <w:rPr>
          <w:rFonts w:ascii="Times New Roman" w:hAnsi="Times New Roman"/>
          <w:b/>
          <w:color w:val="000000"/>
          <w:sz w:val="20"/>
        </w:rPr>
        <w:t>Conversion and Exchange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220" w:after="283"/>
        <w:jc w:val="both"/>
        <w:rPr>
          <w:rFonts w:ascii="Times New Roman" w:hAnsi="Times New Roman"/>
          <w:sz w:val="20"/>
        </w:rPr>
      </w:pPr>
      <w:r>
        <w:rPr>
          <w:rFonts w:ascii="Times New Roman" w:hAnsi="Times New Roman"/>
          <w:b/>
          <w:color w:val="000000"/>
          <w:sz w:val="20"/>
        </w:rPr>
        <w:t>Issuance of Securities in Registered Form</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220" w:after="283"/>
        <w:jc w:val="both"/>
        <w:rPr>
          <w:rFonts w:ascii="Times New Roman" w:hAnsi="Times New Roman"/>
          <w:sz w:val="20"/>
        </w:rPr>
      </w:pPr>
      <w:r>
        <w:rPr>
          <w:rFonts w:ascii="Times New Roman" w:hAnsi="Times New Roman"/>
          <w:b/>
          <w:i/>
          <w:color w:val="000000"/>
          <w:sz w:val="20"/>
        </w:rPr>
        <w:t>Book-Entry 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240" w:after="283"/>
        <w:jc w:val="both"/>
        <w:rPr>
          <w:rFonts w:ascii="Times New Roman" w:hAnsi="Times New Roman"/>
          <w:sz w:val="20"/>
        </w:rPr>
      </w:pPr>
      <w:r>
        <w:rPr>
          <w:rFonts w:ascii="Times New Roman" w:hAnsi="Times New Roman"/>
          <w:b/>
          <w:i/>
          <w:color w:val="000000"/>
          <w:sz w:val="20"/>
        </w:rPr>
        <w:t>Street Name 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color w:val="000000"/>
          <w:sz w:val="20"/>
        </w:rPr>
        <w:t>Legal 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240" w:after="283"/>
        <w:jc w:val="both"/>
        <w:rPr>
          <w:rFonts w:ascii="Times New Roman" w:hAnsi="Times New Roman"/>
          <w:sz w:val="20"/>
        </w:rPr>
      </w:pPr>
      <w:r>
        <w:rPr>
          <w:rFonts w:ascii="Times New Roman" w:hAnsi="Times New Roman"/>
          <w:b/>
          <w:i/>
          <w:color w:val="000000"/>
          <w:sz w:val="20"/>
        </w:rPr>
        <w:t>Special Considerations for Indirect 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how it handles securities payments and notices,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it imposes fees or charges,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how it would handle a request for the holders’ consent, if ever required,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whether and how you can instruct it to send you debt securities registered in your own name so you can be a holder, if that is permitted in the future for a particular series of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how it would exercise rights under the debt securities if there were a default or other event triggering the need for holders to act to protect their interests,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if the debt securities are in book-entry form, how the depositary’s rules and procedures will affect these matters. </w:t>
      </w:r>
    </w:p>
    <w:p>
      <w:pPr>
        <w:pStyle w:val="TextBody"/>
        <w:bidi w:val="0"/>
        <w:spacing w:before="240" w:after="283"/>
        <w:jc w:val="both"/>
        <w:rPr>
          <w:rFonts w:ascii="Times New Roman" w:hAnsi="Times New Roman"/>
          <w:sz w:val="20"/>
        </w:rPr>
      </w:pPr>
      <w:r>
        <w:rPr>
          <w:rFonts w:ascii="Times New Roman" w:hAnsi="Times New Roman"/>
          <w:b/>
          <w:color w:val="000000"/>
          <w:sz w:val="20"/>
        </w:rPr>
        <w:t>Global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140" w:after="283"/>
        <w:jc w:val="both"/>
        <w:rPr>
          <w:rFonts w:ascii="Times New Roman" w:hAnsi="Times New Roman"/>
          <w:sz w:val="20"/>
        </w:rPr>
      </w:pPr>
      <w:r>
        <w:rPr>
          <w:rFonts w:ascii="Times New Roman" w:hAnsi="Times New Roman"/>
          <w:color w:val="000000"/>
          <w:sz w:val="20"/>
        </w:rPr>
        <w:t xml:space="preserve">A global security may not be transferred to or registered in the name of anyone other than the depositary or its nominee, unless special termination situations arise. We describe those situations below under “— </w:t>
      </w:r>
      <w:r>
        <w:rPr>
          <w:rFonts w:ascii="Times New Roman" w:hAnsi="Times New Roman"/>
          <w:i/>
          <w:color w:val="000000"/>
          <w:sz w:val="20"/>
        </w:rPr>
        <w:t>Special Situations when a Global Security Will Be Terminated</w:t>
      </w:r>
      <w:r>
        <w:rPr>
          <w:rFonts w:ascii="Times New Roman" w:hAnsi="Times New Roman"/>
          <w:color w:val="000000"/>
          <w:sz w:val="20"/>
        </w:rPr>
        <w:t xml:space="preserve">”.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both"/>
        <w:rPr>
          <w:rFonts w:ascii="Times New Roman" w:hAnsi="Times New Roman"/>
          <w:sz w:val="20"/>
        </w:rPr>
      </w:pPr>
      <w:r>
        <w:rPr>
          <w:rFonts w:ascii="Times New Roman" w:hAnsi="Times New Roman"/>
          <w:b/>
          <w:i/>
          <w:color w:val="000000"/>
          <w:sz w:val="20"/>
        </w:rPr>
        <w:t>Special Considerations for Global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debt securities are issued only in the form of a global security, an investor should be aware of the following: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investor cannot cause the debt securities to be registered in his or her name, and cannot obtain certificates for his or her interest in the debt securities, except in the special situations we describe below.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 An investor will be an indirect holder and must look to his or her own bank or broker for payments on the debt securities and protection of his or her legal rights relating to the debt securities, as we describe under “— </w:t>
      </w:r>
      <w:r>
        <w:rPr>
          <w:rFonts w:ascii="Times New Roman" w:hAnsi="Times New Roman"/>
          <w:i/>
          <w:color w:val="000000"/>
          <w:sz w:val="20"/>
        </w:rPr>
        <w:t>Issuance of Securities in Registered Form</w:t>
      </w:r>
      <w:r>
        <w:rPr>
          <w:rFonts w:ascii="Times New Roman" w:hAnsi="Times New Roman"/>
          <w:color w:val="000000"/>
          <w:sz w:val="20"/>
        </w:rPr>
        <w:t xml:space="preserve">”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investor may not be able to sell interests in the debt securities to some insurance companies and other institutions that are required by law to own their securities in non-book-entry form.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investor may not be able to pledge his or her interest in a global security in circumstances where certificates representing the debt securities must be delivered to the lender or other beneficiary of the pledge in order for the pledge to be effective.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If we redeem less than all the debt securities of a particular series being redeemed, DTC’s practice is to determine by lot the amount to be redeemed from each of its participants holding that series.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DTC requires that those who purchase and sell interests in a global security deposited in its book-entry system use immediately available funds. Your broker or bank may also require you to use immediately available funds when purchasing or selling interests in a global security. </w:t>
      </w:r>
    </w:p>
    <w:p>
      <w:pPr>
        <w:pStyle w:val="TextBody"/>
        <w:bidi w:val="0"/>
        <w:spacing w:before="120" w:after="260"/>
        <w:jc w:val="both"/>
        <w:rPr>
          <w:rFonts w:ascii="Times New Roman" w:hAnsi="Times New Roman"/>
          <w:color w:val="000000"/>
          <w:sz w:val="20"/>
        </w:rPr>
      </w:pPr>
      <w:r>
        <w:rPr>
          <w:rFonts w:ascii="Times New Roman" w:hAnsi="Times New Roman"/>
          <w:color w:val="000000"/>
          <w:sz w:val="20"/>
        </w:rPr>
        <w:t xml:space="preserve"> 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p>
    <w:p>
      <w:pPr>
        <w:pStyle w:val="TextBody"/>
        <w:bidi w:val="0"/>
        <w:jc w:val="both"/>
        <w:rPr>
          <w:rFonts w:ascii="Times New Roman" w:hAnsi="Times New Roman"/>
          <w:sz w:val="20"/>
        </w:rPr>
      </w:pPr>
      <w:r>
        <w:rPr>
          <w:rFonts w:ascii="Times New Roman" w:hAnsi="Times New Roman"/>
          <w:b/>
          <w:i/>
          <w:color w:val="000000"/>
          <w:sz w:val="20"/>
        </w:rPr>
        <w:t>Termination of a Global Security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w:t>
      </w:r>
      <w:r>
        <w:rPr>
          <w:rFonts w:ascii="Times New Roman" w:hAnsi="Times New Roman"/>
          <w:i/>
          <w:color w:val="000000"/>
          <w:sz w:val="20"/>
        </w:rPr>
        <w:t>Issuance of Securities in Registered Form</w:t>
      </w:r>
      <w:r>
        <w:rPr>
          <w:rFonts w:ascii="Times New Roman" w:hAnsi="Times New Roman"/>
          <w:color w:val="000000"/>
          <w:sz w:val="20"/>
        </w:rPr>
        <w:t xml:space="preserve">” above.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 </w:t>
      </w:r>
    </w:p>
    <w:p>
      <w:pPr>
        <w:pStyle w:val="TextBody"/>
        <w:bidi w:val="0"/>
        <w:spacing w:before="220" w:after="283"/>
        <w:jc w:val="both"/>
        <w:rPr>
          <w:rFonts w:ascii="Times New Roman" w:hAnsi="Times New Roman"/>
          <w:sz w:val="20"/>
        </w:rPr>
      </w:pPr>
      <w:r>
        <w:rPr>
          <w:rFonts w:ascii="Times New Roman" w:hAnsi="Times New Roman"/>
          <w:b/>
          <w:color w:val="000000"/>
          <w:sz w:val="20"/>
        </w:rPr>
        <w:t>Payment and Paying Agents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220" w:after="283"/>
        <w:jc w:val="both"/>
        <w:rPr>
          <w:rFonts w:ascii="Times New Roman" w:hAnsi="Times New Roman"/>
          <w:sz w:val="20"/>
        </w:rPr>
      </w:pPr>
      <w:r>
        <w:rPr>
          <w:rFonts w:ascii="Times New Roman" w:hAnsi="Times New Roman"/>
          <w:b/>
          <w:color w:val="000000"/>
          <w:sz w:val="20"/>
        </w:rPr>
        <w:t>Payments on Global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220" w:after="283"/>
        <w:jc w:val="both"/>
        <w:rPr>
          <w:rFonts w:ascii="Times New Roman" w:hAnsi="Times New Roman"/>
          <w:sz w:val="20"/>
        </w:rPr>
      </w:pPr>
      <w:r>
        <w:rPr>
          <w:rFonts w:ascii="Times New Roman" w:hAnsi="Times New Roman"/>
          <w:b/>
          <w:color w:val="000000"/>
          <w:sz w:val="20"/>
        </w:rPr>
        <w:t>Payments on Certificated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 </w:t>
      </w:r>
    </w:p>
    <w:p>
      <w:pPr>
        <w:pStyle w:val="TextBody"/>
        <w:bidi w:val="0"/>
        <w:spacing w:before="240" w:after="283"/>
        <w:jc w:val="both"/>
        <w:rPr>
          <w:rFonts w:ascii="Times New Roman" w:hAnsi="Times New Roman"/>
          <w:sz w:val="20"/>
        </w:rPr>
      </w:pPr>
      <w:r>
        <w:rPr>
          <w:rFonts w:ascii="Times New Roman" w:hAnsi="Times New Roman"/>
          <w:b/>
          <w:color w:val="000000"/>
          <w:sz w:val="20"/>
        </w:rPr>
        <w:t>Payment When Offices Are Closed</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Book-entry and other indirect holders should consult their banks or brokers for information on how they will receive payments on their debt securities. </w:t>
      </w:r>
    </w:p>
    <w:p>
      <w:pPr>
        <w:pStyle w:val="TextBody"/>
        <w:bidi w:val="0"/>
        <w:spacing w:before="220" w:after="283"/>
        <w:jc w:val="both"/>
        <w:rPr>
          <w:rFonts w:ascii="Times New Roman" w:hAnsi="Times New Roman"/>
          <w:sz w:val="20"/>
        </w:rPr>
      </w:pPr>
      <w:r>
        <w:rPr>
          <w:rFonts w:ascii="Times New Roman" w:hAnsi="Times New Roman"/>
          <w:b/>
          <w:color w:val="000000"/>
          <w:sz w:val="20"/>
        </w:rPr>
        <w:t>Events of Default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will have rights if an Event of Default occurs in respect of the debt securities of your series and is not cured, as described later in this subsection.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term “Event of Default” in respect of the debt securities of your series means any of the following (unless the prospectus supplement relating to such debt securities states otherwise):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(1) we default in the payment of any interest upon a debt securities of the series when due and payable and the default continues for a period of 30 days;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(2) we default in the payment of the principal of (or premium, if any, on) a debt security of the series when it becomes due and payable at its maturity, including upon any redemption date or required repurchase date, and the default continues for a period of five days;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(3) 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(4)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69 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(5) we file for bankruptcy or certain events of bankruptcy, insolvency, or reorganization involving us occur and remain undischarged or unstayed for a period of 60 days;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(6) we do not deposit any sinking fund payment in respect of debt securities of the series on its due date, and do not cure this default within five days; and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(7) any other Event of Default in respect of debt securities of the series described in the applicable prospectus supplement occurs.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 </w:t>
      </w:r>
    </w:p>
    <w:p>
      <w:pPr>
        <w:pStyle w:val="TextBody"/>
        <w:bidi w:val="0"/>
        <w:spacing w:before="220" w:after="283"/>
        <w:jc w:val="both"/>
        <w:rPr>
          <w:rFonts w:ascii="Times New Roman" w:hAnsi="Times New Roman"/>
          <w:sz w:val="20"/>
        </w:rPr>
      </w:pPr>
      <w:r>
        <w:rPr>
          <w:rFonts w:ascii="Times New Roman" w:hAnsi="Times New Roman"/>
          <w:b/>
          <w:i/>
          <w:color w:val="000000"/>
          <w:sz w:val="20"/>
        </w:rPr>
        <w:t>Remedies If an Event of Default Occurs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before="140" w:after="180"/>
        <w:jc w:val="both"/>
        <w:rPr>
          <w:rFonts w:ascii="Times New Roman" w:hAnsi="Times New Roman"/>
          <w:color w:val="000000"/>
          <w:sz w:val="20"/>
        </w:rPr>
      </w:pPr>
      <w:r>
        <w:rPr>
          <w:rFonts w:ascii="Times New Roman" w:hAnsi="Times New Roman"/>
          <w:color w:val="000000"/>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jc w:val="both"/>
        <w:rPr>
          <w:rFonts w:ascii="Times New Roman" w:hAnsi="Times New Roman"/>
          <w:color w:val="000000"/>
          <w:sz w:val="20"/>
        </w:rPr>
      </w:pPr>
      <w:r>
        <w:rPr>
          <w:rFonts w:ascii="Times New Roman" w:hAnsi="Times New Roman"/>
          <w:color w:val="000000"/>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You must give your trustee written notice that an Event of Default with respect to the relevant series of debt securities has occurred and remains uncured.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trustee must not have taken action for 60 days after receipt of the above notice and offer of security or indemnity.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holders of a majority in principal amount of the debt securities of that series must not have given the trustee a direction inconsistent with the above notice during that 60-day period.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However, you are entitled at any time to bring a lawsuit for the payment of money due on your debt securities on or after the due date.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Holders of a majority in principal amount of the debt securities of the affected series may waive any past defaults other than a default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the payment of principal, any premium, or interest or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in respect of a covenant that cannot be modified or amended without the consent of each holder. </w:t>
      </w:r>
    </w:p>
    <w:p>
      <w:pPr>
        <w:pStyle w:val="TextBody"/>
        <w:bidi w:val="0"/>
        <w:spacing w:before="140" w:after="283"/>
        <w:jc w:val="left"/>
        <w:rPr>
          <w:rFonts w:ascii="Times New Roman" w:hAnsi="Times New Roman"/>
          <w:sz w:val="20"/>
        </w:rPr>
      </w:pPr>
      <w:r>
        <w:rPr>
          <w:rFonts w:ascii="Times New Roman" w:hAnsi="Times New Roman"/>
          <w:b/>
          <w:color w:val="000000"/>
          <w:sz w:val="20"/>
        </w:rPr>
        <w:t>Book-entry and other indirect holders should consult their banks or brokers for information on how to give notice or direction to or make a request of the trustee and how to declare or cancel an acceleration of maturity.</w:t>
      </w:r>
      <w:r>
        <w:rPr>
          <w:rFonts w:ascii="Times New Roman" w:hAnsi="Times New Roman"/>
          <w:color w:val="000000"/>
          <w:sz w:val="20"/>
        </w:rPr>
        <w:t xml:space="preserv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color w:val="000000"/>
          <w:sz w:val="20"/>
        </w:rPr>
        <w:t>Merger, Consolidation or Sale of Assets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immediately before and immediately after giving effect to such transaction or series of related transactions, no default or Event of Default shall have occurred and be continuing;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before="240" w:after="283"/>
        <w:jc w:val="both"/>
        <w:rPr>
          <w:rFonts w:ascii="Times New Roman" w:hAnsi="Times New Roman"/>
          <w:sz w:val="20"/>
        </w:rPr>
      </w:pPr>
      <w:r>
        <w:rPr>
          <w:rFonts w:ascii="Times New Roman" w:hAnsi="Times New Roman"/>
          <w:b/>
          <w:color w:val="000000"/>
          <w:sz w:val="20"/>
        </w:rPr>
        <w:t>Modification or Waiver</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There are three types of changes we can make to the indenture and the debt securities issued thereunder.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Requiring Approval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First, there are changes that we cannot make to the debt securities without the specific approval by the holders of debt securities. The following is a list of those types of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 the stated maturity of the principal of or interest on the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any amounts due on the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amount of principal payable upon acceleration of the maturity of a security following a default;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adversely affect any right of repayment at the holder’s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 the place (except as otherwise described in the prospectus or prospectus supplement) or currency of payment on a debt security;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impair your right to sue for payment;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adversely affect any right to convert or exchange a debt security in accordance with its terms;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modify the subordination provisions in the indenture in a manner that is adverse to outstanding holders of the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percentage of holders of debt securities whose consent is needed to modify or amend the indenture;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reduce the percentage of holders of debt securities whose consent is needed to waive compliance with certain provisions of the indenture or to waive certain defaults;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modify certain of the provisions of the indenture dealing with supplemental indentures, modification and waiver of past defaults, changes to the quorum or voting requirements or the waiver of certain covenants;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change any obligation we have to pay additional amounts.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Not Requiring Approval</w:t>
      </w:r>
      <w:r>
        <w:rPr>
          <w:rFonts w:ascii="Times New Roman" w:hAnsi="Times New Roman"/>
          <w:color w:val="000000"/>
          <w:sz w:val="20"/>
        </w:rPr>
        <w:t xml:space="preserve"> </w:t>
      </w:r>
    </w:p>
    <w:p>
      <w:pPr>
        <w:pStyle w:val="TextBody"/>
        <w:bidi w:val="0"/>
        <w:spacing w:before="160" w:after="260"/>
        <w:jc w:val="both"/>
        <w:rPr>
          <w:rFonts w:ascii="Times New Roman" w:hAnsi="Times New Roman"/>
          <w:color w:val="000000"/>
          <w:sz w:val="20"/>
        </w:rPr>
      </w:pPr>
      <w:r>
        <w:rPr>
          <w:rFonts w:ascii="Times New Roman" w:hAnsi="Times New Roman"/>
          <w:color w:val="000000"/>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events of default. We also do not need any approval to make any change that affects only debt securities to be issued under the indenture after the change takes effect. </w:t>
      </w:r>
    </w:p>
    <w:p>
      <w:pPr>
        <w:pStyle w:val="TextBody"/>
        <w:bidi w:val="0"/>
        <w:jc w:val="both"/>
        <w:rPr>
          <w:rFonts w:ascii="Times New Roman" w:hAnsi="Times New Roman"/>
          <w:sz w:val="20"/>
        </w:rPr>
      </w:pPr>
      <w:r>
        <w:rPr>
          <w:rFonts w:ascii="Times New Roman" w:hAnsi="Times New Roman"/>
          <w:b/>
          <w:i/>
          <w:color w:val="000000"/>
          <w:sz w:val="20"/>
        </w:rPr>
        <w:t>Changes Requiring Majority Approval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Any other change to the indenture and the debt securities would require the following approval: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change affects only one series of debt securities, it must be approved by the holders of a majority in principal amount of that series.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w:t>
      </w:r>
      <w:r>
        <w:rPr>
          <w:rFonts w:ascii="Times New Roman" w:hAnsi="Times New Roman"/>
          <w:i/>
          <w:color w:val="000000"/>
          <w:sz w:val="20"/>
        </w:rPr>
        <w:t>Changes Requiring Your Approval</w:t>
      </w:r>
      <w:r>
        <w:rPr>
          <w:rFonts w:ascii="Times New Roman" w:hAnsi="Times New Roman"/>
          <w:color w:val="000000"/>
          <w:sz w:val="20"/>
        </w:rPr>
        <w:t xml:space="preserve">.” </w:t>
      </w:r>
    </w:p>
    <w:p>
      <w:pPr>
        <w:pStyle w:val="TextBody"/>
        <w:bidi w:val="0"/>
        <w:spacing w:before="220" w:after="283"/>
        <w:jc w:val="both"/>
        <w:rPr>
          <w:rFonts w:ascii="Times New Roman" w:hAnsi="Times New Roman"/>
          <w:sz w:val="20"/>
        </w:rPr>
      </w:pPr>
      <w:r>
        <w:rPr>
          <w:rFonts w:ascii="Times New Roman" w:hAnsi="Times New Roman"/>
          <w:b/>
          <w:color w:val="000000"/>
          <w:sz w:val="20"/>
        </w:rPr>
        <w:t>Further Details Concerning Voting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When taking a vote, we will use the following rules to decide how much principal to attribute to a debt security: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For original issue discount securities, we will use the principal amount that would be due and payable on the voting date if the maturity of these debt securities were accelerated to that date because of a default.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For debt securities whose principal amount is not known (for example, because it is based on an index), we will use a special rule for that debt security described in the prospectus supplement.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 For debt securities denominated in one or more foreign currencies, we will use the U.S. dollar equivalent. </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 Debt securities will not be considered outstanding, and therefore not eligible to vote, if we have deposited or set aside in trust money for their payment or redemption. Debt securities will also not be eligible to vote if they have been fully defeased as described later under “— </w:t>
      </w:r>
      <w:r>
        <w:rPr>
          <w:rFonts w:ascii="Times New Roman" w:hAnsi="Times New Roman"/>
          <w:i/>
          <w:color w:val="000000"/>
          <w:sz w:val="20"/>
        </w:rPr>
        <w:t>Defeasance — Full Defeasance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72 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20" w:after="283"/>
        <w:jc w:val="both"/>
        <w:rPr>
          <w:rFonts w:ascii="Times New Roman" w:hAnsi="Times New Roman"/>
          <w:sz w:val="20"/>
        </w:rPr>
      </w:pPr>
      <w:r>
        <w:rPr>
          <w:rFonts w:ascii="Times New Roman" w:hAnsi="Times New Roman"/>
          <w:b/>
          <w:color w:val="000000"/>
          <w:sz w:val="20"/>
        </w:rPr>
        <w:t>Satisfaction and Discharge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 </w:t>
      </w:r>
    </w:p>
    <w:p>
      <w:pPr>
        <w:pStyle w:val="TextBody"/>
        <w:bidi w:val="0"/>
        <w:spacing w:before="220" w:after="283"/>
        <w:jc w:val="both"/>
        <w:rPr>
          <w:rFonts w:ascii="Times New Roman" w:hAnsi="Times New Roman"/>
          <w:sz w:val="20"/>
        </w:rPr>
      </w:pPr>
      <w:r>
        <w:rPr>
          <w:rFonts w:ascii="Times New Roman" w:hAnsi="Times New Roman"/>
          <w:b/>
          <w:color w:val="000000"/>
          <w:sz w:val="20"/>
        </w:rPr>
        <w:t>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240" w:after="283"/>
        <w:jc w:val="both"/>
        <w:rPr>
          <w:rFonts w:ascii="Times New Roman" w:hAnsi="Times New Roman"/>
          <w:sz w:val="20"/>
        </w:rPr>
      </w:pPr>
      <w:r>
        <w:rPr>
          <w:rFonts w:ascii="Times New Roman" w:hAnsi="Times New Roman"/>
          <w:b/>
          <w:i/>
          <w:color w:val="000000"/>
          <w:sz w:val="20"/>
        </w:rPr>
        <w:t>Covenant 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w:t>
      </w:r>
      <w:r>
        <w:rPr>
          <w:rFonts w:ascii="Times New Roman" w:hAnsi="Times New Roman"/>
          <w:i/>
          <w:color w:val="000000"/>
          <w:sz w:val="20"/>
        </w:rPr>
        <w:t>Indenture Provisions — Subordination</w:t>
      </w:r>
      <w:r>
        <w:rPr>
          <w:rFonts w:ascii="Times New Roman" w:hAnsi="Times New Roman"/>
          <w:color w:val="000000"/>
          <w:sz w:val="20"/>
        </w:rPr>
        <w:t xml:space="preserve">” below. In order to achieve covenant defeasance, we must do the following: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We must deliver to the trustee a legal opinion and officers’ certificate stating that all conditions precedent to covenant defeasance have been complied with.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Covenant defeasance must not result in a breach or violation of, or result in a default under, the indenture or any of our other material agreements or instruments.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No default or Event of Default with respect to such debt securities and any coupons appertaining thereto shall have occurred and be continuing and no defaults or events of default related to bankruptcy, insolvency or reorganization shall occur during the next 90 days.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Satisfy the conditions for covenant defeasance contained in any supplemental indentures.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220" w:after="283"/>
        <w:jc w:val="both"/>
        <w:rPr>
          <w:rFonts w:ascii="Times New Roman" w:hAnsi="Times New Roman"/>
          <w:sz w:val="20"/>
        </w:rPr>
      </w:pPr>
      <w:r>
        <w:rPr>
          <w:rFonts w:ascii="Times New Roman" w:hAnsi="Times New Roman"/>
          <w:b/>
          <w:i/>
          <w:color w:val="000000"/>
          <w:sz w:val="20"/>
        </w:rPr>
        <w:t>Legal Defeasance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73 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accountants, to make interest, principal and any other payments on the debt securities of the particular series on their various due dates. </w:t>
      </w:r>
    </w:p>
    <w:p>
      <w:pPr>
        <w:pStyle w:val="TextBody"/>
        <w:bidi w:val="0"/>
        <w:spacing w:before="100" w:after="160"/>
        <w:jc w:val="both"/>
        <w:rPr>
          <w:rFonts w:ascii="Times New Roman" w:hAnsi="Times New Roman"/>
          <w:color w:val="000000"/>
          <w:sz w:val="20"/>
        </w:rPr>
      </w:pPr>
      <w:r>
        <w:rPr>
          <w:rFonts w:ascii="Times New Roman" w:hAnsi="Times New Roman"/>
          <w:color w:val="000000"/>
          <w:sz w:val="20"/>
        </w:rPr>
        <w:t xml:space="preserve"> 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p>
      <w:pPr>
        <w:pStyle w:val="TextBody"/>
        <w:bidi w:val="0"/>
        <w:jc w:val="both"/>
        <w:rPr>
          <w:rFonts w:ascii="Times New Roman" w:hAnsi="Times New Roman"/>
          <w:color w:val="000000"/>
          <w:sz w:val="20"/>
        </w:rPr>
      </w:pPr>
      <w:r>
        <w:rPr>
          <w:rFonts w:ascii="Times New Roman" w:hAnsi="Times New Roman"/>
          <w:color w:val="000000"/>
          <w:sz w:val="20"/>
        </w:rPr>
        <w:t xml:space="preserve"> We must deliver to the trustee a legal opinion and officers’ certificate stating that all conditions precedent to defeasance have been complied with.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 Defeasance must not result in a breach or violation of, or result in a default under, the indenture or any of our other material agreements or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No default or Event of Default with respect to such debt securities and any coupons appertaining thereto shall have occurred and be continuing and no defaults or events of default related to bankruptcy, insolvency or reorganization shall occur during the next 90 days.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Satisfy the conditions for covenant defeasance contained in any supplemental indentures. </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 </w:t>
      </w:r>
      <w:r>
        <w:rPr>
          <w:rFonts w:ascii="Times New Roman" w:hAnsi="Times New Roman"/>
          <w:i/>
          <w:color w:val="000000"/>
          <w:sz w:val="20"/>
        </w:rPr>
        <w:t>Indenture Provisions — Subordination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Form, Exchange and Transfer of Certificated Registered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registered debt securities cease to be issued in book-entry form, they will be issued: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only in fully registered certificated form,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 without interest coupons,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unless we indicate otherwise in the prospectus supplement, in denominations of $1,000 and amounts that are multiples of $1,000.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74 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240" w:after="283"/>
        <w:jc w:val="both"/>
        <w:rPr>
          <w:rFonts w:ascii="Times New Roman" w:hAnsi="Times New Roman"/>
          <w:sz w:val="20"/>
        </w:rPr>
      </w:pPr>
      <w:r>
        <w:rPr>
          <w:rFonts w:ascii="Times New Roman" w:hAnsi="Times New Roman"/>
          <w:b/>
          <w:color w:val="000000"/>
          <w:sz w:val="20"/>
        </w:rPr>
        <w:t>Resignation of Trustee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220" w:after="283"/>
        <w:jc w:val="both"/>
        <w:rPr>
          <w:rFonts w:ascii="Times New Roman" w:hAnsi="Times New Roman"/>
          <w:sz w:val="20"/>
        </w:rPr>
      </w:pPr>
      <w:r>
        <w:rPr>
          <w:rFonts w:ascii="Times New Roman" w:hAnsi="Times New Roman"/>
          <w:b/>
          <w:color w:val="000000"/>
          <w:sz w:val="20"/>
        </w:rPr>
        <w:t>Indenture Provisions — Subordination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before="140" w:after="283"/>
        <w:jc w:val="both"/>
        <w:rPr/>
      </w:pPr>
      <w:r>
        <w:rPr>
          <w:color w:val="000000"/>
        </w:rPr>
        <w:t>“</w:t>
      </w:r>
      <w:r>
        <w:rPr>
          <w:rFonts w:ascii="Times New Roman" w:hAnsi="Times New Roman"/>
          <w:color w:val="000000"/>
          <w:sz w:val="20"/>
        </w:rPr>
        <w:t xml:space="preserve">Senior Indebtedness” is defined in the indenture as the principal of (and premium, if any) and unpaid interest 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 renewals, extensions, modifications and refinancings of any of this indebtedness.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before="220" w:after="283"/>
        <w:jc w:val="both"/>
        <w:rPr>
          <w:rFonts w:ascii="Times New Roman" w:hAnsi="Times New Roman"/>
          <w:sz w:val="20"/>
        </w:rPr>
      </w:pPr>
      <w:r>
        <w:rPr>
          <w:rFonts w:ascii="Times New Roman" w:hAnsi="Times New Roman"/>
          <w:b/>
          <w:color w:val="000000"/>
          <w:sz w:val="20"/>
        </w:rPr>
        <w:t>Secured Indebtedness and Ranking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75 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before="240" w:after="283"/>
        <w:jc w:val="both"/>
        <w:rPr>
          <w:rFonts w:ascii="Times New Roman" w:hAnsi="Times New Roman"/>
          <w:sz w:val="20"/>
        </w:rPr>
      </w:pPr>
      <w:r>
        <w:rPr>
          <w:rFonts w:ascii="Times New Roman" w:hAnsi="Times New Roman"/>
          <w:b/>
          <w:color w:val="000000"/>
          <w:sz w:val="20"/>
        </w:rPr>
        <w:t>The Trustee under the Indenture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intend to use a nationally recognized financial institution to serve as the trustee under the indenture. </w:t>
      </w:r>
    </w:p>
    <w:p>
      <w:pPr>
        <w:pStyle w:val="TextBody"/>
        <w:bidi w:val="0"/>
        <w:spacing w:before="240" w:after="283"/>
        <w:jc w:val="both"/>
        <w:rPr>
          <w:rFonts w:ascii="Times New Roman" w:hAnsi="Times New Roman"/>
          <w:sz w:val="20"/>
        </w:rPr>
      </w:pPr>
      <w:r>
        <w:rPr>
          <w:rFonts w:ascii="Times New Roman" w:hAnsi="Times New Roman"/>
          <w:b/>
          <w:color w:val="000000"/>
          <w:sz w:val="20"/>
        </w:rPr>
        <w:t>Certain Considerations Relating To Foreign Currencies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240" w:after="283"/>
        <w:jc w:val="both"/>
        <w:rPr>
          <w:rFonts w:ascii="Times New Roman" w:hAnsi="Times New Roman"/>
          <w:sz w:val="20"/>
        </w:rPr>
      </w:pPr>
      <w:r>
        <w:rPr>
          <w:rFonts w:ascii="Times New Roman" w:hAnsi="Times New Roman"/>
          <w:b/>
          <w:color w:val="000000"/>
          <w:sz w:val="20"/>
        </w:rPr>
        <w:t>Book-Entry Debt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has advised us that it is: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limited purpose trust company organized under the laws of the State of New York;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“banking organization” within the meaning of the New York State Banking Law;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member of the Federal Reserve System;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“clearing corporation” within the meaning of the Uniform Commercial Code;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a “clearing agency” registered under Section 17A of the Exchange Act.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76 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160" w:after="200"/>
        <w:jc w:val="both"/>
        <w:rPr>
          <w:rFonts w:ascii="Times New Roman" w:hAnsi="Times New Roman"/>
          <w:color w:val="000000"/>
          <w:sz w:val="20"/>
        </w:rPr>
      </w:pPr>
      <w:r>
        <w:rPr>
          <w:rFonts w:ascii="Times New Roman" w:hAnsi="Times New Roman"/>
          <w:color w:val="000000"/>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in this section concerning DTC and DTC’s book-entry system has been obtained from sources that we believe to be reliable, but we take no responsibility for the accuracy thereof.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77 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41" w:name="treg"/>
      <w:bookmarkEnd w:id="41"/>
      <w:r>
        <w:rPr>
          <w:rFonts w:ascii="Times New Roman" w:hAnsi="Times New Roman"/>
          <w:b/>
          <w:color w:val="000000"/>
          <w:sz w:val="20"/>
        </w:rPr>
        <w:t>REGULATION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0"/>
        </w:rPr>
        <w:t>The information contained in “</w:t>
      </w:r>
      <w:r>
        <w:rPr>
          <w:rFonts w:ascii="Times New Roman" w:hAnsi="Times New Roman"/>
          <w:i/>
          <w:color w:val="000000"/>
          <w:sz w:val="20"/>
        </w:rPr>
        <w:t>Part I, Item 1. Business — Regulation as a Business Development Company</w:t>
      </w:r>
      <w:r>
        <w:rPr>
          <w:rFonts w:ascii="Times New Roman" w:hAnsi="Times New Roman"/>
          <w:color w:val="000000"/>
          <w:sz w:val="20"/>
        </w:rPr>
        <w:t xml:space="preserve">” of our most recent Annual Report on Form 10-K is incorporated herein by reference.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78 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42" w:name="tpod"/>
      <w:bookmarkEnd w:id="42"/>
      <w:r>
        <w:rPr>
          <w:rFonts w:ascii="Times New Roman" w:hAnsi="Times New Roman"/>
          <w:b/>
          <w:color w:val="000000"/>
          <w:sz w:val="20"/>
        </w:rPr>
        <w:t>PLAN OF DISTRIBUTION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offer, from time to time, in one or more offerings or series, up to $250,000,000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10% of the gross proceeds of the sale of securities offered pursuant to this prospectus and any applicable prospectus supplement. We may also reimburse the underwriter or agent for certain fees and legal expenses incurred by it. </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140" w:after="200"/>
        <w:jc w:val="both"/>
        <w:rPr>
          <w:rFonts w:ascii="Times New Roman" w:hAnsi="Times New Roman"/>
          <w:color w:val="000000"/>
          <w:sz w:val="20"/>
        </w:rPr>
      </w:pPr>
      <w:r>
        <w:rPr>
          <w:rFonts w:ascii="Times New Roman" w:hAnsi="Times New Roman"/>
          <w:color w:val="000000"/>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 </w:t>
      </w:r>
    </w:p>
    <w:p>
      <w:pPr>
        <w:pStyle w:val="TextBody"/>
        <w:bidi w:val="0"/>
        <w:jc w:val="both"/>
        <w:rPr>
          <w:rFonts w:ascii="Times New Roman" w:hAnsi="Times New Roman"/>
          <w:color w:val="000000"/>
          <w:sz w:val="20"/>
        </w:rPr>
      </w:pPr>
      <w:r>
        <w:rPr>
          <w:rFonts w:ascii="Times New Roman" w:hAnsi="Times New Roman"/>
          <w:color w:val="000000"/>
          <w:sz w:val="20"/>
        </w:rPr>
        <w:t xml:space="preserve">Unless otherwise specified in the applicable prospectus supplement, each class or series of securities will be a new issue with no trading market, other than our common stock, which is traded on Nasdaq. We may elect to list any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79 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other class or series of securities on any exchanges, but we are not obligated to do so. We cannot guarantee the liquidity of the trading markets for any securities.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order to comply with the securities laws of certain states, if applicable, the securities offered hereby will be sold in such jurisdictions only through registered or licensed brokers or dealers.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80 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sz w:val="20"/>
        </w:rPr>
      </w:pPr>
      <w:bookmarkStart w:id="43" w:name="tctad"/>
      <w:bookmarkEnd w:id="43"/>
      <w:r>
        <w:rPr>
          <w:rFonts w:ascii="Times New Roman" w:hAnsi="Times New Roman"/>
          <w:b/>
          <w:color w:val="000000"/>
          <w:sz w:val="20"/>
        </w:rPr>
        <w:t>CUSTODIAN, TRANSFER AND DIVIDEND PAYING AGENT AND REGISTRAR</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securities and loan documents are held by U.S. Bank, National Association, pursuant to a custodian agreement. The principal business address of U.S. Bank, National Association, is 190 S. LaSalle Street, 8th Floor, Chicago, IL 60603. American Stock Transfer &amp; Trust Company LLC will serve as our transfer agent, distribution paying agent and registrar. The principal business address of American Stock Transfer &amp; Trust Company LLC is 6201 15th Avenue, Brooklyn, NY 11219. </w:t>
      </w:r>
    </w:p>
    <w:p>
      <w:pPr>
        <w:pStyle w:val="TextBody"/>
        <w:bidi w:val="0"/>
        <w:spacing w:before="240" w:after="283"/>
        <w:jc w:val="center"/>
        <w:rPr>
          <w:rFonts w:ascii="Times New Roman" w:hAnsi="Times New Roman"/>
          <w:sz w:val="20"/>
        </w:rPr>
      </w:pPr>
      <w:bookmarkStart w:id="44" w:name="tbaao"/>
      <w:bookmarkEnd w:id="44"/>
      <w:r>
        <w:rPr>
          <w:rFonts w:ascii="Times New Roman" w:hAnsi="Times New Roman"/>
          <w:b/>
          <w:color w:val="000000"/>
          <w:sz w:val="20"/>
        </w:rPr>
        <w:t>BROKERAGE ALLOCATION AND OTHER PRACTICES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1934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before="240" w:after="283"/>
        <w:jc w:val="center"/>
        <w:rPr>
          <w:rFonts w:ascii="Times New Roman" w:hAnsi="Times New Roman"/>
          <w:sz w:val="20"/>
        </w:rPr>
      </w:pPr>
      <w:bookmarkStart w:id="45" w:name="tlema"/>
      <w:bookmarkEnd w:id="45"/>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validity of the common stock offered hereby and certain legal matters for us in connection with the offering will be passed upon for us by Eversheds Sutherland (US) LLP. Eversheds Sutherland (US) LLP also represents the Adviser.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Certain legal matters in connection with the offering will be passed upon for the underwriters, if any, by the counsel named in the prospectus supplement. </w:t>
      </w:r>
    </w:p>
    <w:p>
      <w:pPr>
        <w:pStyle w:val="TextBody"/>
        <w:bidi w:val="0"/>
        <w:spacing w:before="240" w:after="283"/>
        <w:jc w:val="center"/>
        <w:rPr>
          <w:rFonts w:ascii="Times New Roman" w:hAnsi="Times New Roman"/>
          <w:sz w:val="20"/>
        </w:rPr>
      </w:pPr>
      <w:bookmarkStart w:id="46" w:name="tirpa"/>
      <w:bookmarkEnd w:id="46"/>
      <w:r>
        <w:rPr>
          <w:rFonts w:ascii="Times New Roman" w:hAnsi="Times New Roman"/>
          <w:b/>
          <w:color w:val="000000"/>
          <w:sz w:val="20"/>
        </w:rPr>
        <w:t>INDEPENDENT REGISTERED PUBLIC ACCOUNTING FIRM</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consolidated financial statements, financial highlights, and senior securities table of Runway Growth Finance Corp. as of December 31, 2023 and 2022 and for each of the years in the three-year period ended December 31, 2023 incorporated in this prospectus by reference from the Runway Growth Finance Corp. Annual Report on Form 10-K for the year ended December 31, 2023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address of RSM US LLP is 30 South Wacker Drive, Suite 3300, Chicago, Illinois 60606. </w:t>
      </w:r>
    </w:p>
    <w:p>
      <w:pPr>
        <w:pStyle w:val="TextBody"/>
        <w:bidi w:val="0"/>
        <w:spacing w:before="240" w:after="283"/>
        <w:jc w:val="center"/>
        <w:rPr>
          <w:rFonts w:ascii="Times New Roman" w:hAnsi="Times New Roman"/>
          <w:sz w:val="20"/>
        </w:rPr>
      </w:pPr>
      <w:bookmarkStart w:id="47" w:name="tavin"/>
      <w:bookmarkEnd w:id="47"/>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also file with or submit to the SEC periodic and current reports, proxy statements and other information meeting the informational requirements of the 1934 Act.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furnish our stockholders with annual reports containing audited financial statements, quarterly reports, and such other periodic reports as we determine to be appropriate or as may be required by law.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make available on our website (https://runwaygrowth.com/document-center/) our annual reports on Form 10-K, quarterly reports on Form 10-Q and our current reports on Form 8-K. The SEC also maintains a website (www.sec.gov) that contains such information. The reference to our website is an inactive textual reference only and the information contained on our website or the SEC’s website is not incorporated as a part of this prospectus.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81 </w:t>
      </w:r>
    </w:p>
    <w:p>
      <w:pPr>
        <w:pStyle w:val="HorizontalLine"/>
        <w:pBdr>
          <w:bottom w:val="double" w:sz="2" w:space="0" w:color="808080"/>
        </w:pBdr>
        <w:bidi w:val="0"/>
        <w:spacing w:before="0" w:after="283"/>
        <w:jc w:val="left"/>
        <w:rPr/>
      </w:pPr>
      <w:r>
        <w:rPr/>
      </w:r>
    </w:p>
    <w:p>
      <w:pPr>
        <w:pStyle w:val="TextBody"/>
        <w:bidi w:val="0"/>
        <w:spacing w:before="30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may also obtain such information free of charge by contacting us in writing at 205 N. Michigan Ave., Suite 4200, Chicago, IL 60601, or by emailing us at investors@runwaygrowth.com. </w:t>
      </w:r>
    </w:p>
    <w:p>
      <w:pPr>
        <w:pStyle w:val="TextBody"/>
        <w:bidi w:val="0"/>
        <w:spacing w:before="240" w:after="283"/>
        <w:jc w:val="center"/>
        <w:rPr>
          <w:rFonts w:ascii="Times New Roman" w:hAnsi="Times New Roman"/>
          <w:sz w:val="20"/>
        </w:rPr>
      </w:pPr>
      <w:bookmarkStart w:id="48" w:name="tioci"/>
      <w:bookmarkEnd w:id="48"/>
      <w:r>
        <w:rPr>
          <w:rFonts w:ascii="Times New Roman" w:hAnsi="Times New Roman"/>
          <w:b/>
          <w:color w:val="000000"/>
          <w:sz w:val="20"/>
        </w:rPr>
        <w:t>INCORPORATION OF CERTAIN INFORMATION BY REFERENCE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prospectus incorporates by reference the documents set forth below that have been previously filed with the SEC: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Annual Report on Form 10-K for the fiscal year ended December 31, 2023, filed with the SEC on March 7,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Definitive Proxy Statement on Schedule 14A, filed with the SEC on July 3,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Definitive Proxy Statement on Schedule 14A, filed with the SEC on December 13,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Quarterly Reports on Form 10-Q for the fiscal quarters ended March 31, 2024, June 30, 2024 and September 30, 2024, filed with the SEC on May 7, 2024, August 8, 2024, and November 12, 2024,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our Current Reports on Form 8-K (other than information furnished rather than filed) filed with the SEC on January 11, 2024, March 7, 2024 (Two filing), April 9, 2024, May 7, 2024, May 15, 2024, July 11, 2024, August 8, 2024, August 26, 2024, October 8, 2024, November 1, 2024, November 12, 2024, November 18, 2024 and March 17, 2025;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description of our Common Stock referenced in our Registration Statement on Form 8-A (No. 001-40938), as filed with the SEC on October 20, 2021, including any amendment or report filed for the purpose of updating such description prior to the termination of the offering of the common stock registered hereby.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See “Available </w:t>
      </w:r>
      <w:r>
        <w:rPr>
          <w:rFonts w:ascii="Times New Roman" w:hAnsi="Times New Roman"/>
          <w:i/>
          <w:color w:val="000000"/>
          <w:sz w:val="20"/>
        </w:rPr>
        <w:t>Information</w:t>
      </w:r>
      <w:r>
        <w:rPr>
          <w:rFonts w:ascii="Times New Roman" w:hAnsi="Times New Roman"/>
          <w:color w:val="000000"/>
          <w:sz w:val="20"/>
        </w:rPr>
        <w:t>” for information on how to obtain a copy of these filings</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82 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20" w:space="1" w:color="000000"/>
        </w:pBdr>
        <w:bidi w:val="0"/>
        <w:jc w:val="left"/>
        <w:rPr/>
      </w:pPr>
      <w:r>
        <w:rPr/>
        <w:t> </w:t>
      </w:r>
    </w:p>
    <w:p>
      <w:pPr>
        <w:pStyle w:val="TextBody"/>
        <w:pBdr>
          <w:bottom w:val="single" w:sz="10" w:space="1" w:color="000000"/>
        </w:pBdr>
        <w:bidi w:val="0"/>
        <w:spacing w:before="60" w:after="283"/>
        <w:jc w:val="left"/>
        <w:rPr/>
      </w:pPr>
      <w:r>
        <w:rPr/>
        <w:t> </w:t>
      </w:r>
    </w:p>
    <w:p>
      <w:pPr>
        <w:pStyle w:val="TextBody"/>
        <w:bidi w:val="0"/>
        <w:spacing w:before="720" w:after="283"/>
        <w:jc w:val="center"/>
        <w:rPr>
          <w:rFonts w:ascii="Times New Roman" w:hAnsi="Times New Roman"/>
          <w:sz w:val="28"/>
        </w:rPr>
      </w:pPr>
      <w:r>
        <w:rPr>
          <w:rFonts w:ascii="Times New Roman" w:hAnsi="Times New Roman"/>
          <w:b/>
          <w:color w:val="000000"/>
          <w:sz w:val="28"/>
        </w:rPr>
        <w:t>$</w:t>
      </w:r>
      <w:r>
        <w:rPr>
          <w:rFonts w:ascii="Times New Roman" w:hAnsi="Times New Roman"/>
          <w:color w:val="000000"/>
          <w:sz w:val="28"/>
        </w:rPr>
        <w:t xml:space="preserve"> </w:t>
      </w:r>
    </w:p>
    <w:p>
      <w:pPr>
        <w:pStyle w:val="TextBody"/>
        <w:bidi w:val="0"/>
        <w:spacing w:before="240" w:after="283"/>
        <w:jc w:val="center"/>
        <w:rPr>
          <w:rFonts w:ascii="Times New Roman" w:hAnsi="Times New Roman"/>
          <w:sz w:val="36"/>
        </w:rPr>
      </w:pPr>
      <w:r>
        <w:rPr>
          <w:rFonts w:ascii="Times New Roman" w:hAnsi="Times New Roman"/>
          <w:b/>
          <w:color w:val="000000"/>
          <w:sz w:val="36"/>
        </w:rPr>
        <w:t>Runway Growth Finance Corp.</w:t>
      </w:r>
      <w:r>
        <w:rPr>
          <w:rFonts w:ascii="Times New Roman" w:hAnsi="Times New Roman"/>
          <w:color w:val="000000"/>
          <w:sz w:val="36"/>
        </w:rPr>
        <w:t xml:space="preserve"> </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 Notes due 2031</w:t>
      </w:r>
    </w:p>
    <w:p>
      <w:pPr>
        <w:pStyle w:val="TextBody"/>
        <w:pBdr>
          <w:bottom w:val="single" w:sz="5" w:space="1" w:color="000000"/>
        </w:pBdr>
        <w:bidi w:val="0"/>
        <w:spacing w:before="720" w:after="283"/>
        <w:jc w:val="left"/>
        <w:rPr/>
      </w:pPr>
      <w:r>
        <w:rPr/>
        <w:t> </w:t>
      </w:r>
    </w:p>
    <w:p>
      <w:pPr>
        <w:pStyle w:val="TextBody"/>
        <w:bidi w:val="0"/>
        <w:spacing w:before="280" w:after="283"/>
        <w:jc w:val="center"/>
        <w:rPr>
          <w:rFonts w:ascii="Times New Roman" w:hAnsi="Times New Roman"/>
          <w:sz w:val="24"/>
        </w:rPr>
      </w:pPr>
      <w:r>
        <w:rPr>
          <w:rFonts w:ascii="Times New Roman" w:hAnsi="Times New Roman"/>
          <w:b/>
          <w:color w:val="000000"/>
          <w:sz w:val="24"/>
        </w:rPr>
        <w:t>PROSPECTUS SUPPLEMENT</w:t>
      </w:r>
      <w:r>
        <w:rPr>
          <w:rFonts w:ascii="Times New Roman" w:hAnsi="Times New Roman"/>
          <w:color w:val="000000"/>
          <w:sz w:val="24"/>
        </w:rPr>
        <w:t xml:space="preserve"> </w:t>
      </w:r>
    </w:p>
    <w:p>
      <w:pPr>
        <w:pStyle w:val="TextBody"/>
        <w:pBdr>
          <w:bottom w:val="single" w:sz="5" w:space="1" w:color="000000"/>
        </w:pBdr>
        <w:bidi w:val="0"/>
        <w:spacing w:before="180" w:after="283"/>
        <w:jc w:val="left"/>
        <w:rPr/>
      </w:pPr>
      <w:r>
        <w:rPr/>
        <w:t> </w:t>
      </w:r>
    </w:p>
    <w:p>
      <w:pPr>
        <w:pStyle w:val="TextBody"/>
        <w:bidi w:val="0"/>
        <w:spacing w:before="720" w:after="120"/>
        <w:jc w:val="center"/>
        <w:rPr>
          <w:rFonts w:ascii="Times New Roman" w:hAnsi="Times New Roman"/>
          <w:sz w:val="20"/>
        </w:rPr>
      </w:pPr>
      <w:r>
        <w:rPr>
          <w:rFonts w:ascii="Times New Roman" w:hAnsi="Times New Roman"/>
          <w:i/>
          <w:color w:val="000000"/>
          <w:sz w:val="20"/>
        </w:rPr>
        <w:t>Joint Book-Running Managers</w:t>
      </w:r>
      <w:r>
        <w:rPr>
          <w:rFonts w:ascii="Times New Roman" w:hAnsi="Times New Roman"/>
          <w:color w:val="000000"/>
          <w:sz w:val="20"/>
        </w:rPr>
        <w:t xml:space="preserve"> </w:t>
      </w:r>
    </w:p>
    <w:tbl>
      <w:tblPr>
        <w:tblW w:w="7999" w:type="dxa"/>
        <w:jc w:val="left"/>
        <w:tblInd w:w="0" w:type="dxa"/>
        <w:tblLayout w:type="fixed"/>
        <w:tblCellMar>
          <w:top w:w="28" w:type="dxa"/>
          <w:left w:w="28" w:type="dxa"/>
          <w:bottom w:w="28" w:type="dxa"/>
          <w:right w:w="28" w:type="dxa"/>
        </w:tblCellMar>
      </w:tblPr>
      <w:tblGrid>
        <w:gridCol w:w="2326"/>
        <w:gridCol w:w="2131"/>
        <w:gridCol w:w="2626"/>
        <w:gridCol w:w="916"/>
      </w:tblGrid>
      <w:tr>
        <w:trPr/>
        <w:tc>
          <w:tcPr>
            <w:tcW w:w="232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Oppenheimer &amp; Co.</w:t>
            </w:r>
          </w:p>
        </w:tc>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B. Riley Securities</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Lucid Capital Markets</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MUFG</w:t>
            </w:r>
          </w:p>
        </w:tc>
      </w:tr>
    </w:tbl>
    <w:p>
      <w:pPr>
        <w:pStyle w:val="TextBody"/>
        <w:bidi w:val="0"/>
        <w:spacing w:before="460" w:after="120"/>
        <w:jc w:val="center"/>
        <w:rPr>
          <w:rFonts w:ascii="Times New Roman" w:hAnsi="Times New Roman"/>
          <w:i/>
          <w:color w:val="000000"/>
          <w:sz w:val="20"/>
        </w:rPr>
      </w:pPr>
      <w:r>
        <w:rPr>
          <w:rFonts w:ascii="Times New Roman" w:hAnsi="Times New Roman"/>
          <w:i/>
          <w:color w:val="000000"/>
          <w:sz w:val="20"/>
        </w:rPr>
        <w:t>Co-Managers</w:t>
      </w:r>
    </w:p>
    <w:tbl>
      <w:tblPr>
        <w:tblW w:w="9725" w:type="dxa"/>
        <w:jc w:val="left"/>
        <w:tblInd w:w="0" w:type="dxa"/>
        <w:tblLayout w:type="fixed"/>
        <w:tblCellMar>
          <w:top w:w="28" w:type="dxa"/>
          <w:left w:w="28" w:type="dxa"/>
          <w:bottom w:w="28" w:type="dxa"/>
          <w:right w:w="28" w:type="dxa"/>
        </w:tblCellMar>
      </w:tblPr>
      <w:tblGrid>
        <w:gridCol w:w="1771"/>
        <w:gridCol w:w="2506"/>
        <w:gridCol w:w="1126"/>
        <w:gridCol w:w="1636"/>
        <w:gridCol w:w="2686"/>
      </w:tblGrid>
      <w:tr>
        <w:trPr/>
        <w:tc>
          <w:tcPr>
            <w:tcW w:w="177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Compass Point</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Ladenburg Thalmann</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InspereX</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William Blair</w:t>
            </w:r>
          </w:p>
        </w:tc>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6"/>
              </w:rPr>
            </w:pPr>
            <w:r>
              <w:rPr>
                <w:rFonts w:ascii="Times New Roman" w:hAnsi="Times New Roman"/>
                <w:b/>
                <w:color w:val="000000"/>
                <w:sz w:val="26"/>
              </w:rPr>
              <w:t>BC Partners Securities</w:t>
            </w:r>
          </w:p>
        </w:tc>
      </w:tr>
    </w:tbl>
    <w:p>
      <w:pPr>
        <w:pStyle w:val="TextBody"/>
        <w:bidi w:val="0"/>
        <w:spacing w:before="720" w:after="283"/>
        <w:jc w:val="center"/>
        <w:rPr>
          <w:rFonts w:ascii="Times New Roman" w:hAnsi="Times New Roman"/>
          <w:b/>
          <w:color w:val="000000"/>
          <w:sz w:val="20"/>
        </w:rPr>
      </w:pPr>
      <w:r>
        <w:rPr>
          <w:rFonts w:ascii="Times New Roman" w:hAnsi="Times New Roman"/>
          <w:b/>
          <w:color w:val="000000"/>
          <w:sz w:val="20"/>
        </w:rPr>
        <w:t>, 2026</w:t>
      </w:r>
    </w:p>
    <w:p>
      <w:pPr>
        <w:pStyle w:val="TextBody"/>
        <w:pBdr>
          <w:bottom w:val="single" w:sz="10" w:space="1" w:color="000000"/>
        </w:pBdr>
        <w:bidi w:val="0"/>
        <w:spacing w:before="7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9312526104117/rway-20251231.htm" TargetMode="External"/><Relationship Id="rId3" Type="http://schemas.openxmlformats.org/officeDocument/2006/relationships/hyperlink" Target="https://www.sec.gov/Archives/edgar/data/1653384/000119312526104117/rway-20251231.htm" TargetMode="External"/><Relationship Id="rId4" Type="http://schemas.openxmlformats.org/officeDocument/2006/relationships/hyperlink" Target="https://www.sec.gov/Archives/edgar/data/1653384/000119312526104117/rway-20251231.htm" TargetMode="External"/><Relationship Id="rId5" Type="http://schemas.openxmlformats.org/officeDocument/2006/relationships/hyperlink" Target="https://www.sec.gov/Archives/edgar/data/1653384/000119312526211877/rway-20260331.htm" TargetMode="External"/><Relationship Id="rId6" Type="http://schemas.openxmlformats.org/officeDocument/2006/relationships/hyperlink" Target="https://www.sec.gov/Archives/edgar/data/1653384/000119312526337968/rway-20260630.htm" TargetMode="External"/><Relationship Id="rId7" Type="http://schemas.openxmlformats.org/officeDocument/2006/relationships/hyperlink" Target="https://www.sec.gov/Archives/edgar/data/1653384/000119312526192150/rway-20260428.htm" TargetMode="External"/><Relationship Id="rId8" Type="http://schemas.openxmlformats.org/officeDocument/2006/relationships/hyperlink" Target="https://www.sec.gov/Archives/edgar/data/1653384/000110465926007780/tm264314d1_8k.htm" TargetMode="External"/><Relationship Id="rId9" Type="http://schemas.openxmlformats.org/officeDocument/2006/relationships/hyperlink" Target="https://www.sec.gov/Archives/edgar/data/1653384/000110465926009736/tm264911d1_8k.htm" TargetMode="External"/><Relationship Id="rId10" Type="http://schemas.openxmlformats.org/officeDocument/2006/relationships/hyperlink" Target="https://www.sec.gov/Archives/edgar/data/1653384/000119312526144599/rway-20260407.htm" TargetMode="External"/><Relationship Id="rId11" Type="http://schemas.openxmlformats.org/officeDocument/2006/relationships/hyperlink" Target="https://www.sec.gov/Archives/edgar/data/1653384/000110465926068282/tm2616014d1_8k.htm" TargetMode="External"/><Relationship Id="rId12" Type="http://schemas.openxmlformats.org/officeDocument/2006/relationships/hyperlink" Target="https://www.sec.gov/Archives/edgar/data/1653384/000119312526282711/rway-20260623.htm" TargetMode="External"/><Relationship Id="rId13" Type="http://schemas.openxmlformats.org/officeDocument/2006/relationships/hyperlink" Target="https://www.sec.gov/Archives/edgar/data/1653384/000119312526304889/rway-20260713.htm" TargetMode="External"/><Relationship Id="rId14" Type="http://schemas.openxmlformats.org/officeDocument/2006/relationships/hyperlink" Target="https://www.sec.gov/Archives/edgar/data/1653384/000119312526335031/rway-20260805.htm" TargetMode="External"/><Relationship Id="rId15" Type="http://schemas.openxmlformats.org/officeDocument/2006/relationships/hyperlink" Target="https://www.sec.gov/Archives/edgar/data/1653384/000110465921127885/tm2130527d1_8a12b.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71909</Words>
  <Characters>379729</Characters>
  <CharactersWithSpaces>455729</CharactersWithSpaces>
  <Paragraphs>9635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