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177800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246380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58"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2000" w:right="980" w:hanging="1079"/>
        <w:spacing w:after="0" w:line="266" w:lineRule="auto"/>
        <w:tabs>
          <w:tab w:leader="none" w:pos="20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58" w:lineRule="exact"/>
        <w:rPr>
          <w:sz w:val="24"/>
          <w:szCs w:val="24"/>
          <w:color w:val="auto"/>
        </w:rPr>
      </w:pPr>
    </w:p>
    <w:p>
      <w:pPr>
        <w:ind w:left="2000" w:right="980" w:hanging="1081"/>
        <w:spacing w:after="0" w:line="282" w:lineRule="auto"/>
        <w:tabs>
          <w:tab w:leader="none" w:pos="20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814-01180</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Runway Growth Finance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1080" w:type="dxa"/>
        <w:tblCellMar>
          <w:top w:w="0" w:type="dxa"/>
          <w:left w:w="0" w:type="dxa"/>
          <w:bottom w:w="0" w:type="dxa"/>
          <w:right w:w="0" w:type="dxa"/>
        </w:tblCellMar>
      </w:tblPr>
      <w:tr>
        <w:trPr>
          <w:trHeight w:val="220"/>
        </w:trPr>
        <w:tc>
          <w:tcPr>
            <w:tcW w:w="3980" w:type="dxa"/>
            <w:vAlign w:val="bottom"/>
          </w:tcPr>
          <w:p>
            <w:pPr>
              <w:jc w:val="center"/>
              <w:ind w:right="1030"/>
              <w:spacing w:after="0"/>
              <w:rPr>
                <w:sz w:val="20"/>
                <w:szCs w:val="20"/>
                <w:color w:val="auto"/>
              </w:rPr>
            </w:pPr>
            <w:r>
              <w:rPr>
                <w:rFonts w:ascii="Arial" w:cs="Arial" w:eastAsia="Arial" w:hAnsi="Arial"/>
                <w:sz w:val="18"/>
                <w:szCs w:val="18"/>
                <w:b w:val="1"/>
                <w:bCs w:val="1"/>
                <w:color w:val="auto"/>
                <w:w w:val="98"/>
              </w:rPr>
              <w:t>Maryland</w:t>
            </w:r>
          </w:p>
        </w:tc>
        <w:tc>
          <w:tcPr>
            <w:tcW w:w="3720" w:type="dxa"/>
            <w:vAlign w:val="bottom"/>
          </w:tcPr>
          <w:p>
            <w:pPr>
              <w:jc w:val="right"/>
              <w:ind w:right="790"/>
              <w:spacing w:after="0"/>
              <w:rPr>
                <w:sz w:val="20"/>
                <w:szCs w:val="20"/>
                <w:color w:val="auto"/>
              </w:rPr>
            </w:pPr>
            <w:r>
              <w:rPr>
                <w:rFonts w:ascii="Arial" w:cs="Arial" w:eastAsia="Arial" w:hAnsi="Arial"/>
                <w:sz w:val="18"/>
                <w:szCs w:val="18"/>
                <w:b w:val="1"/>
                <w:bCs w:val="1"/>
                <w:color w:val="auto"/>
              </w:rPr>
              <w:t>47-5049745</w:t>
            </w:r>
          </w:p>
        </w:tc>
      </w:tr>
      <w:tr>
        <w:trPr>
          <w:trHeight w:val="230"/>
        </w:trPr>
        <w:tc>
          <w:tcPr>
            <w:tcW w:w="3980" w:type="dxa"/>
            <w:vAlign w:val="bottom"/>
          </w:tcPr>
          <w:p>
            <w:pPr>
              <w:jc w:val="center"/>
              <w:ind w:right="1030"/>
              <w:spacing w:after="0"/>
              <w:rPr>
                <w:sz w:val="20"/>
                <w:szCs w:val="20"/>
                <w:color w:val="auto"/>
              </w:rPr>
            </w:pPr>
            <w:r>
              <w:rPr>
                <w:rFonts w:ascii="Arial" w:cs="Arial" w:eastAsia="Arial" w:hAnsi="Arial"/>
                <w:sz w:val="18"/>
                <w:szCs w:val="18"/>
                <w:color w:val="auto"/>
                <w:w w:val="92"/>
              </w:rPr>
              <w:t>(State of incorporation)</w:t>
            </w:r>
          </w:p>
        </w:tc>
        <w:tc>
          <w:tcPr>
            <w:tcW w:w="3720" w:type="dxa"/>
            <w:vAlign w:val="bottom"/>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346"/>
        </w:trPr>
        <w:tc>
          <w:tcPr>
            <w:tcW w:w="39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0"/>
              </w:rPr>
              <w:t>205 N. Michigan Ave., Suite 4200</w:t>
            </w:r>
          </w:p>
        </w:tc>
        <w:tc>
          <w:tcPr>
            <w:tcW w:w="3720" w:type="dxa"/>
            <w:vAlign w:val="bottom"/>
          </w:tcPr>
          <w:p>
            <w:pPr>
              <w:spacing w:after="0"/>
              <w:rPr>
                <w:sz w:val="24"/>
                <w:szCs w:val="24"/>
                <w:color w:val="auto"/>
              </w:rPr>
            </w:pPr>
          </w:p>
        </w:tc>
      </w:tr>
      <w:tr>
        <w:trPr>
          <w:trHeight w:val="220"/>
        </w:trPr>
        <w:tc>
          <w:tcPr>
            <w:tcW w:w="3980" w:type="dxa"/>
            <w:vAlign w:val="bottom"/>
          </w:tcPr>
          <w:p>
            <w:pPr>
              <w:jc w:val="center"/>
              <w:ind w:right="1030"/>
              <w:spacing w:after="0"/>
              <w:rPr>
                <w:sz w:val="20"/>
                <w:szCs w:val="20"/>
                <w:color w:val="auto"/>
              </w:rPr>
            </w:pPr>
            <w:r>
              <w:rPr>
                <w:rFonts w:ascii="Arial" w:cs="Arial" w:eastAsia="Arial" w:hAnsi="Arial"/>
                <w:sz w:val="18"/>
                <w:szCs w:val="18"/>
                <w:b w:val="1"/>
                <w:bCs w:val="1"/>
                <w:color w:val="auto"/>
                <w:w w:val="92"/>
              </w:rPr>
              <w:t>Chicago, IL</w:t>
            </w:r>
          </w:p>
        </w:tc>
        <w:tc>
          <w:tcPr>
            <w:tcW w:w="3720" w:type="dxa"/>
            <w:vAlign w:val="bottom"/>
          </w:tcPr>
          <w:p>
            <w:pPr>
              <w:jc w:val="right"/>
              <w:ind w:right="990"/>
              <w:spacing w:after="0"/>
              <w:rPr>
                <w:sz w:val="20"/>
                <w:szCs w:val="20"/>
                <w:color w:val="auto"/>
              </w:rPr>
            </w:pPr>
            <w:r>
              <w:rPr>
                <w:rFonts w:ascii="Arial" w:cs="Arial" w:eastAsia="Arial" w:hAnsi="Arial"/>
                <w:sz w:val="18"/>
                <w:szCs w:val="18"/>
                <w:b w:val="1"/>
                <w:bCs w:val="1"/>
                <w:color w:val="auto"/>
              </w:rPr>
              <w:t>60601</w:t>
            </w:r>
          </w:p>
        </w:tc>
      </w:tr>
      <w:tr>
        <w:trPr>
          <w:trHeight w:val="230"/>
        </w:trPr>
        <w:tc>
          <w:tcPr>
            <w:tcW w:w="398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720" w:type="dxa"/>
            <w:vAlign w:val="bottom"/>
          </w:tcPr>
          <w:p>
            <w:pPr>
              <w:jc w:val="center"/>
              <w:ind w:left="1010"/>
              <w:spacing w:after="0"/>
              <w:rPr>
                <w:sz w:val="20"/>
                <w:szCs w:val="20"/>
                <w:color w:val="auto"/>
              </w:rPr>
            </w:pPr>
            <w:r>
              <w:rPr>
                <w:rFonts w:ascii="Arial" w:cs="Arial" w:eastAsia="Arial" w:hAnsi="Arial"/>
                <w:sz w:val="18"/>
                <w:szCs w:val="18"/>
                <w:color w:val="auto"/>
                <w:w w:val="91"/>
              </w:rPr>
              <w:t>(Zip Code)</w:t>
            </w: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281-6270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9920"/>
          </w:cols>
          <w:pgMar w:left="980" w:top="665" w:right="999" w:bottom="1440" w:gutter="0" w:footer="0" w:header="0"/>
        </w:sectPr>
      </w:pP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RWAY</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ind w:right="520"/>
        <w:spacing w:after="0" w:line="386" w:lineRule="auto"/>
        <w:rPr>
          <w:sz w:val="20"/>
          <w:szCs w:val="20"/>
          <w:color w:val="auto"/>
        </w:rPr>
      </w:pPr>
      <w:r>
        <w:rPr>
          <w:rFonts w:ascii="Arial" w:cs="Arial" w:eastAsia="Arial" w:hAnsi="Arial"/>
          <w:sz w:val="15"/>
          <w:szCs w:val="15"/>
          <w:b w:val="1"/>
          <w:bCs w:val="1"/>
          <w:color w:val="auto"/>
        </w:rPr>
        <w:t xml:space="preserve">Name of each exchange on which registered </w:t>
      </w:r>
      <w:r>
        <w:rPr>
          <w:rFonts w:ascii="Arial" w:cs="Arial" w:eastAsia="Arial" w:hAnsi="Arial"/>
          <w:sz w:val="15"/>
          <w:szCs w:val="15"/>
          <w:color w:val="auto"/>
        </w:rPr>
        <w:t>NASDAQ Global Select Market LLC</w:t>
      </w:r>
    </w:p>
    <w:p>
      <w:pPr>
        <w:spacing w:after="0" w:line="30" w:lineRule="exact"/>
        <w:rPr>
          <w:sz w:val="24"/>
          <w:szCs w:val="24"/>
          <w:color w:val="auto"/>
        </w:rPr>
      </w:pPr>
    </w:p>
    <w:p>
      <w:pPr>
        <w:sectPr>
          <w:pgSz w:w="11900" w:h="16838" w:orient="portrait"/>
          <w:cols w:equalWidth="0" w:num="3">
            <w:col w:w="3040" w:space="260"/>
            <w:col w:w="2040" w:space="720"/>
            <w:col w:w="3860"/>
          </w:cols>
          <w:pgMar w:left="980" w:top="665" w:right="999" w:bottom="1440" w:gutter="0" w:footer="0" w:header="0"/>
          <w:type w:val="continuous"/>
        </w:sect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type w:val="continuous"/>
        </w:sectPr>
      </w:pPr>
    </w:p>
    <w:p>
      <w:pPr>
        <w:spacing w:after="0" w:line="8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9" w:lineRule="exact"/>
        <w:rPr>
          <w:sz w:val="24"/>
          <w:szCs w:val="24"/>
          <w:color w:val="auto"/>
        </w:rPr>
      </w:pPr>
    </w:p>
    <w:p>
      <w:pPr>
        <w:sectPr>
          <w:pgSz w:w="11900" w:h="16838" w:orient="portrait"/>
          <w:cols w:equalWidth="0" w:num="2">
            <w:col w:w="4240" w:space="720"/>
            <w:col w:w="4960"/>
          </w:cols>
          <w:pgMar w:left="980" w:top="665" w:right="99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9920"/>
          </w:cols>
          <w:pgMar w:left="980" w:top="665" w:right="999" w:bottom="1440" w:gutter="0" w:footer="0" w:header="0"/>
          <w:type w:val="continuous"/>
        </w:sectPr>
      </w:pPr>
    </w:p>
    <w:p>
      <w:pPr>
        <w:spacing w:after="0" w:line="213" w:lineRule="exact"/>
        <w:rPr>
          <w:sz w:val="24"/>
          <w:szCs w:val="24"/>
          <w:color w:val="auto"/>
        </w:rPr>
      </w:pPr>
    </w:p>
    <w:p>
      <w:pPr>
        <w:ind w:right="340" w:firstLine="324"/>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340" w:right="42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issuer had 41,286,466 shares of common stock, $0.01 par value per share, outstanding as of May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780415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94615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128905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MARCH 31,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80" w:type="dxa"/>
            <w:vAlign w:val="bottom"/>
            <w:gridSpan w:val="9"/>
            <w:vMerge w:val="restart"/>
          </w:tcPr>
          <w:p>
            <w:pPr>
              <w:ind w:left="320"/>
              <w:spacing w:after="0"/>
              <w:rPr>
                <w:sz w:val="20"/>
                <w:szCs w:val="20"/>
                <w:color w:val="auto"/>
              </w:rPr>
            </w:pPr>
            <w:r>
              <w:rPr>
                <w:rFonts w:ascii="Arial" w:cs="Arial" w:eastAsia="Arial" w:hAnsi="Arial"/>
                <w:sz w:val="14"/>
                <w:szCs w:val="14"/>
                <w:b w:val="1"/>
                <w:bCs w:val="1"/>
                <w:color w:val="auto"/>
              </w:rPr>
              <w:t>INDEX</w:t>
            </w: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80" w:type="dxa"/>
            <w:vAlign w:val="bottom"/>
            <w:gridSpan w:val="9"/>
            <w:vMerge w:val="continue"/>
          </w:tcPr>
          <w:p>
            <w:pPr>
              <w:spacing w:after="0"/>
              <w:rPr>
                <w:sz w:val="14"/>
                <w:szCs w:val="14"/>
                <w:color w:val="auto"/>
              </w:rPr>
            </w:pP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NO.</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Statements of Assets and Liabilities as of March 31, 2022 (unaudited) and December 31, 2021</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Operations for the three months ended March 31, 2022 and 2021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Statements of Changes in Net Assets for the three months ended March 31, 2022 and 2021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Statements of Cash Flows for the three months ended March 31, 2022 and 2021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Schedule of Investments as of March 31, 2022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Schedule of Investments as of December 31, 2021</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Notes to Financial Statements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2.</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Management’s Discussion and Analysis of Financial Condition and Results of Operations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Item 3.</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Item 4.</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Controls and Procedures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OTHER INFORMATION</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1.</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Legal Proceedings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gridSpan w:val="6"/>
            <w:shd w:val="clear" w:color="auto" w:fill="CCEEFF"/>
          </w:tcPr>
          <w:p>
            <w:pPr>
              <w:jc w:val="right"/>
              <w:ind w:right="4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Item 1A.</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Risk Factors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2.</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Unregistered Sales of Equity Securities and Use of Proceeds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3.</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Defaults Upon Senior Securities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4.</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Mine Safety Disclosures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Item 5.</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Item 6.</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Exhibits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80" w:type="dxa"/>
            <w:vAlign w:val="bottom"/>
            <w:gridSpan w:val="28"/>
            <w:shd w:val="clear" w:color="auto" w:fill="CCEEFF"/>
          </w:tcPr>
          <w:p>
            <w:pPr>
              <w:spacing w:after="0" w:line="176" w:lineRule="exact"/>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SIGNATURES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8"/>
        </w:trPr>
        <w:tc>
          <w:tcPr>
            <w:tcW w:w="2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2"/>
              </w:rPr>
              <w:t>March 31, 2022</w:t>
            </w:r>
          </w:p>
        </w:tc>
        <w:tc>
          <w:tcPr>
            <w:tcW w:w="20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6"/>
              </w:rPr>
              <w:t>Non-control/non-affiliate investments at fair value (cost of $717,860,031 and $647,448,895,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respectively)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720,631,899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655,384,403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Arial" w:cs="Arial" w:eastAsia="Arial" w:hAnsi="Arial"/>
                <w:sz w:val="18"/>
                <w:szCs w:val="18"/>
                <w:color w:val="auto"/>
              </w:rPr>
              <w:t>Affiliate investments at fair value (cost of $5,051,235 and $0, respectively)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2,894,693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Control investments at fair value (cost of $38,421,361 and $34,873,847, respectively)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30,762,778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29,130,371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Investment in U.S. Treasury Bills at fair value (cost of $0 and $45,001,250, respectively)</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45,001,500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investments at fair value (cost of $761,332,627 and $727,323,992, respectively)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754,289,370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729,516,274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3,510,311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4,696,693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3,153,903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466,588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816,065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Prepaid and deferred expenses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677,472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949,768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762,097,644</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738,347,480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Credit facilities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Arial" w:cs="Arial" w:eastAsia="Arial" w:hAnsi="Arial"/>
                <w:sz w:val="18"/>
                <w:szCs w:val="18"/>
                <w:color w:val="auto"/>
              </w:rPr>
              <w:t>2026 Senior Notes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Deferred debt costs (net of accumulated amortization of $1,006,847 and $855,295, respectively)</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(1,878,658)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Total debt, less unamortized deferred debt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154,121,342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79,488,460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3,184,932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Reverse repurchase agreement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44,774,963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Accrued incentive fees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4,860,738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Due to affiliate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194,748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1,346,317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1,408,826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164,631,952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132,152,989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Common stock, $0.01 par value; 100,000,000 shares authorized; 41,348,832 and 41,380,614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shares issued and outstanding, respectively</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413,488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605,638,766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606,047,671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Distributable (losses)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(8,586,562)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(266,986)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net assets</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597,465,692</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606,194,491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asset value per share</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14.45</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March 31, 2022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Investment income</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0"/>
              <w:spacing w:after="0"/>
              <w:rPr>
                <w:sz w:val="20"/>
                <w:szCs w:val="20"/>
                <w:color w:val="auto"/>
              </w:rPr>
            </w:pPr>
            <w:r>
              <w:rPr>
                <w:rFonts w:ascii="Arial" w:cs="Arial" w:eastAsia="Arial" w:hAnsi="Arial"/>
                <w:sz w:val="17"/>
                <w:szCs w:val="17"/>
                <w:color w:val="auto"/>
              </w:rPr>
              <w:t>From non-control/non-affiliate investments: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income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16,762,673</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15,020,565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7"/>
                <w:szCs w:val="17"/>
                <w:color w:val="auto"/>
              </w:rPr>
              <w:t>Payment in-kind interest income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1,006,233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944,031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income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189,984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7"/>
                <w:szCs w:val="17"/>
                <w:color w:val="auto"/>
              </w:rPr>
              <w:t>Interest income from U.S. Treasury Bills</w:t>
            </w: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Dividend income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385,418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343,755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0"/>
              <w:spacing w:after="0"/>
              <w:rPr>
                <w:sz w:val="20"/>
                <w:szCs w:val="20"/>
                <w:color w:val="auto"/>
              </w:rPr>
            </w:pPr>
            <w:r>
              <w:rPr>
                <w:rFonts w:ascii="Arial" w:cs="Arial" w:eastAsia="Arial" w:hAnsi="Arial"/>
                <w:sz w:val="17"/>
                <w:szCs w:val="17"/>
                <w:color w:val="auto"/>
              </w:rPr>
              <w:t>From affiliate investments: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Payment in-kind interest income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89,602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0"/>
              <w:spacing w:after="0"/>
              <w:rPr>
                <w:sz w:val="20"/>
                <w:szCs w:val="20"/>
                <w:color w:val="auto"/>
              </w:rPr>
            </w:pPr>
            <w:r>
              <w:rPr>
                <w:rFonts w:ascii="Arial" w:cs="Arial" w:eastAsia="Arial" w:hAnsi="Arial"/>
                <w:sz w:val="17"/>
                <w:szCs w:val="17"/>
                <w:color w:val="auto"/>
              </w:rPr>
              <w:t>From control investments: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income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494,322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7"/>
                <w:szCs w:val="17"/>
                <w:color w:val="auto"/>
              </w:rPr>
              <w:t>Payment in-kind interest income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330,411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income from non-investment sources</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investment income</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19,258,898</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16,422,773</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0"/>
              <w:spacing w:after="0"/>
              <w:rPr>
                <w:sz w:val="20"/>
                <w:szCs w:val="20"/>
                <w:color w:val="auto"/>
              </w:rPr>
            </w:pPr>
            <w:r>
              <w:rPr>
                <w:rFonts w:ascii="Arial" w:cs="Arial" w:eastAsia="Arial" w:hAnsi="Arial"/>
                <w:sz w:val="17"/>
                <w:szCs w:val="17"/>
                <w:color w:val="auto"/>
              </w:rPr>
              <w:t>Management fees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2,559,936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2,069,209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Incentive fees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1,343,996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975,704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0"/>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873,486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727,915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Professional fees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359,806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321,592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0"/>
              <w:spacing w:after="0"/>
              <w:rPr>
                <w:sz w:val="20"/>
                <w:szCs w:val="20"/>
                <w:color w:val="auto"/>
              </w:rPr>
            </w:pPr>
            <w:r>
              <w:rPr>
                <w:rFonts w:ascii="Arial" w:cs="Arial" w:eastAsia="Arial" w:hAnsi="Arial"/>
                <w:sz w:val="17"/>
                <w:szCs w:val="17"/>
                <w:color w:val="auto"/>
              </w:rPr>
              <w:t>Overhead allocation expense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236,972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197,384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Insurance expense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268,618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0"/>
              <w:spacing w:after="0"/>
              <w:rPr>
                <w:sz w:val="20"/>
                <w:szCs w:val="20"/>
                <w:color w:val="auto"/>
              </w:rPr>
            </w:pPr>
            <w:r>
              <w:rPr>
                <w:rFonts w:ascii="Arial" w:cs="Arial" w:eastAsia="Arial" w:hAnsi="Arial"/>
                <w:sz w:val="17"/>
                <w:szCs w:val="17"/>
                <w:color w:val="auto"/>
              </w:rPr>
              <w:t>Administration fee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168,573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148,100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Debt financing fees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705,965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289,985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0"/>
              <w:spacing w:after="0"/>
              <w:rPr>
                <w:sz w:val="20"/>
                <w:szCs w:val="20"/>
                <w:color w:val="auto"/>
              </w:rPr>
            </w:pPr>
            <w:r>
              <w:rPr>
                <w:rFonts w:ascii="Arial" w:cs="Arial" w:eastAsia="Arial" w:hAnsi="Arial"/>
                <w:sz w:val="17"/>
                <w:szCs w:val="17"/>
                <w:color w:val="auto"/>
              </w:rPr>
              <w:t>Directors’ fees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88,500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64,750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Tax expense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Other expenses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192,903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123,127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operating expenses</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6,799,005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4,941,041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Net investment income</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12,459,893</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11,481,732</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Realized and unrealized gain (loss) on investments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0"/>
              <w:spacing w:after="0"/>
              <w:rPr>
                <w:sz w:val="20"/>
                <w:szCs w:val="20"/>
                <w:color w:val="auto"/>
              </w:rPr>
            </w:pPr>
            <w:r>
              <w:rPr>
                <w:rFonts w:ascii="Arial" w:cs="Arial" w:eastAsia="Arial" w:hAnsi="Arial"/>
                <w:sz w:val="17"/>
                <w:szCs w:val="17"/>
                <w:color w:val="auto"/>
              </w:rPr>
              <w:t>Realized gain (loss) on non-control/non-affiliate investments, including U.S. Treasury Bills</w:t>
            </w: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(371,262)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(199,223)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20" w:type="dxa"/>
            <w:vAlign w:val="bottom"/>
            <w:shd w:val="clear" w:color="auto" w:fill="CCEEFF"/>
          </w:tcPr>
          <w:p>
            <w:pPr>
              <w:ind w:left="100"/>
              <w:spacing w:after="0" w:line="185" w:lineRule="exact"/>
              <w:rPr>
                <w:sz w:val="20"/>
                <w:szCs w:val="20"/>
                <w:color w:val="auto"/>
              </w:rPr>
            </w:pPr>
            <w:r>
              <w:rPr>
                <w:rFonts w:ascii="Arial" w:cs="Arial" w:eastAsia="Arial" w:hAnsi="Arial"/>
                <w:sz w:val="17"/>
                <w:szCs w:val="17"/>
                <w:color w:val="auto"/>
                <w:w w:val="98"/>
              </w:rPr>
              <w:t>Net change in unrealized appreciation (depreciation) on non-control/non-affiliate investments,</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including U.S. Treasury Bills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(4,154,673)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(2,438,265)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0"/>
              <w:spacing w:after="0"/>
              <w:rPr>
                <w:sz w:val="20"/>
                <w:szCs w:val="20"/>
                <w:color w:val="auto"/>
              </w:rPr>
            </w:pPr>
            <w:r>
              <w:rPr>
                <w:rFonts w:ascii="Arial" w:cs="Arial" w:eastAsia="Arial" w:hAnsi="Arial"/>
                <w:sz w:val="17"/>
                <w:szCs w:val="17"/>
                <w:color w:val="auto"/>
              </w:rPr>
              <w:t>Net change in unrealized appreciation (depreciation) on affiliate investments</w:t>
            </w: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(3,165,759)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change in unrealized appreciation (depreciation) on control investments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(1,915,108)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527,084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Net realized and unrealized gain (loss) on investments</w:t>
            </w: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(9,606,802)</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(2,110,404)</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increase in net assets resulting from operations</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2,853,091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9,371,328</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net assets resulting from operations per common share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7"/>
                <w:szCs w:val="17"/>
                <w:color w:val="auto"/>
              </w:rPr>
              <w:t>Net investment income per common share</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0.30</w:t>
            </w:r>
          </w:p>
        </w:tc>
        <w:tc>
          <w:tcPr>
            <w:tcW w:w="8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shares outstanding</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41,375,187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31,505,254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March 31, 2022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from operations</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12,459,893</w:t>
            </w:r>
          </w:p>
        </w:tc>
        <w:tc>
          <w:tcPr>
            <w:tcW w:w="8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11,481,732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w w:val="98"/>
              </w:rPr>
              <w:t>Realized gain (loss) on non-control/non-affiliate investments, including U.S. Treasury Bills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(371,262)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(199,223)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tcPr>
          <w:p>
            <w:pPr>
              <w:spacing w:after="0" w:line="201" w:lineRule="exact"/>
              <w:rPr>
                <w:sz w:val="20"/>
                <w:szCs w:val="20"/>
                <w:color w:val="auto"/>
              </w:rPr>
            </w:pPr>
            <w:r>
              <w:rPr>
                <w:rFonts w:ascii="Arial" w:cs="Arial" w:eastAsia="Arial" w:hAnsi="Arial"/>
                <w:sz w:val="18"/>
                <w:szCs w:val="18"/>
                <w:color w:val="auto"/>
                <w:w w:val="94"/>
              </w:rPr>
              <w:t>Net change in unrealized appreciation (depreciation) on non-control/non-affiliate investments,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spacing w:after="0"/>
              <w:rPr>
                <w:sz w:val="20"/>
                <w:szCs w:val="20"/>
                <w:color w:val="auto"/>
              </w:rPr>
            </w:pPr>
            <w:r>
              <w:rPr>
                <w:rFonts w:ascii="Arial" w:cs="Arial" w:eastAsia="Arial" w:hAnsi="Arial"/>
                <w:sz w:val="18"/>
                <w:szCs w:val="18"/>
                <w:color w:val="auto"/>
              </w:rPr>
              <w:t>including U.S. Treasury Bills</w:t>
            </w:r>
          </w:p>
        </w:tc>
        <w:tc>
          <w:tcPr>
            <w:tcW w:w="14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(4,154,673)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(2,438,265)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 affiliate investments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(3,165,759)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 control investments</w:t>
            </w: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(1,915,108)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527,084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2,853,091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9,371,328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Distributions to stockholders from:</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(11,172,667)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(11,623,199)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distributions to stockholders</w:t>
            </w: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(11,172,667)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(11,623,199)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Acquisition of treasury shares</w:t>
            </w: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(409,223)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of common stock</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Issuance of shares of common stock under dividend reinvestment plan</w:t>
            </w: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9,183,220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(decrease) increase in net assets resulting from capital share transactions</w:t>
            </w: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(409,223)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9,485,610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(decrease) increase in net assets</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(8,728,799)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7,233,739</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Net assets at beginning of period</w:t>
            </w: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606,194,491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466,243,685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assets at end of period</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597,465,692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473,477,424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Treasury shares acquired</w:t>
            </w: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(31,782)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outstanding at beginning of period</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41,380,614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31,414,051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Shares outstanding at end of period</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41,348,832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32,053,327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8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Arial" w:cs="Arial" w:eastAsia="Arial" w:hAnsi="Arial"/>
                <w:sz w:val="13"/>
                <w:szCs w:val="13"/>
                <w:b w:val="1"/>
                <w:bCs w:val="1"/>
                <w:color w:val="auto"/>
                <w:w w:val="96"/>
              </w:rPr>
              <w:t>Three Months Ended</w:t>
            </w:r>
          </w:p>
        </w:tc>
        <w:tc>
          <w:tcPr>
            <w:tcW w:w="100" w:type="dxa"/>
            <w:vAlign w:val="bottom"/>
          </w:tcPr>
          <w:p>
            <w:pPr>
              <w:spacing w:after="0"/>
              <w:rPr>
                <w:sz w:val="13"/>
                <w:szCs w:val="13"/>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53"/>
        </w:trPr>
        <w:tc>
          <w:tcPr>
            <w:tcW w:w="7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March 31, 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3"/>
                <w:szCs w:val="13"/>
                <w:b w:val="1"/>
                <w:bCs w:val="1"/>
                <w:color w:val="auto"/>
              </w:rPr>
              <w:t>March 31, 2021</w:t>
            </w:r>
          </w:p>
        </w:tc>
        <w:tc>
          <w:tcPr>
            <w:tcW w:w="0" w:type="dxa"/>
            <w:vAlign w:val="bottom"/>
          </w:tcPr>
          <w:p>
            <w:pPr>
              <w:spacing w:after="0"/>
              <w:rPr>
                <w:sz w:val="1"/>
                <w:szCs w:val="1"/>
                <w:color w:val="auto"/>
              </w:rPr>
            </w:pPr>
          </w:p>
        </w:tc>
      </w:tr>
      <w:tr>
        <w:trPr>
          <w:trHeight w:val="196"/>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120"/>
              <w:spacing w:after="0"/>
              <w:rPr>
                <w:sz w:val="20"/>
                <w:szCs w:val="20"/>
                <w:color w:val="auto"/>
              </w:rPr>
            </w:pPr>
            <w:r>
              <w:rPr>
                <w:rFonts w:ascii="Arial" w:cs="Arial" w:eastAsia="Arial" w:hAnsi="Arial"/>
                <w:sz w:val="16"/>
                <w:szCs w:val="16"/>
                <w:color w:val="auto"/>
              </w:rPr>
              <w:t>Net increase in net assets resulting from operations</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2,853,091</w:t>
            </w:r>
          </w:p>
        </w:tc>
        <w:tc>
          <w:tcPr>
            <w:tcW w:w="100" w:type="dxa"/>
            <w:vAlign w:val="bottom"/>
          </w:tcPr>
          <w:p>
            <w:pPr>
              <w:spacing w:after="0"/>
              <w:rPr>
                <w:sz w:val="17"/>
                <w:szCs w:val="17"/>
                <w:color w:val="auto"/>
              </w:rPr>
            </w:pP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9,371,328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9"/>
              </w:rPr>
              <w:t>Adjustments to reconcile net increase in net assets resulting from operations to net cash provided by</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(used in) operating activities: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220"/>
              <w:spacing w:after="0"/>
              <w:rPr>
                <w:sz w:val="20"/>
                <w:szCs w:val="20"/>
                <w:color w:val="auto"/>
              </w:rPr>
            </w:pPr>
            <w:r>
              <w:rPr>
                <w:rFonts w:ascii="Arial" w:cs="Arial" w:eastAsia="Arial" w:hAnsi="Arial"/>
                <w:sz w:val="16"/>
                <w:szCs w:val="16"/>
                <w:color w:val="auto"/>
              </w:rPr>
              <w:t>Purchases of investments</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(85,520,030)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(53,900,000)</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U.S. Treasury Bills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(24,999,969)</w:t>
            </w:r>
          </w:p>
        </w:tc>
        <w:tc>
          <w:tcPr>
            <w:tcW w:w="0" w:type="dxa"/>
            <w:vAlign w:val="bottom"/>
          </w:tcPr>
          <w:p>
            <w:pPr>
              <w:spacing w:after="0"/>
              <w:rPr>
                <w:sz w:val="1"/>
                <w:szCs w:val="1"/>
                <w:color w:val="auto"/>
              </w:rPr>
            </w:pPr>
          </w:p>
        </w:tc>
      </w:tr>
      <w:tr>
        <w:trPr>
          <w:trHeight w:val="203"/>
        </w:trPr>
        <w:tc>
          <w:tcPr>
            <w:tcW w:w="7180" w:type="dxa"/>
            <w:vAlign w:val="bottom"/>
          </w:tcPr>
          <w:p>
            <w:pPr>
              <w:ind w:left="220"/>
              <w:spacing w:after="0"/>
              <w:rPr>
                <w:sz w:val="20"/>
                <w:szCs w:val="20"/>
                <w:color w:val="auto"/>
              </w:rPr>
            </w:pPr>
            <w:r>
              <w:rPr>
                <w:rFonts w:ascii="Arial" w:cs="Arial" w:eastAsia="Arial" w:hAnsi="Arial"/>
                <w:sz w:val="16"/>
                <w:szCs w:val="16"/>
                <w:color w:val="auto"/>
              </w:rPr>
              <w:t>Payment in-kind interest</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(1,336,644)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(944,031)</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or repayments of investments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10,301,641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16,566,442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220"/>
              <w:spacing w:after="0"/>
              <w:rPr>
                <w:sz w:val="20"/>
                <w:szCs w:val="20"/>
                <w:color w:val="auto"/>
              </w:rPr>
            </w:pPr>
            <w:r>
              <w:rPr>
                <w:rFonts w:ascii="Arial" w:cs="Arial" w:eastAsia="Arial" w:hAnsi="Arial"/>
                <w:sz w:val="16"/>
                <w:szCs w:val="16"/>
                <w:color w:val="auto"/>
              </w:rPr>
              <w:t>Sales or maturities of U.S. Treasury Bills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44,999,747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69,999,183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Realized (gain) loss on investments, including U.S. Treasury Bills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371,262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199,223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220"/>
              <w:spacing w:after="0"/>
              <w:rPr>
                <w:sz w:val="20"/>
                <w:szCs w:val="20"/>
                <w:color w:val="auto"/>
              </w:rPr>
            </w:pPr>
            <w:r>
              <w:rPr>
                <w:rFonts w:ascii="Arial" w:cs="Arial" w:eastAsia="Arial" w:hAnsi="Arial"/>
                <w:sz w:val="16"/>
                <w:szCs w:val="16"/>
                <w:color w:val="auto"/>
              </w:rPr>
              <w:t>Net change in unrealized appreciation (depreciation) on investments, including U.S. Treasury Bills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9,235,540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1,911,181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fixed income premiums or accretion of discounts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(2,824,612)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(2,171,173)</w:t>
            </w:r>
          </w:p>
        </w:tc>
        <w:tc>
          <w:tcPr>
            <w:tcW w:w="0" w:type="dxa"/>
            <w:vAlign w:val="bottom"/>
          </w:tcPr>
          <w:p>
            <w:pPr>
              <w:spacing w:after="0"/>
              <w:rPr>
                <w:sz w:val="1"/>
                <w:szCs w:val="1"/>
                <w:color w:val="auto"/>
              </w:rPr>
            </w:pPr>
          </w:p>
        </w:tc>
      </w:tr>
      <w:tr>
        <w:trPr>
          <w:trHeight w:val="203"/>
        </w:trPr>
        <w:tc>
          <w:tcPr>
            <w:tcW w:w="7180" w:type="dxa"/>
            <w:vAlign w:val="bottom"/>
          </w:tcPr>
          <w:p>
            <w:pPr>
              <w:ind w:left="220"/>
              <w:spacing w:after="0"/>
              <w:rPr>
                <w:sz w:val="20"/>
                <w:szCs w:val="20"/>
                <w:color w:val="auto"/>
              </w:rPr>
            </w:pPr>
            <w:r>
              <w:rPr>
                <w:rFonts w:ascii="Arial" w:cs="Arial" w:eastAsia="Arial" w:hAnsi="Arial"/>
                <w:sz w:val="16"/>
                <w:szCs w:val="16"/>
                <w:color w:val="auto"/>
              </w:rPr>
              <w:t>Amortization of deferred debt costs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151,552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115,846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220"/>
              <w:spacing w:after="0"/>
              <w:rPr>
                <w:sz w:val="20"/>
                <w:szCs w:val="20"/>
                <w:color w:val="auto"/>
              </w:rPr>
            </w:pPr>
            <w:r>
              <w:rPr>
                <w:rFonts w:ascii="Arial" w:cs="Arial" w:eastAsia="Arial" w:hAnsi="Arial"/>
                <w:sz w:val="16"/>
                <w:szCs w:val="16"/>
                <w:color w:val="auto"/>
              </w:rPr>
              <w:t>Accrued interest receivable</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(785,223)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279,653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accounts receivable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349,477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67,236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220"/>
              <w:spacing w:after="0"/>
              <w:rPr>
                <w:sz w:val="20"/>
                <w:szCs w:val="20"/>
                <w:color w:val="auto"/>
              </w:rPr>
            </w:pPr>
            <w:r>
              <w:rPr>
                <w:rFonts w:ascii="Arial" w:cs="Arial" w:eastAsia="Arial" w:hAnsi="Arial"/>
                <w:sz w:val="16"/>
                <w:szCs w:val="16"/>
                <w:color w:val="auto"/>
              </w:rPr>
              <w:t>Prepaid and deferred expenses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272,296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36,728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3,184,932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180" w:type="dxa"/>
            <w:vAlign w:val="bottom"/>
          </w:tcPr>
          <w:p>
            <w:pPr>
              <w:ind w:left="220"/>
              <w:spacing w:after="0"/>
              <w:rPr>
                <w:sz w:val="20"/>
                <w:szCs w:val="20"/>
                <w:color w:val="auto"/>
              </w:rPr>
            </w:pPr>
            <w:r>
              <w:rPr>
                <w:rFonts w:ascii="Arial" w:cs="Arial" w:eastAsia="Arial" w:hAnsi="Arial"/>
                <w:sz w:val="16"/>
                <w:szCs w:val="16"/>
                <w:color w:val="auto"/>
              </w:rPr>
              <w:t>Accrued incentive fees</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(1,149,512)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(916,726)</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Due to affiliate</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(26,495)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(110,657)</w:t>
            </w:r>
          </w:p>
        </w:tc>
        <w:tc>
          <w:tcPr>
            <w:tcW w:w="0" w:type="dxa"/>
            <w:vAlign w:val="bottom"/>
          </w:tcPr>
          <w:p>
            <w:pPr>
              <w:spacing w:after="0"/>
              <w:rPr>
                <w:sz w:val="1"/>
                <w:szCs w:val="1"/>
                <w:color w:val="auto"/>
              </w:rPr>
            </w:pPr>
          </w:p>
        </w:tc>
      </w:tr>
      <w:tr>
        <w:trPr>
          <w:trHeight w:val="203"/>
        </w:trPr>
        <w:tc>
          <w:tcPr>
            <w:tcW w:w="7180" w:type="dxa"/>
            <w:vAlign w:val="bottom"/>
          </w:tcPr>
          <w:p>
            <w:pPr>
              <w:ind w:left="220"/>
              <w:spacing w:after="0"/>
              <w:rPr>
                <w:sz w:val="20"/>
                <w:szCs w:val="20"/>
                <w:color w:val="auto"/>
              </w:rPr>
            </w:pPr>
            <w:r>
              <w:rPr>
                <w:rFonts w:ascii="Arial" w:cs="Arial" w:eastAsia="Arial" w:hAnsi="Arial"/>
                <w:sz w:val="16"/>
                <w:szCs w:val="16"/>
                <w:color w:val="auto"/>
              </w:rPr>
              <w:t>Interest payable</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674,628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256,032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(62,509)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46,921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80" w:type="dxa"/>
            <w:vAlign w:val="bottom"/>
            <w:tcBorders>
              <w:bottom w:val="single" w:sz="8" w:color="CCEEFF"/>
            </w:tcBorders>
          </w:tcPr>
          <w:p>
            <w:pPr>
              <w:ind w:left="3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(19,310,859)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15,807,217</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120"/>
              <w:spacing w:after="0"/>
              <w:rPr>
                <w:sz w:val="20"/>
                <w:szCs w:val="20"/>
                <w:color w:val="auto"/>
              </w:rPr>
            </w:pPr>
            <w:r>
              <w:rPr>
                <w:rFonts w:ascii="Arial" w:cs="Arial" w:eastAsia="Arial" w:hAnsi="Arial"/>
                <w:sz w:val="16"/>
                <w:szCs w:val="16"/>
                <w:color w:val="auto"/>
              </w:rPr>
              <w:t>Payment of deferred financing costs</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(518,670)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Borrowings under credit facilities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43,000,000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120"/>
              <w:spacing w:after="0"/>
              <w:rPr>
                <w:sz w:val="20"/>
                <w:szCs w:val="20"/>
                <w:color w:val="auto"/>
              </w:rPr>
            </w:pPr>
            <w:r>
              <w:rPr>
                <w:rFonts w:ascii="Arial" w:cs="Arial" w:eastAsia="Arial" w:hAnsi="Arial"/>
                <w:sz w:val="16"/>
                <w:szCs w:val="16"/>
                <w:color w:val="auto"/>
              </w:rPr>
              <w:t>Repayments under credit facilities</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(61,000,000)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(25,000,000)</w:t>
            </w:r>
          </w:p>
        </w:tc>
        <w:tc>
          <w:tcPr>
            <w:tcW w:w="0" w:type="dxa"/>
            <w:vAlign w:val="bottom"/>
          </w:tcPr>
          <w:p>
            <w:pPr>
              <w:spacing w:after="0"/>
              <w:rPr>
                <w:sz w:val="1"/>
                <w:szCs w:val="1"/>
                <w:color w:val="auto"/>
              </w:rPr>
            </w:pPr>
          </w:p>
        </w:tc>
      </w:tr>
      <w:tr>
        <w:trPr>
          <w:trHeight w:val="202"/>
        </w:trPr>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2026 Senior Notes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180" w:type="dxa"/>
            <w:vAlign w:val="bottom"/>
          </w:tcPr>
          <w:p>
            <w:pPr>
              <w:ind w:left="120"/>
              <w:spacing w:after="0"/>
              <w:rPr>
                <w:sz w:val="20"/>
                <w:szCs w:val="20"/>
                <w:color w:val="auto"/>
              </w:rPr>
            </w:pPr>
            <w:r>
              <w:rPr>
                <w:rFonts w:ascii="Arial" w:cs="Arial" w:eastAsia="Arial" w:hAnsi="Arial"/>
                <w:sz w:val="16"/>
                <w:szCs w:val="16"/>
                <w:color w:val="auto"/>
              </w:rPr>
              <w:t>Proceeds from reverse repurchase agreements</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24,874,914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reverse repurchase agreements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(44,774,963)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(69,650,000)</w:t>
            </w:r>
          </w:p>
        </w:tc>
        <w:tc>
          <w:tcPr>
            <w:tcW w:w="0" w:type="dxa"/>
            <w:vAlign w:val="bottom"/>
          </w:tcPr>
          <w:p>
            <w:pPr>
              <w:spacing w:after="0"/>
              <w:rPr>
                <w:sz w:val="1"/>
                <w:szCs w:val="1"/>
                <w:color w:val="auto"/>
              </w:rPr>
            </w:pPr>
          </w:p>
        </w:tc>
      </w:tr>
      <w:tr>
        <w:trPr>
          <w:trHeight w:val="203"/>
        </w:trPr>
        <w:tc>
          <w:tcPr>
            <w:tcW w:w="7180" w:type="dxa"/>
            <w:vAlign w:val="bottom"/>
          </w:tcPr>
          <w:p>
            <w:pPr>
              <w:ind w:left="120"/>
              <w:spacing w:after="0"/>
              <w:rPr>
                <w:sz w:val="20"/>
                <w:szCs w:val="20"/>
                <w:color w:val="auto"/>
              </w:rPr>
            </w:pPr>
            <w:r>
              <w:rPr>
                <w:rFonts w:ascii="Arial" w:cs="Arial" w:eastAsia="Arial" w:hAnsi="Arial"/>
                <w:sz w:val="16"/>
                <w:szCs w:val="16"/>
                <w:color w:val="auto"/>
              </w:rPr>
              <w:t>Acquisition of treasury shares</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(409,223)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 paid to stockholders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(11,172,667)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(2,439,979)</w:t>
            </w:r>
          </w:p>
        </w:tc>
        <w:tc>
          <w:tcPr>
            <w:tcW w:w="0" w:type="dxa"/>
            <w:vAlign w:val="bottom"/>
          </w:tcPr>
          <w:p>
            <w:pPr>
              <w:spacing w:after="0"/>
              <w:rPr>
                <w:sz w:val="1"/>
                <w:szCs w:val="1"/>
                <w:color w:val="auto"/>
              </w:rPr>
            </w:pPr>
          </w:p>
        </w:tc>
      </w:tr>
      <w:tr>
        <w:trPr>
          <w:trHeight w:val="203"/>
        </w:trPr>
        <w:tc>
          <w:tcPr>
            <w:tcW w:w="7180" w:type="dxa"/>
            <w:vAlign w:val="bottom"/>
          </w:tcPr>
          <w:p>
            <w:pPr>
              <w:ind w:left="120"/>
              <w:spacing w:after="0"/>
              <w:rPr>
                <w:sz w:val="20"/>
                <w:szCs w:val="20"/>
                <w:color w:val="auto"/>
              </w:rPr>
            </w:pPr>
            <w:r>
              <w:rPr>
                <w:rFonts w:ascii="Arial" w:cs="Arial" w:eastAsia="Arial" w:hAnsi="Arial"/>
                <w:sz w:val="16"/>
                <w:szCs w:val="16"/>
                <w:color w:val="auto"/>
              </w:rPr>
              <w:t>Offering costs</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(4,521)</w:t>
            </w: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cash received from common stock issued</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306,911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80" w:type="dxa"/>
            <w:vAlign w:val="bottom"/>
            <w:tcBorders>
              <w:bottom w:val="single" w:sz="8" w:color="CCEEFF"/>
            </w:tcBorders>
          </w:tcPr>
          <w:p>
            <w:pPr>
              <w:ind w:left="3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18,124,477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(28,912,675)</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(1,186,382)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(13,105,458)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4,696,693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14,886,246</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Cash and cash equivalents at end of period</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3,510,311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1,780,788</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and non-cash financing cash flow information:</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Taxes paid</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180" w:type="dxa"/>
            <w:vAlign w:val="bottom"/>
          </w:tcPr>
          <w:p>
            <w:pPr>
              <w:ind w:left="120"/>
              <w:spacing w:after="0"/>
              <w:rPr>
                <w:sz w:val="20"/>
                <w:szCs w:val="20"/>
                <w:color w:val="auto"/>
              </w:rPr>
            </w:pPr>
            <w:r>
              <w:rPr>
                <w:rFonts w:ascii="Arial" w:cs="Arial" w:eastAsia="Arial" w:hAnsi="Arial"/>
                <w:sz w:val="16"/>
                <w:szCs w:val="16"/>
                <w:color w:val="auto"/>
              </w:rPr>
              <w:t>Interest paid</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198,858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471,883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portfolio purchases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648,744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180" w:type="dxa"/>
            <w:vAlign w:val="bottom"/>
          </w:tcPr>
          <w:p>
            <w:pPr>
              <w:ind w:left="120"/>
              <w:spacing w:after="0"/>
              <w:rPr>
                <w:sz w:val="20"/>
                <w:szCs w:val="20"/>
                <w:color w:val="auto"/>
              </w:rPr>
            </w:pPr>
            <w:r>
              <w:rPr>
                <w:rFonts w:ascii="Arial" w:cs="Arial" w:eastAsia="Arial" w:hAnsi="Arial"/>
                <w:sz w:val="16"/>
                <w:szCs w:val="16"/>
                <w:color w:val="auto"/>
              </w:rPr>
              <w:t>Non-cash dividend reinvestments</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9,183,220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(1),(5),(9)</w:t>
            </w: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w:t>
            </w:r>
          </w:p>
        </w:tc>
        <w:tc>
          <w:tcPr>
            <w:tcW w:w="880" w:type="dxa"/>
            <w:vAlign w:val="bottom"/>
            <w:tcBorders>
              <w:top w:val="single" w:sz="8" w:color="auto"/>
              <w:bottom w:val="single" w:sz="8" w:color="CCEEFF"/>
            </w:tcBorders>
            <w:shd w:val="clear" w:color="auto" w:fill="CCEEFF"/>
          </w:tcPr>
          <w:p>
            <w:pPr>
              <w:spacing w:after="0"/>
              <w:rPr>
                <w:sz w:val="11"/>
                <w:szCs w:val="11"/>
                <w:color w:val="auto"/>
              </w:rPr>
            </w:pPr>
          </w:p>
        </w:tc>
        <w:tc>
          <w:tcPr>
            <w:tcW w:w="4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Senior Secured Term Loans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Allurion Technologies,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LIBOR+9.00%, 9.50%</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3.00% ETP, due 12/30/2025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12/30/2021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5,000,000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4,865,461</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5,088,657</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6"/>
              </w:rPr>
              <w:t>0.85 %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LIBOR+9.00%, 9.50%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3.00% ETP, due 12/30/2025</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12/30/2021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20,037,588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20,354,630</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3.41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Bombora,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LIBOR+5.00%, 5.50%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3.75% PIK, 2.00%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3/31/2025</w:t>
            </w:r>
            <w:r>
              <w:rPr>
                <w:rFonts w:ascii="Arial" w:cs="Arial" w:eastAsia="Arial" w:hAnsi="Arial"/>
                <w:sz w:val="10"/>
                <w:szCs w:val="10"/>
                <w:color w:val="auto"/>
              </w:rPr>
              <w:t>(4)(8)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20,739,296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20,567,146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20,567,146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3.44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Brilliant Earth, LLC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 Retail</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LIBOR+7.75%, 8.25%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floor, 4.50%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10/15/2023</w:t>
            </w:r>
            <w:r>
              <w:rPr>
                <w:rFonts w:ascii="Arial" w:cs="Arial" w:eastAsia="Arial" w:hAnsi="Arial"/>
                <w:sz w:val="10"/>
                <w:szCs w:val="10"/>
                <w:color w:val="auto"/>
              </w:rPr>
              <w:t>(8)</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9/30/2019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35,000,000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36,004,878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35,819,614</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5.99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LIBOR+7.75%, 8.25%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floor, 0.75%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10/15/2023</w:t>
            </w:r>
            <w:r>
              <w:rPr>
                <w:rFonts w:ascii="Arial" w:cs="Arial" w:eastAsia="Arial" w:hAnsi="Arial"/>
                <w:sz w:val="10"/>
                <w:szCs w:val="10"/>
                <w:color w:val="auto"/>
              </w:rPr>
              <w:t>(8)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12/17/2020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30,030,341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30,702,526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5.14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Circadence Corporation</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LIBOR+9.50% PIK, 12.00%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7.50% ETP, due 12/15/2022</w:t>
            </w:r>
            <w:r>
              <w:rPr>
                <w:rFonts w:ascii="Arial" w:cs="Arial" w:eastAsia="Arial" w:hAnsi="Arial"/>
                <w:sz w:val="10"/>
                <w:szCs w:val="10"/>
                <w:color w:val="auto"/>
              </w:rPr>
              <w:t>(4)(8)</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12/20/2018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18,106,504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18,933,668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15,880,852</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2.66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CloudPay,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Human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2.00% ETP, due 8/17/2025</w:t>
            </w:r>
            <w:r>
              <w:rPr>
                <w:rFonts w:ascii="Arial" w:cs="Arial" w:eastAsia="Arial" w:hAnsi="Arial"/>
                <w:sz w:val="10"/>
                <w:szCs w:val="10"/>
                <w:color w:val="auto"/>
              </w:rPr>
              <w:t>(3)(8)(12)</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Employment</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34,933,078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34,933,078</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5.85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Dtex Systems,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LIBOR+9.50%, 10.00%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1.75% ETP, due 6/1/2025</w:t>
            </w:r>
            <w:r>
              <w:rPr>
                <w:rFonts w:ascii="Arial" w:cs="Arial" w:eastAsia="Arial" w:hAnsi="Arial"/>
                <w:sz w:val="10"/>
                <w:szCs w:val="10"/>
                <w:color w:val="auto"/>
              </w:rPr>
              <w:t>(8)</w:t>
            </w:r>
          </w:p>
        </w:tc>
        <w:tc>
          <w:tcPr>
            <w:tcW w:w="720" w:type="dxa"/>
            <w:vAlign w:val="bottom"/>
          </w:tcPr>
          <w:p>
            <w:pPr>
              <w:jc w:val="right"/>
              <w:spacing w:after="0"/>
              <w:rPr>
                <w:sz w:val="20"/>
                <w:szCs w:val="20"/>
                <w:color w:val="auto"/>
              </w:rPr>
            </w:pPr>
            <w:r>
              <w:rPr>
                <w:rFonts w:ascii="Arial" w:cs="Arial" w:eastAsia="Arial" w:hAnsi="Arial"/>
                <w:sz w:val="14"/>
                <w:szCs w:val="14"/>
                <w:color w:val="auto"/>
              </w:rPr>
              <w:t>6/1/2021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9,963,462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9,963,462</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1.67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Fidelis Cybersecurity,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LIBOR+11.00%, 12.0%</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9"/>
              </w:rPr>
              <w:t>floor, 2.39% ETP, due 5/13/2024</w:t>
            </w:r>
            <w:r>
              <w:rPr>
                <w:rFonts w:ascii="Arial" w:cs="Arial" w:eastAsia="Arial" w:hAnsi="Arial"/>
                <w:sz w:val="10"/>
                <w:szCs w:val="10"/>
                <w:color w:val="auto"/>
                <w:w w:val="99"/>
              </w:rPr>
              <w:t>(8)</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13,641,254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13,621,567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13,670,516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2.29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LIBOR+11.00%,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12.0% floor, 2.39%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5/13/2024</w:t>
            </w:r>
            <w:r>
              <w:rPr>
                <w:rFonts w:ascii="Arial" w:cs="Arial" w:eastAsia="Arial" w:hAnsi="Arial"/>
                <w:sz w:val="10"/>
                <w:szCs w:val="10"/>
                <w:color w:val="auto"/>
              </w:rPr>
              <w:t>(8)</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3/25/2022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9,869,924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9,869,924</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1.65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FiscalNote,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LIBOR+9.25%, 9.75%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floor, 5.00% ETP, due 8/21/2023</w:t>
            </w:r>
            <w:r>
              <w:rPr>
                <w:rFonts w:ascii="Arial" w:cs="Arial" w:eastAsia="Arial" w:hAnsi="Arial"/>
                <w:sz w:val="10"/>
                <w:szCs w:val="10"/>
                <w:color w:val="auto"/>
                <w:w w:val="99"/>
              </w:rPr>
              <w:t>(8)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10/19/2020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45,806,374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45,806,374</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7.67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LIBOR+9.25%, 9.75%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due 8/21/2023</w:t>
            </w:r>
            <w:r>
              <w:rPr>
                <w:rFonts w:ascii="Arial" w:cs="Arial" w:eastAsia="Arial" w:hAnsi="Arial"/>
                <w:sz w:val="10"/>
                <w:szCs w:val="10"/>
                <w:color w:val="auto"/>
              </w:rPr>
              <w:t>(8)</w:t>
            </w:r>
          </w:p>
        </w:tc>
        <w:tc>
          <w:tcPr>
            <w:tcW w:w="720" w:type="dxa"/>
            <w:vAlign w:val="bottom"/>
          </w:tcPr>
          <w:p>
            <w:pPr>
              <w:jc w:val="right"/>
              <w:spacing w:after="0"/>
              <w:rPr>
                <w:sz w:val="20"/>
                <w:szCs w:val="20"/>
                <w:color w:val="auto"/>
              </w:rPr>
            </w:pPr>
            <w:r>
              <w:rPr>
                <w:rFonts w:ascii="Arial" w:cs="Arial" w:eastAsia="Arial" w:hAnsi="Arial"/>
                <w:sz w:val="14"/>
                <w:szCs w:val="14"/>
                <w:color w:val="auto"/>
              </w:rPr>
              <w:t>9/30/2021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9,998,786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9,998,786</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1.67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III: LIBOR+9.25%, 9.75%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floor, 3.75% ETP, due 8/21/2023</w:t>
            </w:r>
            <w:r>
              <w:rPr>
                <w:rFonts w:ascii="Arial" w:cs="Arial" w:eastAsia="Arial" w:hAnsi="Arial"/>
                <w:sz w:val="10"/>
                <w:szCs w:val="10"/>
                <w:color w:val="auto"/>
                <w:w w:val="99"/>
              </w:rPr>
              <w:t>(8)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3/28/2022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19,809,277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19,809,277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3.32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Gynesonics,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3.50% ETP, due 12/1/2025</w:t>
            </w:r>
          </w:p>
        </w:tc>
        <w:tc>
          <w:tcPr>
            <w:tcW w:w="720" w:type="dxa"/>
            <w:vAlign w:val="bottom"/>
          </w:tcPr>
          <w:p>
            <w:pPr>
              <w:jc w:val="right"/>
              <w:spacing w:after="0"/>
              <w:rPr>
                <w:sz w:val="20"/>
                <w:szCs w:val="20"/>
                <w:color w:val="auto"/>
              </w:rPr>
            </w:pPr>
            <w:r>
              <w:rPr>
                <w:rFonts w:ascii="Arial" w:cs="Arial" w:eastAsia="Arial" w:hAnsi="Arial"/>
                <w:sz w:val="14"/>
                <w:szCs w:val="14"/>
                <w:color w:val="auto"/>
              </w:rPr>
              <w:t>12/1/2020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29,875,456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29,875,456</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5.00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INRIX,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LIBOR+9.00%, 9.50%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2.50% ETP, due 11/15/2025</w:t>
            </w:r>
            <w:r>
              <w:rPr>
                <w:rFonts w:ascii="Arial" w:cs="Arial" w:eastAsia="Arial" w:hAnsi="Arial"/>
                <w:sz w:val="10"/>
                <w:szCs w:val="10"/>
                <w:color w:val="auto"/>
              </w:rPr>
              <w:t>(8)</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11/15/2021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40,002,577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40,002,577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6.69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w w:val="96"/>
              </w:rPr>
              <w:t>Intellisite Holdings, Inc. (dba Epic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Electronic</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LIBOR+9.75%, 10.25%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40" w:type="dxa"/>
            <w:vAlign w:val="bottom"/>
            <w:gridSpan w:val="4"/>
          </w:tcPr>
          <w:p>
            <w:pPr>
              <w:spacing w:after="0" w:line="149" w:lineRule="exact"/>
              <w:rPr>
                <w:sz w:val="20"/>
                <w:szCs w:val="20"/>
                <w:color w:val="auto"/>
              </w:rPr>
            </w:pPr>
            <w:r>
              <w:rPr>
                <w:rFonts w:ascii="Arial" w:cs="Arial" w:eastAsia="Arial" w:hAnsi="Arial"/>
                <w:sz w:val="14"/>
                <w:szCs w:val="14"/>
                <w:color w:val="auto"/>
              </w:rPr>
              <w:t>IO Technologies, Inc.)</w:t>
            </w: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Equipment &amp;</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floor, 2.00%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Instruments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12/17/2025</w:t>
            </w:r>
            <w:r>
              <w:rPr>
                <w:rFonts w:ascii="Arial" w:cs="Arial" w:eastAsia="Arial" w:hAnsi="Arial"/>
                <w:sz w:val="10"/>
                <w:szCs w:val="10"/>
                <w:color w:val="auto"/>
              </w:rPr>
              <w:t>(8)</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12/17/2021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18,582,428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18,582,428</w:t>
            </w:r>
          </w:p>
        </w:tc>
        <w:tc>
          <w:tcPr>
            <w:tcW w:w="120" w:type="dxa"/>
            <w:vAlign w:val="bottom"/>
          </w:tcPr>
          <w:p>
            <w:pPr>
              <w:spacing w:after="0"/>
              <w:rPr>
                <w:sz w:val="14"/>
                <w:szCs w:val="14"/>
                <w:color w:val="auto"/>
              </w:rPr>
            </w:pPr>
          </w:p>
        </w:tc>
        <w:tc>
          <w:tcPr>
            <w:tcW w:w="500" w:type="dxa"/>
            <w:vAlign w:val="bottom"/>
          </w:tcPr>
          <w:p>
            <w:pPr>
              <w:ind w:left="220"/>
              <w:spacing w:after="0"/>
              <w:rPr>
                <w:sz w:val="20"/>
                <w:szCs w:val="20"/>
                <w:color w:val="auto"/>
              </w:rPr>
            </w:pPr>
            <w:r>
              <w:rPr>
                <w:rFonts w:ascii="Arial" w:cs="Arial" w:eastAsia="Arial" w:hAnsi="Arial"/>
                <w:sz w:val="14"/>
                <w:szCs w:val="14"/>
                <w:color w:val="auto"/>
                <w:w w:val="95"/>
              </w:rPr>
              <w:t>3.11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LIBOR+9.75%,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10.25% floor, 2.00%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12/17/2025</w:t>
            </w:r>
            <w:r>
              <w:rPr>
                <w:rFonts w:ascii="Arial" w:cs="Arial" w:eastAsia="Arial" w:hAnsi="Arial"/>
                <w:sz w:val="10"/>
                <w:szCs w:val="10"/>
                <w:color w:val="auto"/>
              </w:rPr>
              <w:t>(8)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2/28/2022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2,964,303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2,964,303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0.49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III:LIBOR+9.75%,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10.25% floor, 2.00%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12/17/2025</w:t>
            </w:r>
            <w:r>
              <w:rPr>
                <w:rFonts w:ascii="Arial" w:cs="Arial" w:eastAsia="Arial" w:hAnsi="Arial"/>
                <w:sz w:val="10"/>
                <w:szCs w:val="10"/>
                <w:color w:val="auto"/>
              </w:rPr>
              <w:t>(8)</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3/29/2022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2,961,645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2,961,645</w:t>
            </w:r>
          </w:p>
        </w:tc>
        <w:tc>
          <w:tcPr>
            <w:tcW w:w="120" w:type="dxa"/>
            <w:vAlign w:val="bottom"/>
          </w:tcPr>
          <w:p>
            <w:pPr>
              <w:spacing w:after="0"/>
              <w:rPr>
                <w:sz w:val="15"/>
                <w:szCs w:val="15"/>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0.49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(1),(5),(9)</w:t>
            </w: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 (continued)</w:t>
            </w: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4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(continued)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Marley Spoon AG</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 Retail</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LIBOR+8.50%, 1.25%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60" w:type="dxa"/>
            <w:vAlign w:val="bottom"/>
            <w:gridSpan w:val="3"/>
            <w:shd w:val="clear" w:color="auto" w:fill="CCEEFF"/>
          </w:tcPr>
          <w:p>
            <w:pPr>
              <w:ind w:left="100"/>
              <w:spacing w:after="0" w:line="157" w:lineRule="exact"/>
              <w:rPr>
                <w:sz w:val="20"/>
                <w:szCs w:val="20"/>
                <w:color w:val="auto"/>
              </w:rPr>
            </w:pPr>
            <w:r>
              <w:rPr>
                <w:rFonts w:ascii="Arial" w:cs="Arial" w:eastAsia="Arial" w:hAnsi="Arial"/>
                <w:sz w:val="14"/>
                <w:szCs w:val="14"/>
                <w:color w:val="auto"/>
              </w:rPr>
              <w:t>PIK, 9.00% floor, due 6/15/2025</w:t>
            </w:r>
            <w:r>
              <w:rPr>
                <w:rFonts w:ascii="Arial" w:cs="Arial" w:eastAsia="Arial" w:hAnsi="Arial"/>
                <w:sz w:val="10"/>
                <w:szCs w:val="10"/>
                <w:color w:val="auto"/>
              </w:rPr>
              <w:t>(3)</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6/30/2021</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$ 26,525,583</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26,180,576</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26,180,576</w:t>
            </w:r>
          </w:p>
        </w:tc>
        <w:tc>
          <w:tcPr>
            <w:tcW w:w="12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4.38 %</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(4)(11)</w:t>
            </w: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LIBOR+8.50%, 1.25%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60" w:type="dxa"/>
            <w:vAlign w:val="bottom"/>
            <w:gridSpan w:val="3"/>
          </w:tcPr>
          <w:p>
            <w:pPr>
              <w:ind w:left="100"/>
              <w:spacing w:after="0" w:line="157" w:lineRule="exact"/>
              <w:rPr>
                <w:sz w:val="20"/>
                <w:szCs w:val="20"/>
                <w:color w:val="auto"/>
              </w:rPr>
            </w:pPr>
            <w:r>
              <w:rPr>
                <w:rFonts w:ascii="Arial" w:cs="Arial" w:eastAsia="Arial" w:hAnsi="Arial"/>
                <w:sz w:val="14"/>
                <w:szCs w:val="14"/>
                <w:color w:val="auto"/>
              </w:rPr>
              <w:t>PIK, 9.00% floor, due 6/15/2025</w:t>
            </w:r>
            <w:r>
              <w:rPr>
                <w:rFonts w:ascii="Arial" w:cs="Arial" w:eastAsia="Arial" w:hAnsi="Arial"/>
                <w:sz w:val="10"/>
                <w:szCs w:val="10"/>
                <w:color w:val="auto"/>
              </w:rPr>
              <w:t>(3)</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4"/>
              </w:rPr>
              <w:t>12/29/2021</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8,121,393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8,048,767</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8,048,767</w:t>
            </w:r>
          </w:p>
        </w:tc>
        <w:tc>
          <w:tcPr>
            <w:tcW w:w="1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1.35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160" w:type="dxa"/>
            <w:vAlign w:val="bottom"/>
            <w:gridSpan w:val="2"/>
          </w:tcPr>
          <w:p>
            <w:pPr>
              <w:ind w:left="100"/>
              <w:spacing w:after="0"/>
              <w:rPr>
                <w:sz w:val="20"/>
                <w:szCs w:val="20"/>
                <w:color w:val="auto"/>
              </w:rPr>
            </w:pPr>
            <w:r>
              <w:rPr>
                <w:rFonts w:ascii="Arial" w:cs="Arial" w:eastAsia="Arial" w:hAnsi="Arial"/>
                <w:sz w:val="11"/>
                <w:szCs w:val="11"/>
                <w:color w:val="auto"/>
              </w:rPr>
              <w:t>(4)(11)</w:t>
            </w: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7"/>
              </w:rPr>
              <w:t>Mingle Healthcare Solutions,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LIBOR+9.50%, 11.75%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.25% PIK, 10.00%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8/15/2022</w:t>
            </w:r>
            <w:r>
              <w:rPr>
                <w:rFonts w:ascii="Arial" w:cs="Arial" w:eastAsia="Arial" w:hAnsi="Arial"/>
                <w:sz w:val="10"/>
                <w:szCs w:val="10"/>
                <w:color w:val="auto"/>
              </w:rPr>
              <w:t>(4)(8)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8/15/2018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3,960,958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4,512,175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4,306,777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Mustang Bio,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Biotechnology</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3.50% ETP, due 4/15/2027</w:t>
            </w:r>
          </w:p>
        </w:tc>
        <w:tc>
          <w:tcPr>
            <w:tcW w:w="720" w:type="dxa"/>
            <w:vAlign w:val="bottom"/>
          </w:tcPr>
          <w:p>
            <w:pPr>
              <w:jc w:val="right"/>
              <w:spacing w:after="0"/>
              <w:rPr>
                <w:sz w:val="20"/>
                <w:szCs w:val="20"/>
                <w:color w:val="auto"/>
              </w:rPr>
            </w:pPr>
            <w:r>
              <w:rPr>
                <w:rFonts w:ascii="Arial" w:cs="Arial" w:eastAsia="Arial" w:hAnsi="Arial"/>
                <w:sz w:val="14"/>
                <w:szCs w:val="14"/>
                <w:color w:val="auto"/>
              </w:rPr>
              <w:t>3/4/2022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29,411,380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29,411,511</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Revelle Aesthetics,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Prime+5.50%, 8.75% floor, 4.00%</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Equipment</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ETP, due 4/1/2027</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3/30/2022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12,249,261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12,249,261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Route 92 Medical,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LIBOR+8.48%, 8.98%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3.95% ETP, due 7/1/2026</w:t>
            </w:r>
          </w:p>
        </w:tc>
        <w:tc>
          <w:tcPr>
            <w:tcW w:w="720" w:type="dxa"/>
            <w:vAlign w:val="bottom"/>
          </w:tcPr>
          <w:p>
            <w:pPr>
              <w:jc w:val="right"/>
              <w:spacing w:after="0"/>
              <w:rPr>
                <w:sz w:val="20"/>
                <w:szCs w:val="20"/>
                <w:color w:val="auto"/>
              </w:rPr>
            </w:pPr>
            <w:r>
              <w:rPr>
                <w:rFonts w:ascii="Arial" w:cs="Arial" w:eastAsia="Arial" w:hAnsi="Arial"/>
                <w:sz w:val="14"/>
                <w:szCs w:val="14"/>
                <w:color w:val="auto"/>
              </w:rPr>
              <w:t>8/17/2021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12,713,871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12,713,871</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SetPoint Medical Corporation</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4.00% ETP, due 12/1/2025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9,978,131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9,978,131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ShareThis,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LIBOR+9.25%, 11.60%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9"/>
              </w:rPr>
              <w:t>floor, 3.00% ETP, due 7/15/2023</w:t>
            </w:r>
            <w:r>
              <w:rPr>
                <w:rFonts w:ascii="Arial" w:cs="Arial" w:eastAsia="Arial" w:hAnsi="Arial"/>
                <w:sz w:val="10"/>
                <w:szCs w:val="10"/>
                <w:color w:val="auto"/>
                <w:w w:val="99"/>
              </w:rPr>
              <w:t>(8)</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19,250,000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19,461,152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19,461,151</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3.26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LIBOR+9.25%,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11.60% floor, 3.00%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7/15/2023</w:t>
            </w:r>
            <w:r>
              <w:rPr>
                <w:rFonts w:ascii="Arial" w:cs="Arial" w:eastAsia="Arial" w:hAnsi="Arial"/>
                <w:sz w:val="10"/>
                <w:szCs w:val="10"/>
                <w:color w:val="auto"/>
              </w:rPr>
              <w:t>(8)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756,830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756,829</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III: LIBOR+9.25%,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11.60% floor, 3.00%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7/15/2023</w:t>
            </w:r>
            <w:r>
              <w:rPr>
                <w:rFonts w:ascii="Arial" w:cs="Arial" w:eastAsia="Arial" w:hAnsi="Arial"/>
                <w:sz w:val="10"/>
                <w:szCs w:val="10"/>
                <w:color w:val="auto"/>
              </w:rPr>
              <w:t>(8)</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7/24/2019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1,006,006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1,006,006</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IV: LIBOR+8.25%,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10.60% floor, 3.00%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7/15/2023</w:t>
            </w:r>
            <w:r>
              <w:rPr>
                <w:rFonts w:ascii="Arial" w:cs="Arial" w:eastAsia="Arial" w:hAnsi="Arial"/>
                <w:sz w:val="10"/>
                <w:szCs w:val="10"/>
                <w:color w:val="auto"/>
              </w:rPr>
              <w:t>(8)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1,017,655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1,017,655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Snagajob.com,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Human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LIBOR+8.50%, 9.00%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2.75% ETP, due 9/1/2025</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Employment</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9/29/2021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37,315,385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36,947,453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36,947,453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Turning Tech Intermediate,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Education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LIBOR+8.50%, 9.00%</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3.00% ETP, due 12/14/2025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20,141,739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20,141,739</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LIBOR+8.50%, 9.00%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3.00% ETP, due 12/14/2025</w:t>
            </w:r>
          </w:p>
        </w:tc>
        <w:tc>
          <w:tcPr>
            <w:tcW w:w="720" w:type="dxa"/>
            <w:vAlign w:val="bottom"/>
          </w:tcPr>
          <w:p>
            <w:pPr>
              <w:jc w:val="right"/>
              <w:spacing w:after="0"/>
              <w:rPr>
                <w:sz w:val="20"/>
                <w:szCs w:val="20"/>
                <w:color w:val="auto"/>
              </w:rPr>
            </w:pPr>
            <w:r>
              <w:rPr>
                <w:rFonts w:ascii="Arial" w:cs="Arial" w:eastAsia="Arial" w:hAnsi="Arial"/>
                <w:sz w:val="14"/>
                <w:szCs w:val="14"/>
                <w:color w:val="auto"/>
              </w:rPr>
              <w:t>3/28/2022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5,000,468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5,000,468</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0.84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VERO Biotech LLC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LIBOR+9.05%, 9.55%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floor, 3.00% ETP, due 12/1/2024</w:t>
            </w:r>
            <w:r>
              <w:rPr>
                <w:rFonts w:ascii="Arial" w:cs="Arial" w:eastAsia="Arial" w:hAnsi="Arial"/>
                <w:sz w:val="10"/>
                <w:szCs w:val="10"/>
                <w:color w:val="auto"/>
                <w:w w:val="99"/>
              </w:rPr>
              <w:t>(8)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12/29/2020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24,784,302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24,784,302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LIBOR+9.05%, 9.55%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w w:val="99"/>
              </w:rPr>
              <w:t>floor, 3.00% ETP, due 12/1/2024</w:t>
            </w:r>
            <w:r>
              <w:rPr>
                <w:rFonts w:ascii="Arial" w:cs="Arial" w:eastAsia="Arial" w:hAnsi="Arial"/>
                <w:sz w:val="10"/>
                <w:szCs w:val="10"/>
                <w:color w:val="auto"/>
                <w:w w:val="99"/>
              </w:rPr>
              <w:t>(8)</w:t>
            </w:r>
          </w:p>
        </w:tc>
        <w:tc>
          <w:tcPr>
            <w:tcW w:w="720" w:type="dxa"/>
            <w:vAlign w:val="bottom"/>
          </w:tcPr>
          <w:p>
            <w:pPr>
              <w:jc w:val="right"/>
              <w:spacing w:after="0"/>
              <w:rPr>
                <w:sz w:val="20"/>
                <w:szCs w:val="20"/>
                <w:color w:val="auto"/>
              </w:rPr>
            </w:pPr>
            <w:r>
              <w:rPr>
                <w:rFonts w:ascii="Arial" w:cs="Arial" w:eastAsia="Arial" w:hAnsi="Arial"/>
                <w:sz w:val="14"/>
                <w:szCs w:val="14"/>
                <w:color w:val="auto"/>
              </w:rPr>
              <w:t>3/30/2021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15,000,000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15,034,702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15,034,702</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VTX Intermediate Holdings,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LIBOR+9.00%, 9.50%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(dba VertexOne)</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4.50% ETP, due 12/28/2026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12/28/2021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74,432,119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74,432,119</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2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97"/>
              </w:rPr>
              <w:t>670,504,546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668,322,569</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111.86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Term Loans</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Dejero Labs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System</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LIBOR+5.00%, 5.50 floor, 5.00%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57" w:lineRule="exact"/>
              <w:rPr>
                <w:sz w:val="20"/>
                <w:szCs w:val="20"/>
                <w:color w:val="auto"/>
              </w:rPr>
            </w:pPr>
            <w:r>
              <w:rPr>
                <w:rFonts w:ascii="Arial" w:cs="Arial" w:eastAsia="Arial" w:hAnsi="Arial"/>
                <w:sz w:val="14"/>
                <w:szCs w:val="14"/>
                <w:color w:val="auto"/>
                <w:w w:val="97"/>
              </w:rPr>
              <w:t>PIK, 3.00% ETP, due 12/22/2025</w:t>
            </w:r>
            <w:r>
              <w:rPr>
                <w:rFonts w:ascii="Arial" w:cs="Arial" w:eastAsia="Arial" w:hAnsi="Arial"/>
                <w:sz w:val="10"/>
                <w:szCs w:val="10"/>
                <w:color w:val="auto"/>
                <w:w w:val="97"/>
              </w:rPr>
              <w:t>(3)</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4"/>
              </w:rPr>
              <w:t>12/22/2021</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13,150,435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13,048,827</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13,048,827</w:t>
            </w:r>
          </w:p>
        </w:tc>
        <w:tc>
          <w:tcPr>
            <w:tcW w:w="1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2.18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160" w:type="dxa"/>
            <w:vAlign w:val="bottom"/>
            <w:gridSpan w:val="2"/>
          </w:tcPr>
          <w:p>
            <w:pPr>
              <w:ind w:left="100"/>
              <w:spacing w:after="0"/>
              <w:rPr>
                <w:sz w:val="20"/>
                <w:szCs w:val="20"/>
                <w:color w:val="auto"/>
              </w:rPr>
            </w:pPr>
            <w:r>
              <w:rPr>
                <w:rFonts w:ascii="Arial" w:cs="Arial" w:eastAsia="Arial" w:hAnsi="Arial"/>
                <w:sz w:val="11"/>
                <w:szCs w:val="11"/>
                <w:color w:val="auto"/>
              </w:rPr>
              <w:t>(4)(10)</w:t>
            </w: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8"/>
              </w:rPr>
              <w:t>Total Second Lien Term Loans</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13,048,827</w:t>
            </w: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13,048,827</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2.18</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(1),(5),(9)</w:t>
            </w:r>
          </w:p>
        </w:tc>
        <w:tc>
          <w:tcPr>
            <w:tcW w:w="82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 (continued)</w:t>
            </w: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Preferred Stocks</w:t>
            </w:r>
            <w:r>
              <w:rPr>
                <w:rFonts w:ascii="Arial" w:cs="Arial" w:eastAsia="Arial" w:hAnsi="Arial"/>
                <w:sz w:val="10"/>
                <w:szCs w:val="10"/>
                <w:b w:val="1"/>
                <w:bCs w:val="1"/>
                <w:color w:val="auto"/>
              </w:rPr>
              <w:t>(7)</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G Preferred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7/10/2018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289,419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432,770</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0.07 %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CareCloud,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11% Series A Cumulative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Redeemable Perpetual Preferred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gridSpan w:val="3"/>
          </w:tcPr>
          <w:p>
            <w:pPr>
              <w:ind w:left="100"/>
              <w:spacing w:after="0" w:line="167" w:lineRule="exact"/>
              <w:rPr>
                <w:sz w:val="20"/>
                <w:szCs w:val="20"/>
                <w:color w:val="auto"/>
              </w:rPr>
            </w:pPr>
            <w:r>
              <w:rPr>
                <w:rFonts w:ascii="Arial" w:cs="Arial" w:eastAsia="Arial" w:hAnsi="Arial"/>
                <w:sz w:val="19"/>
                <w:szCs w:val="19"/>
                <w:color w:val="auto"/>
                <w:vertAlign w:val="subscript"/>
              </w:rPr>
              <w:t>Stock</w:t>
            </w:r>
            <w:r>
              <w:rPr>
                <w:rFonts w:ascii="Arial" w:cs="Arial" w:eastAsia="Arial" w:hAnsi="Arial"/>
                <w:sz w:val="9"/>
                <w:szCs w:val="9"/>
                <w:color w:val="auto"/>
              </w:rPr>
              <w:t xml:space="preserve"> (15)(17)</w:t>
            </w: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462,064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12,131,866</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12,064,491</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Preferred Stocks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12,381,866</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12,497,261</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Common Stocks</w:t>
            </w:r>
            <w:r>
              <w:rPr>
                <w:rFonts w:ascii="Arial" w:cs="Arial" w:eastAsia="Arial" w:hAnsi="Arial"/>
                <w:sz w:val="10"/>
                <w:szCs w:val="10"/>
                <w:b w:val="1"/>
                <w:bCs w:val="1"/>
                <w:color w:val="auto"/>
              </w:rPr>
              <w:t>(7)</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Brilliant Earth Group, Inc.</w:t>
            </w: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Internet Retail</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 xml:space="preserve">Class A Common Stock </w:t>
            </w:r>
            <w:r>
              <w:rPr>
                <w:rFonts w:ascii="Arial" w:cs="Arial" w:eastAsia="Arial" w:hAnsi="Arial"/>
                <w:sz w:val="10"/>
                <w:szCs w:val="10"/>
                <w:color w:val="auto"/>
              </w:rPr>
              <w:t>(15)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9/22/2021</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526,845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984,036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5,421,235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Porch Group,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 xml:space="preserve">Common Stock </w:t>
            </w:r>
            <w:r>
              <w:rPr>
                <w:rFonts w:ascii="Arial" w:cs="Arial" w:eastAsia="Arial" w:hAnsi="Arial"/>
                <w:sz w:val="10"/>
                <w:szCs w:val="10"/>
                <w:color w:val="auto"/>
              </w:rPr>
              <w:t>(15)(17)</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12/21/2021</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9,924</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Quantum Corporation</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1"/>
                <w:szCs w:val="11"/>
                <w:color w:val="auto"/>
              </w:rPr>
              <w:t xml:space="preserve">Common Stock </w:t>
            </w:r>
            <w:r>
              <w:rPr>
                <w:rFonts w:ascii="Arial" w:cs="Arial" w:eastAsia="Arial" w:hAnsi="Arial"/>
                <w:sz w:val="15"/>
                <w:szCs w:val="15"/>
                <w:color w:val="auto"/>
                <w:vertAlign w:val="superscript"/>
              </w:rPr>
              <w:t>(3)(15)(17)</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Hardware,</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Storage &amp;</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8/13/2021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459,720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2,606,612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1,043,564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zSpace,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Hardware,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Storage &amp;</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12/31/2020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6,078,499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1,119,096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Common Stocks</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4,709,744</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6,474,723</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3DNA Corp. (dba NationBuilder)</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C-1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$1.46432/share,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12/28/2028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12/28/2018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273,164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104,138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AllClear ID,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Specialized</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Consumer</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9/1/2027</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9/1/2017</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870,514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1,749,733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816,542</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Allurion Technologies,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C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$6.58/share,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3/30/2031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3/30/2021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132,978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282,462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683,270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Aria Systems,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G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$0.8638/share, expires 6/29/2028</w:t>
            </w:r>
          </w:p>
        </w:tc>
        <w:tc>
          <w:tcPr>
            <w:tcW w:w="720" w:type="dxa"/>
            <w:vAlign w:val="bottom"/>
          </w:tcPr>
          <w:p>
            <w:pPr>
              <w:jc w:val="right"/>
              <w:spacing w:after="0"/>
              <w:rPr>
                <w:sz w:val="20"/>
                <w:szCs w:val="20"/>
                <w:color w:val="auto"/>
              </w:rPr>
            </w:pPr>
            <w:r>
              <w:rPr>
                <w:rFonts w:ascii="Arial" w:cs="Arial" w:eastAsia="Arial" w:hAnsi="Arial"/>
                <w:sz w:val="14"/>
                <w:szCs w:val="14"/>
                <w:color w:val="auto"/>
              </w:rPr>
              <w:t>6/29/2018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2,387,705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1,047,581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3,570,353</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Aspen Group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Education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$6.87/share,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7/25/2022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7/25/2017</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224,174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583,301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Bombora,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$3.29/share,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3/31/2031</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3/31/2021</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121,581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174,500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277,689</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CareCloud,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$10.00/share,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1/8/2023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99,000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Circadence Corporation</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A-6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$1.17/share,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12/20/2028</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12/20/2018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1,538,462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3,630,000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809,768</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A-6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$1.17/share,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10/31/2029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10/31/2019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384,615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845,540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202,442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(1),(5),(9)</w:t>
            </w:r>
          </w:p>
        </w:tc>
        <w:tc>
          <w:tcPr>
            <w:tcW w:w="8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 (continued)</w:t>
            </w: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4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CloudPay,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Human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Stock, exercise price $66.53/share,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Employment</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expires 6/30/2030</w:t>
            </w:r>
            <w:r>
              <w:rPr>
                <w:rFonts w:ascii="Arial" w:cs="Arial" w:eastAsia="Arial" w:hAnsi="Arial"/>
                <w:sz w:val="10"/>
                <w:szCs w:val="10"/>
                <w:color w:val="auto"/>
              </w:rPr>
              <w:t>(3)(12)</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6/30/2020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217,500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918,637</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0.15 %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D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$171.3182/share,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8/17/2031</w:t>
            </w:r>
            <w:r>
              <w:rPr>
                <w:rFonts w:ascii="Arial" w:cs="Arial" w:eastAsia="Arial" w:hAnsi="Arial"/>
                <w:sz w:val="10"/>
                <w:szCs w:val="10"/>
                <w:color w:val="auto"/>
              </w:rPr>
              <w:t>(3)(12)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8/17/2021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1,751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31,035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60,907</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Credit Sesame,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Specialized</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1/7/2030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191,601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424,800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1,439,532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Dejero Labs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System</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5/31/2029</w:t>
            </w:r>
            <w:r>
              <w:rPr>
                <w:rFonts w:ascii="Arial" w:cs="Arial" w:eastAsia="Arial" w:hAnsi="Arial"/>
                <w:sz w:val="10"/>
                <w:szCs w:val="10"/>
                <w:color w:val="auto"/>
              </w:rPr>
              <w:t>(3)(10)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5/31/2019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333,621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192,499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416,233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C-Prime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$0.6000/share, expires 6/1/2025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282,534</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C-Prime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$0.6000/share, expires 7/11/2026</w:t>
            </w:r>
          </w:p>
        </w:tc>
        <w:tc>
          <w:tcPr>
            <w:tcW w:w="720" w:type="dxa"/>
            <w:vAlign w:val="bottom"/>
          </w:tcPr>
          <w:p>
            <w:pPr>
              <w:jc w:val="right"/>
              <w:spacing w:after="0"/>
              <w:rPr>
                <w:sz w:val="20"/>
                <w:szCs w:val="20"/>
                <w:color w:val="auto"/>
              </w:rPr>
            </w:pPr>
            <w:r>
              <w:rPr>
                <w:rFonts w:ascii="Arial" w:cs="Arial" w:eastAsia="Arial" w:hAnsi="Arial"/>
                <w:sz w:val="14"/>
                <w:szCs w:val="14"/>
                <w:color w:val="auto"/>
              </w:rPr>
              <w:t>7/11/2019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833,333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114,719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470,890</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Epic IO Technologies,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Electronic</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w w:val="96"/>
              </w:rPr>
              <w:t>Success fee, expires 12/17/2024</w:t>
            </w:r>
            <w:r>
              <w:rPr>
                <w:rFonts w:ascii="Arial" w:cs="Arial" w:eastAsia="Arial" w:hAnsi="Arial"/>
                <w:sz w:val="10"/>
                <w:szCs w:val="10"/>
                <w:color w:val="auto"/>
                <w:w w:val="96"/>
              </w:rPr>
              <w:t>(13)</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Equipment &amp;</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Instruments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12/17/2021</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312,498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321,603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Fidelis Cybersecurity,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3/25/2032</w:t>
            </w:r>
            <w:r>
              <w:rPr>
                <w:rFonts w:ascii="Arial" w:cs="Arial" w:eastAsia="Arial" w:hAnsi="Arial"/>
                <w:sz w:val="10"/>
                <w:szCs w:val="10"/>
                <w:color w:val="auto"/>
              </w:rPr>
              <w:t>(16)</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3/25/2022</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79,464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79,464</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FiscalNote,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10/19/2030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10/19/2020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194,673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438,014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2,248,172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Gynesonics,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G Convertible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$0.04021/share,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11/19/2031</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11/19/2021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16,786,869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128,142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218,788</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INRIX,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$9.29/share,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7/26/2029</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150,804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522,083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1,929,520</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gridSpan w:val="4"/>
          </w:tcPr>
          <w:p>
            <w:pPr>
              <w:spacing w:after="0" w:line="149" w:lineRule="exact"/>
              <w:rPr>
                <w:sz w:val="20"/>
                <w:szCs w:val="20"/>
                <w:color w:val="auto"/>
              </w:rPr>
            </w:pPr>
            <w:r>
              <w:rPr>
                <w:rFonts w:ascii="Arial" w:cs="Arial" w:eastAsia="Arial" w:hAnsi="Arial"/>
                <w:sz w:val="14"/>
                <w:szCs w:val="14"/>
                <w:color w:val="auto"/>
              </w:rPr>
              <w:t>JW Player)</w:t>
            </w: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$1.49/share,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12/12/2029</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12/12/2019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387,596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46,552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365,891</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Massdrop,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Computer &amp;</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Electronics</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Retail</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$1.1938/share, expires 7/22/2029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7/22/2019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848,093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183,188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147,837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w w:val="97"/>
              </w:rPr>
              <w:t>Mingle Healthcare Solutions,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AA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$0.24/share,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8/15/2028</w:t>
            </w: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1,625,000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492,375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Mustang Bio,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Biotechnology</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$0.8021/share,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3/4/2032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3/4/2022</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748,036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420,009</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Porch Group,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Earnout, expires 12/23/2023</w:t>
            </w:r>
            <w:r>
              <w:rPr>
                <w:rFonts w:ascii="Arial" w:cs="Arial" w:eastAsia="Arial" w:hAnsi="Arial"/>
                <w:sz w:val="10"/>
                <w:szCs w:val="10"/>
                <w:color w:val="auto"/>
              </w:rPr>
              <w:t>(13)(15)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12/23/2020</w:t>
            </w: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5"/>
              </w:rPr>
              <w:t>Principal/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8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(1),(5),(9)</w:t>
            </w: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80" w:type="dxa"/>
            <w:vAlign w:val="bottom"/>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Borders>
              <w:top w:val="single" w:sz="8" w:color="auto"/>
            </w:tcBorders>
            <w:gridSpan w:val="8"/>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80" w:type="dxa"/>
            <w:vAlign w:val="bottom"/>
            <w:tcBorders>
              <w:top w:val="single" w:sz="8" w:color="auto"/>
              <w:bottom w:val="single" w:sz="8" w:color="auto"/>
            </w:tcBorders>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 (continued)</w:t>
            </w: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8"/>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8"/>
            <w:shd w:val="clear" w:color="auto" w:fill="CCEEFF"/>
          </w:tcPr>
          <w:p>
            <w:pPr>
              <w:spacing w:after="0" w:line="130" w:lineRule="exact"/>
              <w:rPr>
                <w:sz w:val="20"/>
                <w:szCs w:val="20"/>
                <w:color w:val="auto"/>
              </w:rPr>
            </w:pPr>
            <w:r>
              <w:rPr>
                <w:rFonts w:ascii="Arial" w:cs="Arial" w:eastAsia="Arial" w:hAnsi="Arial"/>
                <w:sz w:val="14"/>
                <w:szCs w:val="14"/>
                <w:color w:val="auto"/>
              </w:rPr>
              <w:t>RealWear,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Hardware,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Storage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$4.4464/share, expires 10/5/2028</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10/5/2018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112,451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135,841</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368,672</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0.06 %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w w:val="98"/>
              </w:rPr>
              <w:t>$4.4464/share, expires 12/28/2028</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12/28/2018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22,491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25,248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73,737</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$6.78/share,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6/27/2029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6/27/2019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123,894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380,850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406,188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8"/>
          </w:tcPr>
          <w:p>
            <w:pPr>
              <w:spacing w:after="0" w:line="130" w:lineRule="exact"/>
              <w:rPr>
                <w:sz w:val="20"/>
                <w:szCs w:val="20"/>
                <w:color w:val="auto"/>
              </w:rPr>
            </w:pPr>
            <w:r>
              <w:rPr>
                <w:rFonts w:ascii="Arial" w:cs="Arial" w:eastAsia="Arial" w:hAnsi="Arial"/>
                <w:sz w:val="14"/>
                <w:szCs w:val="14"/>
                <w:color w:val="auto"/>
              </w:rPr>
              <w:t>Revelle Aesthetics,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A-2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Equipment</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$2.1628/share, expires 3/30/2032</w:t>
            </w:r>
          </w:p>
        </w:tc>
        <w:tc>
          <w:tcPr>
            <w:tcW w:w="720" w:type="dxa"/>
            <w:vAlign w:val="bottom"/>
          </w:tcPr>
          <w:p>
            <w:pPr>
              <w:jc w:val="right"/>
              <w:spacing w:after="0"/>
              <w:rPr>
                <w:sz w:val="20"/>
                <w:szCs w:val="20"/>
                <w:color w:val="auto"/>
              </w:rPr>
            </w:pPr>
            <w:r>
              <w:rPr>
                <w:rFonts w:ascii="Arial" w:cs="Arial" w:eastAsia="Arial" w:hAnsi="Arial"/>
                <w:sz w:val="14"/>
                <w:szCs w:val="14"/>
                <w:color w:val="auto"/>
              </w:rPr>
              <w:t>3/30/2022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115,591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126,314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126,314</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8"/>
            <w:shd w:val="clear" w:color="auto" w:fill="CCEEFF"/>
          </w:tcPr>
          <w:p>
            <w:pPr>
              <w:spacing w:after="0" w:line="130" w:lineRule="exact"/>
              <w:rPr>
                <w:sz w:val="20"/>
                <w:szCs w:val="20"/>
                <w:color w:val="auto"/>
              </w:rPr>
            </w:pPr>
            <w:r>
              <w:rPr>
                <w:rFonts w:ascii="Arial" w:cs="Arial" w:eastAsia="Arial" w:hAnsi="Arial"/>
                <w:sz w:val="14"/>
                <w:szCs w:val="14"/>
                <w:color w:val="auto"/>
              </w:rPr>
              <w:t>Route 92 Medical,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Success fee, expires 8/17/2031</w:t>
            </w:r>
            <w:r>
              <w:rPr>
                <w:rFonts w:ascii="Arial" w:cs="Arial" w:eastAsia="Arial" w:hAnsi="Arial"/>
                <w:sz w:val="10"/>
                <w:szCs w:val="10"/>
                <w:color w:val="auto"/>
              </w:rPr>
              <w:t>(13)</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8/17/2021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248,118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253,008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8"/>
          </w:tcPr>
          <w:p>
            <w:pPr>
              <w:spacing w:after="0" w:line="130" w:lineRule="exact"/>
              <w:rPr>
                <w:sz w:val="20"/>
                <w:szCs w:val="20"/>
                <w:color w:val="auto"/>
              </w:rPr>
            </w:pPr>
            <w:r>
              <w:rPr>
                <w:rFonts w:ascii="Arial" w:cs="Arial" w:eastAsia="Arial" w:hAnsi="Arial"/>
                <w:sz w:val="14"/>
                <w:szCs w:val="14"/>
                <w:color w:val="auto"/>
              </w:rPr>
              <w:t>Scale Computing,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Systems</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$0.80/share,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3/29/2029</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3/29/2019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9,665,667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345,816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8"/>
            <w:shd w:val="clear" w:color="auto" w:fill="CCEEFF"/>
          </w:tcPr>
          <w:p>
            <w:pPr>
              <w:spacing w:after="0" w:line="130" w:lineRule="exact"/>
              <w:rPr>
                <w:sz w:val="20"/>
                <w:szCs w:val="20"/>
                <w:color w:val="auto"/>
              </w:rPr>
            </w:pPr>
            <w:r>
              <w:rPr>
                <w:rFonts w:ascii="Arial" w:cs="Arial" w:eastAsia="Arial" w:hAnsi="Arial"/>
                <w:sz w:val="14"/>
                <w:szCs w:val="14"/>
                <w:color w:val="auto"/>
              </w:rPr>
              <w:t>SetPoint Medical Corporation</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$1.00/share,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6/29/2031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6/29/2021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20,051</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8"/>
          </w:tcPr>
          <w:p>
            <w:pPr>
              <w:spacing w:after="0" w:line="130" w:lineRule="exact"/>
              <w:rPr>
                <w:sz w:val="20"/>
                <w:szCs w:val="20"/>
                <w:color w:val="auto"/>
              </w:rPr>
            </w:pPr>
            <w:r>
              <w:rPr>
                <w:rFonts w:ascii="Arial" w:cs="Arial" w:eastAsia="Arial" w:hAnsi="Arial"/>
                <w:sz w:val="14"/>
                <w:szCs w:val="14"/>
                <w:color w:val="auto"/>
              </w:rPr>
              <w:t>ShareThis,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D-3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$2.4320/share, expires 12/3/2028</w:t>
            </w:r>
          </w:p>
        </w:tc>
        <w:tc>
          <w:tcPr>
            <w:tcW w:w="720" w:type="dxa"/>
            <w:vAlign w:val="bottom"/>
          </w:tcPr>
          <w:p>
            <w:pPr>
              <w:jc w:val="right"/>
              <w:spacing w:after="0"/>
              <w:rPr>
                <w:sz w:val="20"/>
                <w:szCs w:val="20"/>
                <w:color w:val="auto"/>
              </w:rPr>
            </w:pPr>
            <w:r>
              <w:rPr>
                <w:rFonts w:ascii="Arial" w:cs="Arial" w:eastAsia="Arial" w:hAnsi="Arial"/>
                <w:sz w:val="14"/>
                <w:szCs w:val="14"/>
                <w:color w:val="auto"/>
              </w:rPr>
              <w:t>12/3/2018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647,615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2,162,000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2,333,333</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8"/>
            <w:shd w:val="clear" w:color="auto" w:fill="CCEEFF"/>
          </w:tcPr>
          <w:p>
            <w:pPr>
              <w:spacing w:after="0" w:line="130" w:lineRule="exact"/>
              <w:rPr>
                <w:sz w:val="20"/>
                <w:szCs w:val="20"/>
                <w:color w:val="auto"/>
              </w:rPr>
            </w:pPr>
            <w:r>
              <w:rPr>
                <w:rFonts w:ascii="Arial" w:cs="Arial" w:eastAsia="Arial" w:hAnsi="Arial"/>
                <w:sz w:val="14"/>
                <w:szCs w:val="14"/>
                <w:color w:val="auto"/>
              </w:rPr>
              <w:t>Snagajob.com,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Human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B-1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$1.30/share,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Employment</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expires 9/29/31</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9/29/2021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763,269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342,716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421,741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8"/>
          </w:tcPr>
          <w:p>
            <w:pPr>
              <w:spacing w:after="0" w:line="130" w:lineRule="exact"/>
              <w:rPr>
                <w:sz w:val="20"/>
                <w:szCs w:val="20"/>
                <w:color w:val="auto"/>
              </w:rPr>
            </w:pPr>
            <w:r>
              <w:rPr>
                <w:rFonts w:ascii="Arial" w:cs="Arial" w:eastAsia="Arial" w:hAnsi="Arial"/>
                <w:sz w:val="14"/>
                <w:szCs w:val="14"/>
                <w:color w:val="auto"/>
              </w:rPr>
              <w:t>STN Video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Advertising</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Class B Non-Voting</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$0.67/share,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6/30/2027</w:t>
            </w:r>
            <w:r>
              <w:rPr>
                <w:rFonts w:ascii="Arial" w:cs="Arial" w:eastAsia="Arial" w:hAnsi="Arial"/>
                <w:sz w:val="10"/>
                <w:szCs w:val="10"/>
                <w:color w:val="auto"/>
              </w:rPr>
              <w:t>(3)</w:t>
            </w:r>
          </w:p>
        </w:tc>
        <w:tc>
          <w:tcPr>
            <w:tcW w:w="720" w:type="dxa"/>
            <w:vAlign w:val="bottom"/>
          </w:tcPr>
          <w:p>
            <w:pPr>
              <w:jc w:val="right"/>
              <w:spacing w:after="0"/>
              <w:rPr>
                <w:sz w:val="20"/>
                <w:szCs w:val="20"/>
                <w:color w:val="auto"/>
              </w:rPr>
            </w:pPr>
            <w:r>
              <w:rPr>
                <w:rFonts w:ascii="Arial" w:cs="Arial" w:eastAsia="Arial" w:hAnsi="Arial"/>
                <w:sz w:val="14"/>
                <w:szCs w:val="14"/>
                <w:color w:val="auto"/>
              </w:rPr>
              <w:t>6/30/2017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191,500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246,461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8"/>
            <w:shd w:val="clear" w:color="auto" w:fill="CCEEFF"/>
          </w:tcPr>
          <w:p>
            <w:pPr>
              <w:spacing w:after="0" w:line="130" w:lineRule="exact"/>
              <w:rPr>
                <w:sz w:val="20"/>
                <w:szCs w:val="20"/>
                <w:color w:val="auto"/>
              </w:rPr>
            </w:pPr>
            <w:r>
              <w:rPr>
                <w:rFonts w:ascii="Arial" w:cs="Arial" w:eastAsia="Arial" w:hAnsi="Arial"/>
                <w:sz w:val="14"/>
                <w:szCs w:val="14"/>
                <w:color w:val="auto"/>
              </w:rPr>
              <w:t>VERO Biotech LLC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w w:val="96"/>
              </w:rPr>
              <w:t>Success fee, expires 12/29/2025</w:t>
            </w:r>
            <w:r>
              <w:rPr>
                <w:rFonts w:ascii="Arial" w:cs="Arial" w:eastAsia="Arial" w:hAnsi="Arial"/>
                <w:sz w:val="10"/>
                <w:szCs w:val="10"/>
                <w:color w:val="auto"/>
                <w:w w:val="96"/>
              </w:rPr>
              <w:t>(13)</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12/29/2020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376,500</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506,394</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bottom w:val="single" w:sz="8" w:color="CCEEFF"/>
            </w:tcBorders>
            <w:gridSpan w:val="8"/>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17,215,048</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20,288,519</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60" w:type="dxa"/>
            <w:vAlign w:val="bottom"/>
            <w:gridSpan w:val="8"/>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Total Non-Control/Non-Affiliate</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717,860,031</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720,631,899</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120.61</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w:t>
            </w:r>
          </w:p>
        </w:tc>
        <w:tc>
          <w:tcPr>
            <w:tcW w:w="1220" w:type="dxa"/>
            <w:vAlign w:val="bottom"/>
            <w:tcBorders>
              <w:top w:val="single" w:sz="8" w:color="auto"/>
              <w:bottom w:val="single" w:sz="8" w:color="CCEEFF"/>
            </w:tcBorders>
            <w:gridSpan w:val="6"/>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280" w:type="dxa"/>
            <w:vAlign w:val="bottom"/>
            <w:gridSpan w:val="2"/>
          </w:tcPr>
          <w:p>
            <w:pPr>
              <w:spacing w:after="0" w:line="82" w:lineRule="exact"/>
              <w:rPr>
                <w:sz w:val="20"/>
                <w:szCs w:val="20"/>
                <w:color w:val="auto"/>
              </w:rPr>
            </w:pPr>
            <w:r>
              <w:rPr>
                <w:rFonts w:ascii="Arial" w:cs="Arial" w:eastAsia="Arial" w:hAnsi="Arial"/>
                <w:sz w:val="9"/>
                <w:szCs w:val="9"/>
                <w:b w:val="1"/>
                <w:bCs w:val="1"/>
                <w:color w:val="auto"/>
              </w:rPr>
              <w:t>Affiliate Investments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6"/>
                <w:szCs w:val="6"/>
                <w:b w:val="1"/>
                <w:bCs w:val="1"/>
                <w:color w:val="auto"/>
              </w:rPr>
              <w:t>(18)</w:t>
            </w:r>
          </w:p>
        </w:tc>
        <w:tc>
          <w:tcPr>
            <w:tcW w:w="180" w:type="dxa"/>
            <w:vAlign w:val="bottom"/>
            <w:gridSpan w:val="3"/>
          </w:tcPr>
          <w:p>
            <w:pPr>
              <w:spacing w:after="0"/>
              <w:rPr>
                <w:sz w:val="7"/>
                <w:szCs w:val="7"/>
                <w:color w:val="auto"/>
              </w:rPr>
            </w:pPr>
          </w:p>
        </w:tc>
        <w:tc>
          <w:tcPr>
            <w:tcW w:w="42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060" w:type="dxa"/>
            <w:vAlign w:val="bottom"/>
            <w:gridSpan w:val="8"/>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Senior Secured Term Loans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8"/>
          </w:tcPr>
          <w:p>
            <w:pPr>
              <w:spacing w:after="0" w:line="130" w:lineRule="exact"/>
              <w:rPr>
                <w:sz w:val="20"/>
                <w:szCs w:val="20"/>
                <w:color w:val="auto"/>
              </w:rPr>
            </w:pPr>
            <w:r>
              <w:rPr>
                <w:rFonts w:ascii="Arial" w:cs="Arial" w:eastAsia="Arial" w:hAnsi="Arial"/>
                <w:sz w:val="14"/>
                <w:szCs w:val="14"/>
                <w:color w:val="auto"/>
              </w:rPr>
              <w:t>Coginiti Corp (f/k/a Aginity,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LIBOR+9.50% PIK, 10.81%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tcBorders>
              <w:bottom w:val="single" w:sz="8" w:color="CCEEFF"/>
            </w:tcBorders>
            <w:gridSpan w:val="3"/>
          </w:tcPr>
          <w:p>
            <w:pPr>
              <w:ind w:left="100"/>
              <w:spacing w:after="0"/>
              <w:rPr>
                <w:sz w:val="20"/>
                <w:szCs w:val="20"/>
                <w:color w:val="auto"/>
              </w:rPr>
            </w:pPr>
            <w:r>
              <w:rPr>
                <w:rFonts w:ascii="Arial" w:cs="Arial" w:eastAsia="Arial" w:hAnsi="Arial"/>
                <w:sz w:val="14"/>
                <w:szCs w:val="14"/>
                <w:color w:val="auto"/>
              </w:rPr>
              <w:t>due 12/15/2022</w:t>
            </w:r>
            <w:r>
              <w:rPr>
                <w:rFonts w:ascii="Arial" w:cs="Arial" w:eastAsia="Arial" w:hAnsi="Arial"/>
                <w:sz w:val="10"/>
                <w:szCs w:val="10"/>
                <w:color w:val="auto"/>
              </w:rPr>
              <w:t>(4)</w:t>
            </w: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3/24/2020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8"/>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1"/>
              </w:rPr>
              <w:t>Total Senior Secured Term Loans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8"/>
          </w:tcPr>
          <w:p>
            <w:pPr>
              <w:spacing w:after="0" w:line="142" w:lineRule="exact"/>
              <w:rPr>
                <w:sz w:val="20"/>
                <w:szCs w:val="20"/>
                <w:color w:val="auto"/>
              </w:rPr>
            </w:pPr>
            <w:r>
              <w:rPr>
                <w:rFonts w:ascii="Arial" w:cs="Arial" w:eastAsia="Arial" w:hAnsi="Arial"/>
                <w:sz w:val="14"/>
                <w:szCs w:val="14"/>
                <w:b w:val="1"/>
                <w:bCs w:val="1"/>
                <w:color w:val="auto"/>
              </w:rPr>
              <w:t>Common Stocks</w:t>
            </w:r>
            <w:r>
              <w:rPr>
                <w:rFonts w:ascii="Arial" w:cs="Arial" w:eastAsia="Arial" w:hAnsi="Arial"/>
                <w:sz w:val="10"/>
                <w:szCs w:val="10"/>
                <w:b w:val="1"/>
                <w:bCs w:val="1"/>
                <w:color w:val="auto"/>
              </w:rPr>
              <w:t>(7)</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8"/>
            <w:shd w:val="clear" w:color="auto" w:fill="CCEEFF"/>
          </w:tcPr>
          <w:p>
            <w:pPr>
              <w:spacing w:after="0" w:line="130" w:lineRule="exact"/>
              <w:rPr>
                <w:sz w:val="20"/>
                <w:szCs w:val="20"/>
                <w:color w:val="auto"/>
              </w:rPr>
            </w:pPr>
            <w:r>
              <w:rPr>
                <w:rFonts w:ascii="Arial" w:cs="Arial" w:eastAsia="Arial" w:hAnsi="Arial"/>
                <w:sz w:val="14"/>
                <w:szCs w:val="14"/>
                <w:color w:val="auto"/>
              </w:rPr>
              <w:t>Coginiti Corp (f/k/a Aginity,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3/9/2020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1,040,160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4,551,235</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1,348,774</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bottom w:val="single" w:sz="8" w:color="CCEEFF"/>
            </w:tcBorders>
            <w:gridSpan w:val="8"/>
          </w:tcPr>
          <w:p>
            <w:pPr>
              <w:spacing w:after="0" w:line="142" w:lineRule="exact"/>
              <w:rPr>
                <w:sz w:val="20"/>
                <w:szCs w:val="20"/>
                <w:color w:val="auto"/>
              </w:rPr>
            </w:pPr>
            <w:r>
              <w:rPr>
                <w:rFonts w:ascii="Arial" w:cs="Arial" w:eastAsia="Arial" w:hAnsi="Arial"/>
                <w:sz w:val="14"/>
                <w:szCs w:val="14"/>
                <w:b w:val="1"/>
                <w:bCs w:val="1"/>
                <w:color w:val="auto"/>
              </w:rPr>
              <w:t>Total Common Stocks</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4,551,235</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1,348,774</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8"/>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8"/>
          </w:tcPr>
          <w:p>
            <w:pPr>
              <w:spacing w:after="0" w:line="130" w:lineRule="exact"/>
              <w:rPr>
                <w:sz w:val="20"/>
                <w:szCs w:val="20"/>
                <w:color w:val="auto"/>
              </w:rPr>
            </w:pPr>
            <w:r>
              <w:rPr>
                <w:rFonts w:ascii="Arial" w:cs="Arial" w:eastAsia="Arial" w:hAnsi="Arial"/>
                <w:sz w:val="14"/>
                <w:szCs w:val="14"/>
                <w:color w:val="auto"/>
              </w:rPr>
              <w:t>Coginiti Corp (f/k/a Aginity,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3/9/2030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811,770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1,045,919</w:t>
            </w:r>
          </w:p>
        </w:tc>
        <w:tc>
          <w:tcPr>
            <w:tcW w:w="1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0.18 %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top w:val="single" w:sz="8" w:color="CCEEFF"/>
            </w:tcBorders>
            <w:gridSpan w:val="8"/>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1,045,919</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0.18</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60" w:type="dxa"/>
            <w:vAlign w:val="bottom"/>
            <w:gridSpan w:val="8"/>
          </w:tcPr>
          <w:p>
            <w:pPr>
              <w:spacing w:after="0" w:line="95" w:lineRule="exact"/>
              <w:rPr>
                <w:sz w:val="20"/>
                <w:szCs w:val="20"/>
                <w:color w:val="auto"/>
              </w:rPr>
            </w:pPr>
            <w:r>
              <w:rPr>
                <w:rFonts w:ascii="Arial" w:cs="Arial" w:eastAsia="Arial" w:hAnsi="Arial"/>
                <w:sz w:val="11"/>
                <w:szCs w:val="11"/>
                <w:b w:val="1"/>
                <w:bCs w:val="1"/>
                <w:color w:val="auto"/>
              </w:rPr>
              <w:t>Total Affiliate Investments</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spacing w:after="0" w:line="102" w:lineRule="exact"/>
              <w:rPr>
                <w:sz w:val="20"/>
                <w:szCs w:val="20"/>
                <w:color w:val="auto"/>
              </w:rPr>
            </w:pPr>
            <w:r>
              <w:rPr>
                <w:rFonts w:ascii="Arial" w:cs="Arial" w:eastAsia="Arial" w:hAnsi="Arial"/>
                <w:sz w:val="11"/>
                <w:szCs w:val="11"/>
                <w:color w:val="auto"/>
              </w:rPr>
              <w:t>5,051,235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spacing w:after="0" w:line="102" w:lineRule="exact"/>
              <w:rPr>
                <w:sz w:val="20"/>
                <w:szCs w:val="20"/>
                <w:color w:val="auto"/>
              </w:rPr>
            </w:pPr>
            <w:r>
              <w:rPr>
                <w:rFonts w:ascii="Arial" w:cs="Arial" w:eastAsia="Arial" w:hAnsi="Arial"/>
                <w:sz w:val="11"/>
                <w:szCs w:val="11"/>
                <w:color w:val="auto"/>
              </w:rPr>
              <w:t>2,894,693</w:t>
            </w:r>
          </w:p>
        </w:tc>
        <w:tc>
          <w:tcPr>
            <w:tcW w:w="100" w:type="dxa"/>
            <w:vAlign w:val="bottom"/>
          </w:tcPr>
          <w:p>
            <w:pPr>
              <w:spacing w:after="0"/>
              <w:rPr>
                <w:sz w:val="10"/>
                <w:szCs w:val="10"/>
                <w:color w:val="auto"/>
              </w:rPr>
            </w:pPr>
          </w:p>
        </w:tc>
        <w:tc>
          <w:tcPr>
            <w:tcW w:w="520" w:type="dxa"/>
            <w:vAlign w:val="bottom"/>
          </w:tcPr>
          <w:p>
            <w:pPr>
              <w:jc w:val="right"/>
              <w:spacing w:after="0" w:line="102" w:lineRule="exact"/>
              <w:rPr>
                <w:sz w:val="20"/>
                <w:szCs w:val="20"/>
                <w:color w:val="auto"/>
              </w:rPr>
            </w:pPr>
            <w:r>
              <w:rPr>
                <w:rFonts w:ascii="Arial" w:cs="Arial" w:eastAsia="Arial" w:hAnsi="Arial"/>
                <w:sz w:val="11"/>
                <w:szCs w:val="11"/>
                <w:color w:val="auto"/>
              </w:rPr>
              <w:t>0.49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(1),(5),(9)</w:t>
            </w: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24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Control Investments</w:t>
            </w:r>
          </w:p>
        </w:tc>
        <w:tc>
          <w:tcPr>
            <w:tcW w:w="1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w w:val="89"/>
              </w:rPr>
              <w:t>(14)</w:t>
            </w:r>
          </w:p>
        </w:tc>
        <w:tc>
          <w:tcPr>
            <w:tcW w:w="60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6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Senior Secured Term Loans</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Mojix, Inc.</w:t>
            </w:r>
          </w:p>
        </w:tc>
        <w:tc>
          <w:tcPr>
            <w:tcW w:w="10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LIBOR+12.00% ,</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12.00% cash cap, 5%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1/15/2025</w:t>
            </w:r>
            <w:r>
              <w:rPr>
                <w:rFonts w:ascii="Arial" w:cs="Arial" w:eastAsia="Arial" w:hAnsi="Arial"/>
                <w:sz w:val="10"/>
                <w:szCs w:val="10"/>
                <w:color w:val="auto"/>
              </w:rPr>
              <w:t>(8)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5/16/2017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8,152,731</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8,486,350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8,396,072</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1.41 %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LIBOR+12.00% ,</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12.00% cash cap,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1/15/2025</w:t>
            </w:r>
            <w:r>
              <w:rPr>
                <w:rFonts w:ascii="Arial" w:cs="Arial" w:eastAsia="Arial" w:hAnsi="Arial"/>
                <w:sz w:val="10"/>
                <w:szCs w:val="10"/>
                <w:color w:val="auto"/>
              </w:rPr>
              <w:t>(8)</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8/3/2017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2,717,578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2,817,536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2,798,692</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0.47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III: LIBOR+12.00% ,</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12.00% cash cap, 5%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1/15/2025</w:t>
            </w:r>
            <w:r>
              <w:rPr>
                <w:rFonts w:ascii="Arial" w:cs="Arial" w:eastAsia="Arial" w:hAnsi="Arial"/>
                <w:sz w:val="10"/>
                <w:szCs w:val="10"/>
                <w:color w:val="auto"/>
              </w:rPr>
              <w:t>(8)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7/6/2018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678,708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703,708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698,966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IV: LIBOR+12.00% ,</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12.00% cash cap,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1/15/2025</w:t>
            </w:r>
            <w:r>
              <w:rPr>
                <w:rFonts w:ascii="Arial" w:cs="Arial" w:eastAsia="Arial" w:hAnsi="Arial"/>
                <w:sz w:val="10"/>
                <w:szCs w:val="10"/>
                <w:color w:val="auto"/>
              </w:rPr>
              <w:t>(8)</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677,761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705,531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697,991</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V: LIBOR+12.00% ,</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12.00% cash cap, 5%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1/15/2025</w:t>
            </w:r>
            <w:r>
              <w:rPr>
                <w:rFonts w:ascii="Arial" w:cs="Arial" w:eastAsia="Arial" w:hAnsi="Arial"/>
                <w:sz w:val="10"/>
                <w:szCs w:val="10"/>
                <w:color w:val="auto"/>
              </w:rPr>
              <w:t>(8)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1,349,701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1,399,916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1,389,987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VI: LIBOR+12.00% ,</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12.00% cash cap,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1/15/2025</w:t>
            </w:r>
            <w:r>
              <w:rPr>
                <w:rFonts w:ascii="Arial" w:cs="Arial" w:eastAsia="Arial" w:hAnsi="Arial"/>
                <w:sz w:val="10"/>
                <w:szCs w:val="10"/>
                <w:color w:val="auto"/>
              </w:rPr>
              <w:t>(8)</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12/18/2019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1,089,800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1,089,800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1,122,328</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Pivot3 Holdings, Inc.</w:t>
            </w:r>
          </w:p>
        </w:tc>
        <w:tc>
          <w:tcPr>
            <w:tcW w:w="10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LIBOR+8.50% PIK, 11.00%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4.00% ETP, due 11/15/2022</w:t>
            </w:r>
            <w:r>
              <w:rPr>
                <w:rFonts w:ascii="Arial" w:cs="Arial" w:eastAsia="Arial" w:hAnsi="Arial"/>
                <w:sz w:val="10"/>
                <w:szCs w:val="10"/>
                <w:color w:val="auto"/>
              </w:rPr>
              <w:t>(4)(7)</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18,598,265</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19,172,352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14,649,788</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2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34,375,194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29,753,824</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Stocks</w:t>
            </w:r>
            <w:r>
              <w:rPr>
                <w:rFonts w:ascii="Arial" w:cs="Arial" w:eastAsia="Arial" w:hAnsi="Arial"/>
                <w:sz w:val="10"/>
                <w:szCs w:val="10"/>
                <w:b w:val="1"/>
                <w:bCs w:val="1"/>
                <w:color w:val="auto"/>
              </w:rPr>
              <w:t>(7)</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Mojix, Inc.</w:t>
            </w:r>
          </w:p>
        </w:tc>
        <w:tc>
          <w:tcPr>
            <w:tcW w:w="10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Series A-1 Preferred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3"/>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12/14/2020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67,114,092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1,008,954</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Pivot3 Holdings, Inc.</w:t>
            </w:r>
          </w:p>
        </w:tc>
        <w:tc>
          <w:tcPr>
            <w:tcW w:w="10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1 Preferred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2,675,585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Preferred Stocks</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2,800,000</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1,008,954</w:t>
            </w:r>
          </w:p>
        </w:tc>
        <w:tc>
          <w:tcPr>
            <w:tcW w:w="1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0.17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Mojix, Inc.</w:t>
            </w:r>
          </w:p>
        </w:tc>
        <w:tc>
          <w:tcPr>
            <w:tcW w:w="10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$1.286/share,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12/14/2020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2,349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119,320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$2.1286/share,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12/13/2030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12/14/2020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5,873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298,325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$5.57338/share,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12/14/2020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394,733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828,522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1,246,167</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Control Investments</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38,421,361</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30,762,778</w:t>
            </w: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5.15</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Investments</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761,332,627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754,289,370</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126.25</w:t>
            </w:r>
          </w:p>
        </w:tc>
        <w:tc>
          <w:tcPr>
            <w:tcW w:w="14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660" w:hanging="328"/>
        <w:spacing w:after="0" w:line="238"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March 31, 2022, the 3-Month LIBOR was 0.96% and the U.S. Prime Rate was 3.50%.</w:t>
      </w:r>
    </w:p>
    <w:p>
      <w:pPr>
        <w:spacing w:after="0" w:line="20" w:lineRule="exact"/>
        <w:rPr>
          <w:rFonts w:ascii="Arial" w:cs="Arial" w:eastAsia="Arial" w:hAnsi="Arial"/>
          <w:sz w:val="11"/>
          <w:szCs w:val="11"/>
          <w:color w:val="auto"/>
        </w:rPr>
      </w:pPr>
    </w:p>
    <w:p>
      <w:pPr>
        <w:jc w:val="both"/>
        <w:ind w:left="660" w:hanging="328"/>
        <w:spacing w:after="0" w:line="238"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Company’s Board of Directors.</w:t>
      </w:r>
    </w:p>
    <w:p>
      <w:pPr>
        <w:spacing w:after="0" w:line="24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193" w:lineRule="exact"/>
        <w:rPr>
          <w:sz w:val="20"/>
          <w:szCs w:val="20"/>
          <w:color w:val="auto"/>
        </w:rPr>
      </w:pPr>
    </w:p>
    <w:p>
      <w:pPr>
        <w:jc w:val="both"/>
        <w:ind w:left="660" w:hanging="328"/>
        <w:spacing w:after="0" w:line="255" w:lineRule="auto"/>
        <w:tabs>
          <w:tab w:leader="none" w:pos="660" w:val="left"/>
        </w:tabs>
        <w:numPr>
          <w:ilvl w:val="0"/>
          <w:numId w:val="4"/>
        </w:numPr>
        <w:rPr>
          <w:rFonts w:ascii="Arial" w:cs="Arial" w:eastAsia="Arial" w:hAnsi="Arial"/>
          <w:sz w:val="10"/>
          <w:szCs w:val="10"/>
          <w:color w:val="auto"/>
        </w:rPr>
      </w:pPr>
      <w:r>
        <w:rPr>
          <w:rFonts w:ascii="Arial" w:cs="Arial" w:eastAsia="Arial" w:hAnsi="Arial"/>
          <w:sz w:val="13"/>
          <w:szCs w:val="13"/>
          <w:color w:val="auto"/>
        </w:rPr>
        <w:t>Investment is not a qualifying asset as defined under Section 55(a) of the Investment Company Act of 1940, as amended (the “1940 Act”). Non-qualifying assets at fair value represent 11.89% of total assets as of March 31, 2022.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12" w:lineRule="exact"/>
        <w:rPr>
          <w:rFonts w:ascii="Arial" w:cs="Arial" w:eastAsia="Arial" w:hAnsi="Arial"/>
          <w:sz w:val="10"/>
          <w:szCs w:val="10"/>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Represents a PIK security. PIK interest is accrued and will be paid at maturity.</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Disclosures of end-of-term-payments (“ETP”) are one-time payments stated as a percentage of original principal amount.</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Investments are held at Fair Value net of the Fair Value of Unfunded Commitments. See Note 3 for additional detail.</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Investments are non-income producing.</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The investment is an eligible loan investment in the collateral under the Credit Agreement (as defined in Note 10).</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All investments are domiciled in the United States, unless otherwise noted.</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Investment is domiciled in Canada.</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Investment is domiciled in Germany.</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Investment is domiciled in the United Kingdom.</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Investment is either a cash success fee payable or earnout of shares based on the consummation of certain trigger events.</w:t>
      </w:r>
    </w:p>
    <w:p>
      <w:pPr>
        <w:spacing w:after="0" w:line="41"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Control investment, as defined under the 1940 Act, in which the Company owns more than 25% of the investment’s voting securities or has greater than 50% representation on its board.</w:t>
      </w:r>
    </w:p>
    <w:p>
      <w:pPr>
        <w:spacing w:after="0" w:line="11"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Investment is publicly traded and listed on NASDAQ.</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The warrant count is based upon a percentage of ownership of Fidelis Cybersecurity, Inc.</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Investment is not a “restricted security” under the Securities Act.</w:t>
      </w:r>
    </w:p>
    <w:p>
      <w:pPr>
        <w:spacing w:after="0" w:line="41"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Affiliate investment as defined under the 1940 Act in which the Company owns between 5% and 25% (inclusive) of the voting securities and does not have rights to maintain greater than 50% of the board representation.</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classifies its investment portfolio in accordance with the requirements of the 1940 Act. Control investments are investments in which the Company owns more than 25% of the voting securities or maintains greater than 50% of the board representation. Affiliate investments are investments in which the Company owns between 5% and 25% (inclusive) of the voting securities and does not have rights to maintain greater than 50% of the board representation. Transactions related to the Company’s affiliate and control investments during the three months ended March 31, 2022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gridSpan w:val="14"/>
          </w:tcPr>
          <w:p>
            <w:pPr>
              <w:jc w:val="right"/>
              <w:ind w:right="500"/>
              <w:spacing w:after="0"/>
              <w:rPr>
                <w:sz w:val="20"/>
                <w:szCs w:val="20"/>
                <w:color w:val="auto"/>
              </w:rPr>
            </w:pPr>
            <w:r>
              <w:rPr>
                <w:rFonts w:ascii="Arial" w:cs="Arial" w:eastAsia="Arial" w:hAnsi="Arial"/>
                <w:sz w:val="13"/>
                <w:szCs w:val="13"/>
                <w:b w:val="1"/>
                <w:bCs w:val="1"/>
                <w:color w:val="auto"/>
                <w:w w:val="97"/>
              </w:rPr>
              <w:t>For the three months ended March 31, 2022 (Unaudited)</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right="38"/>
              <w:spacing w:after="0" w:line="110" w:lineRule="exact"/>
              <w:rPr>
                <w:sz w:val="20"/>
                <w:szCs w:val="20"/>
                <w:color w:val="auto"/>
              </w:rPr>
            </w:pPr>
            <w:r>
              <w:rPr>
                <w:rFonts w:ascii="Arial" w:cs="Arial" w:eastAsia="Arial" w:hAnsi="Arial"/>
                <w:sz w:val="12"/>
                <w:szCs w:val="12"/>
                <w:b w:val="1"/>
                <w:bCs w:val="1"/>
                <w:color w:val="auto"/>
                <w:w w:val="96"/>
              </w:rPr>
              <w:t>Amount of</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7"/>
              </w:rPr>
              <w:t>Fair Value</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2"/>
              </w:rPr>
              <w:t>Net</w:t>
            </w:r>
          </w:p>
        </w:tc>
        <w:tc>
          <w:tcPr>
            <w:tcW w:w="82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38"/>
              <w:spacing w:after="0" w:line="110" w:lineRule="exact"/>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78"/>
              </w:rPr>
              <w:t>as 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Realized</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85"/>
              </w:rPr>
              <w:t>Unrealized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8"/>
              <w:spacing w:after="0" w:line="135" w:lineRule="exact"/>
              <w:rPr>
                <w:sz w:val="20"/>
                <w:szCs w:val="20"/>
                <w:color w:val="auto"/>
              </w:rPr>
            </w:pPr>
            <w:r>
              <w:rPr>
                <w:rFonts w:ascii="Arial" w:cs="Arial" w:eastAsia="Arial" w:hAnsi="Arial"/>
                <w:sz w:val="13"/>
                <w:szCs w:val="13"/>
                <w:b w:val="1"/>
                <w:bCs w:val="1"/>
                <w:color w:val="auto"/>
                <w:w w:val="85"/>
              </w:rPr>
              <w:t>as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85"/>
              </w:rPr>
              <w:t>Income Earned</w:t>
            </w:r>
          </w:p>
        </w:tc>
        <w:tc>
          <w:tcPr>
            <w:tcW w:w="10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4"/>
              </w:rPr>
              <w:t>December 31,</w:t>
            </w:r>
          </w:p>
        </w:tc>
        <w:tc>
          <w:tcPr>
            <w:tcW w:w="120" w:type="dxa"/>
            <w:vAlign w:val="bottom"/>
          </w:tcPr>
          <w:p>
            <w:pPr>
              <w:spacing w:after="0"/>
              <w:rPr>
                <w:sz w:val="11"/>
                <w:szCs w:val="11"/>
                <w:color w:val="auto"/>
              </w:rPr>
            </w:pPr>
          </w:p>
        </w:tc>
        <w:tc>
          <w:tcPr>
            <w:tcW w:w="560" w:type="dxa"/>
            <w:vAlign w:val="bottom"/>
          </w:tcPr>
          <w:p>
            <w:pPr>
              <w:jc w:val="right"/>
              <w:ind w:right="118"/>
              <w:spacing w:after="0" w:line="135"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38"/>
              <w:spacing w:after="0" w:line="135" w:lineRule="exact"/>
              <w:rPr>
                <w:sz w:val="20"/>
                <w:szCs w:val="20"/>
                <w:color w:val="auto"/>
              </w:rPr>
            </w:pPr>
            <w:r>
              <w:rPr>
                <w:rFonts w:ascii="Arial" w:cs="Arial" w:eastAsia="Arial" w:hAnsi="Arial"/>
                <w:sz w:val="13"/>
                <w:szCs w:val="13"/>
                <w:b w:val="1"/>
                <w:bCs w:val="1"/>
                <w:color w:val="auto"/>
                <w:w w:val="95"/>
              </w:rPr>
              <w:t>Gross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Gains</w:t>
            </w:r>
          </w:p>
        </w:tc>
        <w:tc>
          <w:tcPr>
            <w:tcW w:w="8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5"/>
              </w:rPr>
              <w:t>Appreciation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8"/>
              <w:spacing w:after="0" w:line="135" w:lineRule="exact"/>
              <w:rPr>
                <w:sz w:val="20"/>
                <w:szCs w:val="20"/>
                <w:color w:val="auto"/>
              </w:rPr>
            </w:pPr>
            <w:r>
              <w:rPr>
                <w:rFonts w:ascii="Arial" w:cs="Arial" w:eastAsia="Arial" w:hAnsi="Arial"/>
                <w:sz w:val="13"/>
                <w:szCs w:val="13"/>
                <w:b w:val="1"/>
                <w:bCs w:val="1"/>
                <w:color w:val="auto"/>
                <w:w w:val="89"/>
              </w:rPr>
              <w:t>March 31,</w:t>
            </w:r>
          </w:p>
        </w:tc>
        <w:tc>
          <w:tcPr>
            <w:tcW w:w="0" w:type="dxa"/>
            <w:vAlign w:val="bottom"/>
          </w:tcPr>
          <w:p>
            <w:pPr>
              <w:spacing w:after="0"/>
              <w:rPr>
                <w:sz w:val="1"/>
                <w:szCs w:val="1"/>
                <w:color w:val="auto"/>
              </w:rPr>
            </w:pPr>
          </w:p>
        </w:tc>
      </w:tr>
      <w:tr>
        <w:trPr>
          <w:trHeight w:val="153"/>
        </w:trPr>
        <w:tc>
          <w:tcPr>
            <w:tcW w:w="2160" w:type="dxa"/>
            <w:vAlign w:val="bottom"/>
            <w:gridSpan w:val="7"/>
          </w:tcPr>
          <w:p>
            <w:pPr>
              <w:spacing w:after="0"/>
              <w:rPr>
                <w:sz w:val="20"/>
                <w:szCs w:val="20"/>
                <w:color w:val="auto"/>
              </w:rPr>
            </w:pPr>
            <w:r>
              <w:rPr>
                <w:rFonts w:ascii="Arial" w:cs="Arial" w:eastAsia="Arial" w:hAnsi="Arial"/>
                <w:sz w:val="13"/>
                <w:szCs w:val="13"/>
                <w:b w:val="1"/>
                <w:bCs w:val="1"/>
                <w:color w:val="auto"/>
              </w:rPr>
              <w:t>Portfolio Company</w:t>
            </w:r>
          </w:p>
        </w:tc>
        <w:tc>
          <w:tcPr>
            <w:tcW w:w="2040" w:type="dxa"/>
            <w:vAlign w:val="bottom"/>
            <w:gridSpan w:val="2"/>
          </w:tcPr>
          <w:p>
            <w:pPr>
              <w:spacing w:after="0"/>
              <w:rPr>
                <w:sz w:val="20"/>
                <w:szCs w:val="20"/>
                <w:color w:val="auto"/>
              </w:rPr>
            </w:pPr>
            <w:r>
              <w:rPr>
                <w:rFonts w:ascii="Arial" w:cs="Arial" w:eastAsia="Arial" w:hAnsi="Arial"/>
                <w:sz w:val="13"/>
                <w:szCs w:val="13"/>
                <w:b w:val="1"/>
                <w:bCs w:val="1"/>
                <w:color w:val="auto"/>
              </w:rPr>
              <w:t>Investment Description</w:t>
            </w:r>
          </w:p>
        </w:tc>
        <w:tc>
          <w:tcPr>
            <w:tcW w:w="120" w:type="dxa"/>
            <w:vAlign w:val="bottom"/>
          </w:tcPr>
          <w:p>
            <w:pPr>
              <w:spacing w:after="0"/>
              <w:rPr>
                <w:sz w:val="13"/>
                <w:szCs w:val="13"/>
                <w:color w:val="auto"/>
              </w:rPr>
            </w:pPr>
          </w:p>
        </w:tc>
        <w:tc>
          <w:tcPr>
            <w:tcW w:w="720" w:type="dxa"/>
            <w:vAlign w:val="bottom"/>
          </w:tcPr>
          <w:p>
            <w:pPr>
              <w:jc w:val="center"/>
              <w:ind w:right="38"/>
              <w:spacing w:after="0"/>
              <w:rPr>
                <w:sz w:val="20"/>
                <w:szCs w:val="20"/>
                <w:color w:val="auto"/>
              </w:rPr>
            </w:pPr>
            <w:r>
              <w:rPr>
                <w:rFonts w:ascii="Arial" w:cs="Arial" w:eastAsia="Arial" w:hAnsi="Arial"/>
                <w:sz w:val="13"/>
                <w:szCs w:val="13"/>
                <w:b w:val="1"/>
                <w:bCs w:val="1"/>
                <w:color w:val="auto"/>
                <w:w w:val="89"/>
              </w:rPr>
              <w:t>2022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98"/>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3"/>
                <w:szCs w:val="13"/>
                <w:color w:val="auto"/>
              </w:rPr>
            </w:pPr>
          </w:p>
        </w:tc>
        <w:tc>
          <w:tcPr>
            <w:tcW w:w="680" w:type="dxa"/>
            <w:vAlign w:val="bottom"/>
            <w:gridSpan w:val="2"/>
          </w:tcPr>
          <w:p>
            <w:pPr>
              <w:jc w:val="right"/>
              <w:spacing w:after="0" w:line="154" w:lineRule="exact"/>
              <w:rPr>
                <w:sz w:val="20"/>
                <w:szCs w:val="20"/>
                <w:color w:val="auto"/>
              </w:rPr>
            </w:pPr>
            <w:r>
              <w:rPr>
                <w:rFonts w:ascii="Arial" w:cs="Arial" w:eastAsia="Arial" w:hAnsi="Arial"/>
                <w:sz w:val="12"/>
                <w:szCs w:val="12"/>
                <w:b w:val="1"/>
                <w:bCs w:val="1"/>
                <w:color w:val="auto"/>
                <w:w w:val="92"/>
              </w:rPr>
              <w:t>Additions</w:t>
            </w:r>
            <w:r>
              <w:rPr>
                <w:rFonts w:ascii="Arial" w:cs="Arial" w:eastAsia="Arial" w:hAnsi="Arial"/>
                <w:sz w:val="17"/>
                <w:szCs w:val="17"/>
                <w:b w:val="1"/>
                <w:bCs w:val="1"/>
                <w:color w:val="auto"/>
                <w:w w:val="92"/>
                <w:vertAlign w:val="superscript"/>
              </w:rPr>
              <w:t>(1)</w:t>
            </w:r>
          </w:p>
        </w:tc>
        <w:tc>
          <w:tcPr>
            <w:tcW w:w="100" w:type="dxa"/>
            <w:vAlign w:val="bottom"/>
          </w:tcPr>
          <w:p>
            <w:pPr>
              <w:spacing w:after="0"/>
              <w:rPr>
                <w:sz w:val="13"/>
                <w:szCs w:val="13"/>
                <w:color w:val="auto"/>
              </w:rPr>
            </w:pPr>
          </w:p>
        </w:tc>
        <w:tc>
          <w:tcPr>
            <w:tcW w:w="72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w w:val="88"/>
              </w:rPr>
              <w:t>Reductions</w:t>
            </w:r>
            <w:r>
              <w:rPr>
                <w:rFonts w:ascii="Arial" w:cs="Arial" w:eastAsia="Arial" w:hAnsi="Arial"/>
                <w:sz w:val="17"/>
                <w:szCs w:val="17"/>
                <w:b w:val="1"/>
                <w:bCs w:val="1"/>
                <w:color w:val="auto"/>
                <w:w w:val="88"/>
                <w:vertAlign w:val="superscript"/>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(Losses)</w:t>
            </w: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w w:val="91"/>
              </w:rPr>
              <w:t>(Depreciation)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38"/>
              <w:spacing w:after="0" w:line="154" w:lineRule="exact"/>
              <w:rPr>
                <w:sz w:val="20"/>
                <w:szCs w:val="20"/>
                <w:color w:val="auto"/>
              </w:rPr>
            </w:pPr>
            <w:r>
              <w:rPr>
                <w:rFonts w:ascii="Arial" w:cs="Arial" w:eastAsia="Arial" w:hAnsi="Arial"/>
                <w:sz w:val="12"/>
                <w:szCs w:val="12"/>
                <w:b w:val="1"/>
                <w:bCs w:val="1"/>
                <w:color w:val="auto"/>
                <w:w w:val="88"/>
              </w:rPr>
              <w:t>2022</w:t>
            </w:r>
            <w:r>
              <w:rPr>
                <w:rFonts w:ascii="Arial" w:cs="Arial" w:eastAsia="Arial" w:hAnsi="Arial"/>
                <w:sz w:val="17"/>
                <w:szCs w:val="17"/>
                <w:b w:val="1"/>
                <w:bCs w:val="1"/>
                <w:color w:val="auto"/>
                <w:w w:val="88"/>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20" w:type="dxa"/>
            <w:vAlign w:val="bottom"/>
            <w:tcBorders>
              <w:top w:val="single" w:sz="8" w:color="auto"/>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3"/>
                <w:szCs w:val="13"/>
                <w:b w:val="1"/>
                <w:bCs w:val="1"/>
                <w:color w:val="auto"/>
                <w:w w:val="86"/>
              </w:rPr>
              <w:t>Affiliate Investments</w:t>
            </w:r>
          </w:p>
        </w:tc>
        <w:tc>
          <w:tcPr>
            <w:tcW w:w="920" w:type="dxa"/>
            <w:vAlign w:val="bottom"/>
            <w:tcBorders>
              <w:top w:val="single" w:sz="8" w:color="auto"/>
              <w:bottom w:val="single" w:sz="8" w:color="CCEEFF"/>
            </w:tcBorders>
            <w:gridSpan w:val="3"/>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CCEEFF"/>
            </w:tcBorders>
            <w:shd w:val="clear" w:color="auto" w:fill="CCEEFF"/>
          </w:tcPr>
          <w:p>
            <w:pPr>
              <w:spacing w:after="0"/>
              <w:rPr>
                <w:sz w:val="10"/>
                <w:szCs w:val="10"/>
                <w:color w:val="auto"/>
              </w:rPr>
            </w:pPr>
          </w:p>
        </w:tc>
        <w:tc>
          <w:tcPr>
            <w:tcW w:w="172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gridSpan w:val="6"/>
          </w:tcPr>
          <w:p>
            <w:pPr>
              <w:spacing w:after="0" w:line="129" w:lineRule="exact"/>
              <w:rPr>
                <w:sz w:val="20"/>
                <w:szCs w:val="20"/>
                <w:color w:val="auto"/>
              </w:rPr>
            </w:pPr>
            <w:r>
              <w:rPr>
                <w:rFonts w:ascii="Arial" w:cs="Arial" w:eastAsia="Arial" w:hAnsi="Arial"/>
                <w:sz w:val="13"/>
                <w:szCs w:val="13"/>
                <w:b w:val="1"/>
                <w:bCs w:val="1"/>
                <w:color w:val="auto"/>
              </w:rPr>
              <w:t>Senior Secured Term Loans</w:t>
            </w:r>
          </w:p>
        </w:tc>
        <w:tc>
          <w:tcPr>
            <w:tcW w:w="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40" w:type="dxa"/>
            <w:vAlign w:val="bottom"/>
            <w:gridSpan w:val="6"/>
            <w:shd w:val="clear" w:color="auto" w:fill="CCEEFF"/>
          </w:tcPr>
          <w:p>
            <w:pPr>
              <w:spacing w:after="0" w:line="121" w:lineRule="exact"/>
              <w:rPr>
                <w:sz w:val="20"/>
                <w:szCs w:val="20"/>
                <w:color w:val="auto"/>
              </w:rPr>
            </w:pPr>
            <w:r>
              <w:rPr>
                <w:rFonts w:ascii="Arial" w:cs="Arial" w:eastAsia="Arial" w:hAnsi="Arial"/>
                <w:sz w:val="13"/>
                <w:szCs w:val="13"/>
                <w:color w:val="auto"/>
              </w:rPr>
              <w:t>Coginiti Corp (f/k/a Aginity, Inc.)</w:t>
            </w:r>
          </w:p>
        </w:tc>
        <w:tc>
          <w:tcPr>
            <w:tcW w:w="2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3"/>
              </w:rPr>
              <w:t>LIBOR+9.50% PIK, 10.81% floor, due</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12/15/2022</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89,602</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923,570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(423,570)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tcBorders>
              <w:bottom w:val="single" w:sz="8" w:color="CCEEFF"/>
            </w:tcBorders>
            <w:gridSpan w:val="6"/>
          </w:tcPr>
          <w:p>
            <w:pPr>
              <w:spacing w:after="0" w:line="129" w:lineRule="exact"/>
              <w:rPr>
                <w:sz w:val="20"/>
                <w:szCs w:val="20"/>
                <w:color w:val="auto"/>
              </w:rPr>
            </w:pPr>
            <w:r>
              <w:rPr>
                <w:rFonts w:ascii="Arial" w:cs="Arial" w:eastAsia="Arial" w:hAnsi="Arial"/>
                <w:sz w:val="13"/>
                <w:szCs w:val="13"/>
                <w:b w:val="1"/>
                <w:bCs w:val="1"/>
                <w:color w:val="auto"/>
              </w:rPr>
              <w:t>Total Senior Secured Term Loans</w:t>
            </w:r>
          </w:p>
        </w:tc>
        <w:tc>
          <w:tcPr>
            <w:tcW w:w="320" w:type="dxa"/>
            <w:vAlign w:val="bottom"/>
            <w:tcBorders>
              <w:bottom w:val="single" w:sz="8" w:color="CCEEFF"/>
            </w:tcBorders>
          </w:tcPr>
          <w:p>
            <w:pPr>
              <w:spacing w:after="0"/>
              <w:rPr>
                <w:sz w:val="11"/>
                <w:szCs w:val="11"/>
                <w:color w:val="auto"/>
              </w:rPr>
            </w:pPr>
          </w:p>
        </w:tc>
        <w:tc>
          <w:tcPr>
            <w:tcW w:w="17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0"/>
              </w:rPr>
              <w:t>89,602</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8"/>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923,570</w:t>
            </w: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(423,570)</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ind w:left="22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1"/>
              </w:rPr>
              <w:t>—</w:t>
            </w: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500,000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gridSpan w:val="6"/>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Common Stocks</w:t>
            </w:r>
          </w:p>
        </w:tc>
        <w:tc>
          <w:tcPr>
            <w:tcW w:w="3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gridSpan w:val="6"/>
          </w:tcPr>
          <w:p>
            <w:pPr>
              <w:spacing w:after="0" w:line="135" w:lineRule="exact"/>
              <w:rPr>
                <w:sz w:val="20"/>
                <w:szCs w:val="20"/>
                <w:color w:val="auto"/>
              </w:rPr>
            </w:pPr>
            <w:r>
              <w:rPr>
                <w:rFonts w:ascii="Arial" w:cs="Arial" w:eastAsia="Arial" w:hAnsi="Arial"/>
                <w:sz w:val="13"/>
                <w:szCs w:val="13"/>
                <w:color w:val="auto"/>
              </w:rPr>
              <w:t>Coginiti Corp (f/k/a Aginity, Inc.)</w:t>
            </w:r>
          </w:p>
        </w:tc>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Common Stock</w:t>
            </w:r>
          </w:p>
        </w:tc>
        <w:tc>
          <w:tcPr>
            <w:tcW w:w="1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6"/>
              </w:rPr>
              <w:t>4,551,235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(3,202,461)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1,348,774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40" w:type="dxa"/>
            <w:vAlign w:val="bottom"/>
            <w:tcBorders>
              <w:top w:val="single" w:sz="8" w:color="CCEEFF"/>
            </w:tcBorders>
            <w:gridSpan w:val="6"/>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Common Stocks</w:t>
            </w:r>
          </w:p>
        </w:tc>
        <w:tc>
          <w:tcPr>
            <w:tcW w:w="320" w:type="dxa"/>
            <w:vAlign w:val="bottom"/>
            <w:tcBorders>
              <w:top w:val="single" w:sz="8" w:color="CCEEFF"/>
            </w:tcBorders>
            <w:shd w:val="clear" w:color="auto" w:fill="CCEEFF"/>
          </w:tcPr>
          <w:p>
            <w:pPr>
              <w:spacing w:after="0"/>
              <w:rPr>
                <w:sz w:val="11"/>
                <w:szCs w:val="11"/>
                <w:color w:val="auto"/>
              </w:rPr>
            </w:pPr>
          </w:p>
        </w:tc>
        <w:tc>
          <w:tcPr>
            <w:tcW w:w="17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ind w:right="178"/>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4,551,235</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ind w:right="158"/>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ind w:left="22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(3,202,461)</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1,348,774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gridSpan w:val="6"/>
          </w:tcPr>
          <w:p>
            <w:pPr>
              <w:spacing w:after="0" w:line="129" w:lineRule="exact"/>
              <w:rPr>
                <w:sz w:val="20"/>
                <w:szCs w:val="20"/>
                <w:color w:val="auto"/>
              </w:rPr>
            </w:pPr>
            <w:r>
              <w:rPr>
                <w:rFonts w:ascii="Arial" w:cs="Arial" w:eastAsia="Arial" w:hAnsi="Arial"/>
                <w:sz w:val="13"/>
                <w:szCs w:val="13"/>
                <w:b w:val="1"/>
                <w:bCs w:val="1"/>
                <w:color w:val="auto"/>
              </w:rPr>
              <w:t>Warrants</w:t>
            </w:r>
          </w:p>
        </w:tc>
        <w:tc>
          <w:tcPr>
            <w:tcW w:w="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40" w:type="dxa"/>
            <w:vAlign w:val="bottom"/>
            <w:gridSpan w:val="6"/>
            <w:shd w:val="clear" w:color="auto" w:fill="CCEEFF"/>
          </w:tcPr>
          <w:p>
            <w:pPr>
              <w:spacing w:after="0" w:line="121" w:lineRule="exact"/>
              <w:rPr>
                <w:sz w:val="20"/>
                <w:szCs w:val="20"/>
                <w:color w:val="auto"/>
              </w:rPr>
            </w:pPr>
            <w:r>
              <w:rPr>
                <w:rFonts w:ascii="Arial" w:cs="Arial" w:eastAsia="Arial" w:hAnsi="Arial"/>
                <w:sz w:val="13"/>
                <w:szCs w:val="13"/>
                <w:color w:val="auto"/>
              </w:rPr>
              <w:t>Coginiti Corp (f/k/a Aginity, Inc.)</w:t>
            </w:r>
          </w:p>
        </w:tc>
        <w:tc>
          <w:tcPr>
            <w:tcW w:w="2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4"/>
              </w:rPr>
              <w:t>Warrant for Common Stock, exercise</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9"/>
              </w:rPr>
              <w:t>price $0.01/share, expires 3/9/2030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1,009,216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36,703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1,045,919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tcBorders>
              <w:bottom w:val="single" w:sz="8" w:color="CCEEFF"/>
            </w:tcBorders>
            <w:gridSpan w:val="6"/>
          </w:tcPr>
          <w:p>
            <w:pPr>
              <w:spacing w:after="0" w:line="129" w:lineRule="exact"/>
              <w:rPr>
                <w:sz w:val="20"/>
                <w:szCs w:val="20"/>
                <w:color w:val="auto"/>
              </w:rPr>
            </w:pPr>
            <w:r>
              <w:rPr>
                <w:rFonts w:ascii="Arial" w:cs="Arial" w:eastAsia="Arial" w:hAnsi="Arial"/>
                <w:sz w:val="13"/>
                <w:szCs w:val="13"/>
                <w:b w:val="1"/>
                <w:bCs w:val="1"/>
                <w:color w:val="auto"/>
              </w:rPr>
              <w:t>Total Warrants</w:t>
            </w:r>
          </w:p>
        </w:tc>
        <w:tc>
          <w:tcPr>
            <w:tcW w:w="320" w:type="dxa"/>
            <w:vAlign w:val="bottom"/>
            <w:tcBorders>
              <w:bottom w:val="single" w:sz="8" w:color="CCEEFF"/>
            </w:tcBorders>
          </w:tcPr>
          <w:p>
            <w:pPr>
              <w:spacing w:after="0"/>
              <w:rPr>
                <w:sz w:val="11"/>
                <w:szCs w:val="11"/>
                <w:color w:val="auto"/>
              </w:rPr>
            </w:pPr>
          </w:p>
        </w:tc>
        <w:tc>
          <w:tcPr>
            <w:tcW w:w="17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8"/>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1,009,216</w:t>
            </w: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ind w:left="22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0"/>
              </w:rPr>
              <w:t>36,703</w:t>
            </w: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1,045,919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tcBorders>
              <w:bottom w:val="single" w:sz="8" w:color="auto"/>
            </w:tcBorders>
            <w:gridSpan w:val="4"/>
            <w:shd w:val="clear" w:color="auto" w:fill="CCEEFF"/>
          </w:tcPr>
          <w:p>
            <w:pPr>
              <w:spacing w:after="0" w:line="82" w:lineRule="exact"/>
              <w:rPr>
                <w:sz w:val="20"/>
                <w:szCs w:val="20"/>
                <w:color w:val="auto"/>
              </w:rPr>
            </w:pPr>
            <w:r>
              <w:rPr>
                <w:rFonts w:ascii="Arial" w:cs="Arial" w:eastAsia="Arial" w:hAnsi="Arial"/>
                <w:sz w:val="9"/>
                <w:szCs w:val="9"/>
                <w:b w:val="1"/>
                <w:bCs w:val="1"/>
                <w:color w:val="auto"/>
              </w:rPr>
              <w:t>Total Affiliate Investments</w:t>
            </w:r>
          </w:p>
        </w:tc>
        <w:tc>
          <w:tcPr>
            <w:tcW w:w="720" w:type="dxa"/>
            <w:vAlign w:val="bottom"/>
            <w:tcBorders>
              <w:bottom w:val="single" w:sz="8" w:color="CCEEFF"/>
            </w:tcBorders>
            <w:gridSpan w:val="2"/>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7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rPr>
              <w:t>89,602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78"/>
              <w:spacing w:after="0" w:line="88" w:lineRule="exact"/>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rPr>
              <w:t>6,484,021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(423,570)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shd w:val="clear" w:color="auto" w:fill="CCEEFF"/>
          </w:tcPr>
          <w:p>
            <w:pPr>
              <w:ind w:left="220"/>
              <w:spacing w:after="0" w:line="88"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rPr>
              <w:t>(3,165,758)</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rPr>
              <w:t>2,894,693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gridSpan w:val="6"/>
            <w:vMerge w:val="restart"/>
          </w:tcPr>
          <w:p>
            <w:pPr>
              <w:spacing w:after="0" w:line="102" w:lineRule="exact"/>
              <w:rPr>
                <w:sz w:val="20"/>
                <w:szCs w:val="20"/>
                <w:color w:val="auto"/>
              </w:rPr>
            </w:pPr>
            <w:r>
              <w:rPr>
                <w:rFonts w:ascii="Arial" w:cs="Arial" w:eastAsia="Arial" w:hAnsi="Arial"/>
                <w:sz w:val="10"/>
                <w:szCs w:val="10"/>
                <w:b w:val="1"/>
                <w:bCs w:val="1"/>
                <w:color w:val="auto"/>
              </w:rPr>
              <w:t>Control Investments</w:t>
            </w: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2140" w:type="dxa"/>
            <w:vAlign w:val="bottom"/>
            <w:gridSpan w:val="6"/>
            <w:vMerge w:val="continue"/>
          </w:tcPr>
          <w:p>
            <w:pPr>
              <w:spacing w:after="0"/>
              <w:rPr>
                <w:sz w:val="5"/>
                <w:szCs w:val="5"/>
                <w:color w:val="auto"/>
              </w:rPr>
            </w:pPr>
          </w:p>
        </w:tc>
        <w:tc>
          <w:tcPr>
            <w:tcW w:w="3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4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Senior Secured Term Loans</w:t>
            </w:r>
          </w:p>
        </w:tc>
        <w:tc>
          <w:tcPr>
            <w:tcW w:w="3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40" w:type="dxa"/>
            <w:vAlign w:val="bottom"/>
            <w:gridSpan w:val="6"/>
          </w:tcPr>
          <w:p>
            <w:pPr>
              <w:spacing w:after="0" w:line="121" w:lineRule="exact"/>
              <w:rPr>
                <w:sz w:val="20"/>
                <w:szCs w:val="20"/>
                <w:color w:val="auto"/>
              </w:rPr>
            </w:pPr>
            <w:r>
              <w:rPr>
                <w:rFonts w:ascii="Arial" w:cs="Arial" w:eastAsia="Arial" w:hAnsi="Arial"/>
                <w:sz w:val="13"/>
                <w:szCs w:val="13"/>
                <w:color w:val="auto"/>
              </w:rPr>
              <w:t>Mojix, Inc.</w:t>
            </w:r>
          </w:p>
        </w:tc>
        <w:tc>
          <w:tcPr>
            <w:tcW w:w="2040" w:type="dxa"/>
            <w:vAlign w:val="bottom"/>
            <w:gridSpan w:val="2"/>
          </w:tcPr>
          <w:p>
            <w:pPr>
              <w:spacing w:after="0" w:line="121" w:lineRule="exact"/>
              <w:rPr>
                <w:sz w:val="20"/>
                <w:szCs w:val="20"/>
                <w:color w:val="auto"/>
              </w:rPr>
            </w:pPr>
            <w:r>
              <w:rPr>
                <w:rFonts w:ascii="Arial" w:cs="Arial" w:eastAsia="Arial" w:hAnsi="Arial"/>
                <w:sz w:val="13"/>
                <w:szCs w:val="13"/>
                <w:color w:val="auto"/>
                <w:w w:val="97"/>
              </w:rPr>
              <w:t>Tranche I: LIBOR+12.00% , 12.00%</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cash cap, 5% ETP, due 1/15/2025</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461,362</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7,567,610</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86"/>
              </w:rPr>
              <w:t>1,987,300</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w w:val="99"/>
              </w:rPr>
              <w:t>(1,158,838)</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8,396,072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5"/>
              </w:rPr>
              <w:t>Tranche II: LIBOR+12.00% , 12.00%</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cap, 5% ETP, due 1/15/2025</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151,758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2,522,537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647,467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(371,312)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2,798,692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gridSpan w:val="2"/>
          </w:tcPr>
          <w:p>
            <w:pPr>
              <w:spacing w:after="0" w:line="121" w:lineRule="exact"/>
              <w:rPr>
                <w:sz w:val="20"/>
                <w:szCs w:val="20"/>
                <w:color w:val="auto"/>
              </w:rPr>
            </w:pPr>
            <w:r>
              <w:rPr>
                <w:rFonts w:ascii="Arial" w:cs="Arial" w:eastAsia="Arial" w:hAnsi="Arial"/>
                <w:sz w:val="13"/>
                <w:szCs w:val="13"/>
                <w:color w:val="auto"/>
                <w:w w:val="93"/>
              </w:rPr>
              <w:t>Tranche III: LIBOR+12.00% , 12.00%</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cash cap, 5% ETP, due 1/15/2025</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37,755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629,997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159,925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(90,956)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698,966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3"/>
              </w:rPr>
              <w:t>Tranche IV: LIBOR+12.00% , 12.00%</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cap, 5% ETP, due 1/15/2025</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629,118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160,546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(91,673)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697,991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gridSpan w:val="2"/>
          </w:tcPr>
          <w:p>
            <w:pPr>
              <w:spacing w:after="0" w:line="121" w:lineRule="exact"/>
              <w:rPr>
                <w:sz w:val="20"/>
                <w:szCs w:val="20"/>
                <w:color w:val="auto"/>
              </w:rPr>
            </w:pPr>
            <w:r>
              <w:rPr>
                <w:rFonts w:ascii="Arial" w:cs="Arial" w:eastAsia="Arial" w:hAnsi="Arial"/>
                <w:sz w:val="13"/>
                <w:szCs w:val="13"/>
                <w:color w:val="auto"/>
                <w:w w:val="94"/>
              </w:rPr>
              <w:t>Tranche V: LIBOR+12.00% , 12.00%</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cash cap, 5% ETP, due 1/15/2025</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75,787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1,252,833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326,620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(189,466)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1,389,987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3"/>
              </w:rPr>
              <w:t>Tranche VI: LIBOR+12.00% , 12.00%</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cap, 5% ETP, due 1/15/2025</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1,008,093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265,657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(151,422)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1,122,328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40" w:type="dxa"/>
            <w:vAlign w:val="bottom"/>
            <w:gridSpan w:val="6"/>
          </w:tcPr>
          <w:p>
            <w:pPr>
              <w:spacing w:after="0" w:line="121" w:lineRule="exact"/>
              <w:rPr>
                <w:sz w:val="20"/>
                <w:szCs w:val="20"/>
                <w:color w:val="auto"/>
              </w:rPr>
            </w:pPr>
            <w:r>
              <w:rPr>
                <w:rFonts w:ascii="Arial" w:cs="Arial" w:eastAsia="Arial" w:hAnsi="Arial"/>
                <w:sz w:val="13"/>
                <w:szCs w:val="13"/>
                <w:color w:val="auto"/>
              </w:rPr>
              <w:t>Pivot3 Holdings, Inc.</w:t>
            </w:r>
          </w:p>
        </w:tc>
        <w:tc>
          <w:tcPr>
            <w:tcW w:w="2040" w:type="dxa"/>
            <w:vAlign w:val="bottom"/>
            <w:gridSpan w:val="2"/>
          </w:tcPr>
          <w:p>
            <w:pPr>
              <w:spacing w:after="0" w:line="121" w:lineRule="exact"/>
              <w:rPr>
                <w:sz w:val="20"/>
                <w:szCs w:val="20"/>
                <w:color w:val="auto"/>
              </w:rPr>
            </w:pPr>
            <w:r>
              <w:rPr>
                <w:rFonts w:ascii="Arial" w:cs="Arial" w:eastAsia="Arial" w:hAnsi="Arial"/>
                <w:sz w:val="13"/>
                <w:szCs w:val="13"/>
                <w:color w:val="auto"/>
                <w:w w:val="93"/>
              </w:rPr>
              <w:t>LIBOR+8.50% PIK, 11.00% floor, due</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11/15/2022</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5"/>
              </w:rPr>
              <w:t>14,649,788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8"/>
              </w:rPr>
              <w:t>14,649,788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tcBorders>
              <w:top w:val="single" w:sz="8" w:color="CCEEFF"/>
            </w:tcBorders>
            <w:gridSpan w:val="6"/>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Senior Secured Term Loans</w:t>
            </w:r>
          </w:p>
        </w:tc>
        <w:tc>
          <w:tcPr>
            <w:tcW w:w="320" w:type="dxa"/>
            <w:vAlign w:val="bottom"/>
            <w:tcBorders>
              <w:top w:val="single" w:sz="8" w:color="CCEEFF"/>
            </w:tcBorders>
            <w:shd w:val="clear" w:color="auto" w:fill="CCEEFF"/>
          </w:tcPr>
          <w:p>
            <w:pPr>
              <w:spacing w:after="0"/>
              <w:rPr>
                <w:sz w:val="11"/>
                <w:szCs w:val="11"/>
                <w:color w:val="auto"/>
              </w:rPr>
            </w:pPr>
          </w:p>
        </w:tc>
        <w:tc>
          <w:tcPr>
            <w:tcW w:w="17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824,733</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5"/>
              </w:rPr>
              <w:t>28,259,976</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3,547,515</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ind w:left="36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(2,053,667)</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29,753,824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40" w:type="dxa"/>
            <w:vAlign w:val="bottom"/>
            <w:gridSpan w:val="6"/>
          </w:tcPr>
          <w:p>
            <w:pPr>
              <w:spacing w:after="0" w:line="129" w:lineRule="exact"/>
              <w:rPr>
                <w:sz w:val="20"/>
                <w:szCs w:val="20"/>
                <w:color w:val="auto"/>
              </w:rPr>
            </w:pPr>
            <w:r>
              <w:rPr>
                <w:rFonts w:ascii="Arial" w:cs="Arial" w:eastAsia="Arial" w:hAnsi="Arial"/>
                <w:sz w:val="13"/>
                <w:szCs w:val="13"/>
                <w:b w:val="1"/>
                <w:bCs w:val="1"/>
                <w:color w:val="auto"/>
              </w:rPr>
              <w:t>Preferred Stocks</w:t>
            </w:r>
          </w:p>
        </w:tc>
        <w:tc>
          <w:tcPr>
            <w:tcW w:w="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Mojix, Inc.</w:t>
            </w:r>
          </w:p>
        </w:tc>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Series A-1 Preferred Stock</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870,395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138,559</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1,008,954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gridSpan w:val="6"/>
          </w:tcPr>
          <w:p>
            <w:pPr>
              <w:spacing w:after="0" w:line="135" w:lineRule="exact"/>
              <w:rPr>
                <w:sz w:val="20"/>
                <w:szCs w:val="20"/>
                <w:color w:val="auto"/>
              </w:rPr>
            </w:pPr>
            <w:r>
              <w:rPr>
                <w:rFonts w:ascii="Arial" w:cs="Arial" w:eastAsia="Arial" w:hAnsi="Arial"/>
                <w:sz w:val="13"/>
                <w:szCs w:val="13"/>
                <w:color w:val="auto"/>
              </w:rPr>
              <w:t>Pivot3 Holdings, Inc.</w:t>
            </w:r>
          </w:p>
        </w:tc>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Series 1 Preferred Stock</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tcBorders>
              <w:top w:val="single" w:sz="8" w:color="CCEEFF"/>
            </w:tcBorders>
            <w:gridSpan w:val="6"/>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Preferred Stocks</w:t>
            </w:r>
          </w:p>
        </w:tc>
        <w:tc>
          <w:tcPr>
            <w:tcW w:w="320" w:type="dxa"/>
            <w:vAlign w:val="bottom"/>
            <w:tcBorders>
              <w:top w:val="single" w:sz="8" w:color="CCEEFF"/>
            </w:tcBorders>
            <w:shd w:val="clear" w:color="auto" w:fill="CCEEFF"/>
          </w:tcPr>
          <w:p>
            <w:pPr>
              <w:spacing w:after="0"/>
              <w:rPr>
                <w:sz w:val="11"/>
                <w:szCs w:val="11"/>
                <w:color w:val="auto"/>
              </w:rPr>
            </w:pPr>
          </w:p>
        </w:tc>
        <w:tc>
          <w:tcPr>
            <w:tcW w:w="17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870,395</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ind w:left="36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138,559</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1,008,954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gridSpan w:val="6"/>
          </w:tcPr>
          <w:p>
            <w:pPr>
              <w:spacing w:after="0" w:line="129" w:lineRule="exact"/>
              <w:rPr>
                <w:sz w:val="20"/>
                <w:szCs w:val="20"/>
                <w:color w:val="auto"/>
              </w:rPr>
            </w:pPr>
            <w:r>
              <w:rPr>
                <w:rFonts w:ascii="Arial" w:cs="Arial" w:eastAsia="Arial" w:hAnsi="Arial"/>
                <w:sz w:val="13"/>
                <w:szCs w:val="13"/>
                <w:b w:val="1"/>
                <w:bCs w:val="1"/>
                <w:color w:val="auto"/>
              </w:rPr>
              <w:t>Warrants</w:t>
            </w:r>
          </w:p>
        </w:tc>
        <w:tc>
          <w:tcPr>
            <w:tcW w:w="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40" w:type="dxa"/>
            <w:vAlign w:val="bottom"/>
            <w:gridSpan w:val="6"/>
            <w:shd w:val="clear" w:color="auto" w:fill="CCEEFF"/>
          </w:tcPr>
          <w:p>
            <w:pPr>
              <w:spacing w:after="0" w:line="121" w:lineRule="exact"/>
              <w:rPr>
                <w:sz w:val="20"/>
                <w:szCs w:val="20"/>
                <w:color w:val="auto"/>
              </w:rPr>
            </w:pPr>
            <w:r>
              <w:rPr>
                <w:rFonts w:ascii="Arial" w:cs="Arial" w:eastAsia="Arial" w:hAnsi="Arial"/>
                <w:sz w:val="13"/>
                <w:szCs w:val="13"/>
                <w:color w:val="auto"/>
              </w:rPr>
              <w:t>Mojix, Inc.</w:t>
            </w:r>
          </w:p>
        </w:tc>
        <w:tc>
          <w:tcPr>
            <w:tcW w:w="2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4"/>
              </w:rPr>
              <w:t>Warrant for Common Stock, exercise</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89"/>
              </w:rPr>
              <w:t>price $1.286/share, expires 12/13/2030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gridSpan w:val="2"/>
          </w:tcPr>
          <w:p>
            <w:pPr>
              <w:spacing w:after="0" w:line="121" w:lineRule="exact"/>
              <w:rPr>
                <w:sz w:val="20"/>
                <w:szCs w:val="20"/>
                <w:color w:val="auto"/>
              </w:rPr>
            </w:pPr>
            <w:r>
              <w:rPr>
                <w:rFonts w:ascii="Arial" w:cs="Arial" w:eastAsia="Arial" w:hAnsi="Arial"/>
                <w:sz w:val="13"/>
                <w:szCs w:val="13"/>
                <w:color w:val="auto"/>
                <w:w w:val="94"/>
              </w:rPr>
              <w:t>Warrant for Common Stock, exercise</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w w:val="86"/>
              </w:rPr>
              <w:t>price $2.1286/share, expires 12/13/2030</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4"/>
              </w:rPr>
              <w:t>Warrant for Common Stock, exercise</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price $5.57338/share, expires</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12/13/2030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40" w:type="dxa"/>
            <w:vAlign w:val="bottom"/>
            <w:tcBorders>
              <w:bottom w:val="single" w:sz="8" w:color="CCEEFF"/>
            </w:tcBorders>
            <w:gridSpan w:val="6"/>
          </w:tcPr>
          <w:p>
            <w:pPr>
              <w:spacing w:after="0" w:line="129" w:lineRule="exact"/>
              <w:rPr>
                <w:sz w:val="20"/>
                <w:szCs w:val="20"/>
                <w:color w:val="auto"/>
              </w:rPr>
            </w:pPr>
            <w:r>
              <w:rPr>
                <w:rFonts w:ascii="Arial" w:cs="Arial" w:eastAsia="Arial" w:hAnsi="Arial"/>
                <w:sz w:val="13"/>
                <w:szCs w:val="13"/>
                <w:b w:val="1"/>
                <w:bCs w:val="1"/>
                <w:color w:val="auto"/>
              </w:rPr>
              <w:t>Total Warrants</w:t>
            </w:r>
          </w:p>
        </w:tc>
        <w:tc>
          <w:tcPr>
            <w:tcW w:w="320" w:type="dxa"/>
            <w:vAlign w:val="bottom"/>
            <w:tcBorders>
              <w:bottom w:val="single" w:sz="8" w:color="CCEEFF"/>
            </w:tcBorders>
          </w:tcPr>
          <w:p>
            <w:pPr>
              <w:spacing w:after="0"/>
              <w:rPr>
                <w:sz w:val="11"/>
                <w:szCs w:val="11"/>
                <w:color w:val="auto"/>
              </w:rPr>
            </w:pPr>
          </w:p>
        </w:tc>
        <w:tc>
          <w:tcPr>
            <w:tcW w:w="17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ind w:left="36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140" w:type="dxa"/>
            <w:vAlign w:val="bottom"/>
            <w:gridSpan w:val="6"/>
            <w:shd w:val="clear" w:color="auto" w:fill="CCEEFF"/>
          </w:tcPr>
          <w:p>
            <w:pPr>
              <w:spacing w:after="0" w:line="82" w:lineRule="exact"/>
              <w:rPr>
                <w:sz w:val="20"/>
                <w:szCs w:val="20"/>
                <w:color w:val="auto"/>
              </w:rPr>
            </w:pPr>
            <w:r>
              <w:rPr>
                <w:rFonts w:ascii="Arial" w:cs="Arial" w:eastAsia="Arial" w:hAnsi="Arial"/>
                <w:sz w:val="9"/>
                <w:szCs w:val="9"/>
                <w:b w:val="1"/>
                <w:bCs w:val="1"/>
                <w:color w:val="auto"/>
              </w:rPr>
              <w:t>Total Control Investments</w:t>
            </w:r>
          </w:p>
        </w:tc>
        <w:tc>
          <w:tcPr>
            <w:tcW w:w="3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line="88"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center"/>
              <w:spacing w:after="0" w:line="88" w:lineRule="exact"/>
              <w:rPr>
                <w:sz w:val="20"/>
                <w:szCs w:val="20"/>
                <w:color w:val="auto"/>
              </w:rPr>
            </w:pPr>
            <w:r>
              <w:rPr>
                <w:rFonts w:ascii="Arial" w:cs="Arial" w:eastAsia="Arial" w:hAnsi="Arial"/>
                <w:sz w:val="10"/>
                <w:szCs w:val="10"/>
                <w:color w:val="auto"/>
              </w:rPr>
              <w:t>824,733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ind w:left="20"/>
              <w:spacing w:after="0" w:line="88" w:lineRule="exact"/>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29,130,371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center"/>
              <w:spacing w:after="0" w:line="88" w:lineRule="exact"/>
              <w:rPr>
                <w:sz w:val="20"/>
                <w:szCs w:val="20"/>
                <w:color w:val="auto"/>
              </w:rPr>
            </w:pPr>
            <w:r>
              <w:rPr>
                <w:rFonts w:ascii="Arial" w:cs="Arial" w:eastAsia="Arial" w:hAnsi="Arial"/>
                <w:sz w:val="10"/>
                <w:szCs w:val="10"/>
                <w:color w:val="auto"/>
              </w:rPr>
              <w:t>3,547,515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5"/>
              <w:spacing w:after="0" w:line="88" w:lineRule="exact"/>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58"/>
              <w:spacing w:after="0" w:line="8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ind w:left="220"/>
              <w:spacing w:after="0" w:line="8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88" w:lineRule="exact"/>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center"/>
              <w:spacing w:after="0" w:line="88" w:lineRule="exact"/>
              <w:rPr>
                <w:sz w:val="20"/>
                <w:szCs w:val="20"/>
                <w:color w:val="auto"/>
              </w:rPr>
            </w:pPr>
            <w:r>
              <w:rPr>
                <w:rFonts w:ascii="Arial" w:cs="Arial" w:eastAsia="Arial" w:hAnsi="Arial"/>
                <w:sz w:val="10"/>
                <w:szCs w:val="10"/>
                <w:color w:val="auto"/>
              </w:rPr>
              <w:t>(1,915,108)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line="88" w:lineRule="exact"/>
              <w:rPr>
                <w:sz w:val="20"/>
                <w:szCs w:val="20"/>
                <w:color w:val="auto"/>
              </w:rPr>
            </w:pPr>
            <w:r>
              <w:rPr>
                <w:rFonts w:ascii="Arial" w:cs="Arial" w:eastAsia="Arial" w:hAnsi="Arial"/>
                <w:sz w:val="10"/>
                <w:szCs w:val="10"/>
                <w:color w:val="auto"/>
              </w:rPr>
              <w:t>30,762,778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660" w:hanging="328"/>
        <w:spacing w:after="0" w:line="227"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Gross additions includes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jc w:val="both"/>
        <w:ind w:left="660" w:right="20" w:hanging="328"/>
        <w:spacing w:after="0" w:line="221"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ind w:left="660" w:hanging="328"/>
        <w:spacing w:after="0" w:line="237"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All investments in the portfolio companies, which as of March 31, 2022 represented 5.64% of the Company’s net assets, are restricted as to resale and were valued at fair value as determined in good faith by the Company’s Board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March 31,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4"/>
                <w:szCs w:val="14"/>
                <w:b w:val="1"/>
                <w:bCs w:val="1"/>
                <w:color w:val="auto"/>
              </w:rPr>
              <w:t>March 31, 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Geographic Region</w:t>
            </w:r>
          </w:p>
        </w:tc>
        <w:tc>
          <w:tcPr>
            <w:tcW w:w="100" w:type="dxa"/>
            <w:vAlign w:val="bottom"/>
          </w:tcPr>
          <w:p>
            <w:pPr>
              <w:spacing w:after="0"/>
              <w:rPr>
                <w:sz w:val="10"/>
                <w:szCs w:val="10"/>
                <w:color w:val="auto"/>
              </w:rPr>
            </w:pPr>
          </w:p>
        </w:tc>
        <w:tc>
          <w:tcPr>
            <w:tcW w:w="12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Investments at</w:t>
            </w:r>
          </w:p>
        </w:tc>
        <w:tc>
          <w:tcPr>
            <w:tcW w:w="2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234,161,480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Northeastern United States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228,184,001</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Central United States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75,248,661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Southeastern United States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65,155,378</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Northwestern United States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42,790,618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35,912,622</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34,229,343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Midwestern United States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25,142,207</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13,465,060</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754,289,370</w:t>
            </w:r>
          </w:p>
        </w:tc>
        <w:tc>
          <w:tcPr>
            <w:tcW w:w="220" w:type="dxa"/>
            <w:vAlign w:val="bottom"/>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126.25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564"/>
              <w:spacing w:after="0"/>
              <w:rPr>
                <w:sz w:val="20"/>
                <w:szCs w:val="20"/>
                <w:color w:val="auto"/>
              </w:rPr>
            </w:pPr>
            <w:r>
              <w:rPr>
                <w:rFonts w:ascii="Arial" w:cs="Arial" w:eastAsia="Arial" w:hAnsi="Arial"/>
                <w:sz w:val="14"/>
                <w:szCs w:val="14"/>
                <w:b w:val="1"/>
                <w:bCs w:val="1"/>
                <w:color w:val="auto"/>
              </w:rPr>
              <w:t>March 31, 2022</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0"/>
                <w:szCs w:val="10"/>
                <w:color w:val="auto"/>
              </w:rPr>
            </w:pPr>
          </w:p>
        </w:tc>
        <w:tc>
          <w:tcPr>
            <w:tcW w:w="12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Investments at</w:t>
            </w:r>
          </w:p>
        </w:tc>
        <w:tc>
          <w:tcPr>
            <w:tcW w:w="2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202,925,406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Healthcare Technology</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135,981,528</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22.76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Retail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106,172,718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Internet Software &amp;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86,762,727</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Human Resource &amp; Employment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73,281,816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Data Processing &amp; Outsourced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39,224,762</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Biotechnology</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29,831,520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Education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25,142,207</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 Equipment &amp; Instruments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24,829,979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System Software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13,465,060</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Equipment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12,375,575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Specialized Consumer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2,256,074</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Hardware, Storage &amp; Peripherals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1,892,161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Computer &amp; Electronics Retail</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147,837</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754,289,370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126.25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Acquisition</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Principal/</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4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240" w:type="dxa"/>
            <w:vAlign w:val="bottom"/>
            <w:tcBorders>
              <w:top w:val="single" w:sz="8" w:color="auto"/>
              <w:bottom w:val="single" w:sz="8" w:color="auto"/>
            </w:tcBorders>
            <w:gridSpan w:val="2"/>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Control Investments</w:t>
            </w:r>
          </w:p>
        </w:tc>
        <w:tc>
          <w:tcPr>
            <w:tcW w:w="1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w w:val="89"/>
              </w:rPr>
              <w:t>(15)</w:t>
            </w: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98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6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2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w w:val="93"/>
              </w:rPr>
              <w:t>Senior Secured Term Loans</w:t>
            </w:r>
            <w:r>
              <w:rPr>
                <w:rFonts w:ascii="Arial" w:cs="Arial" w:eastAsia="Arial" w:hAnsi="Arial"/>
                <w:sz w:val="10"/>
                <w:szCs w:val="10"/>
                <w:b w:val="1"/>
                <w:bCs w:val="1"/>
                <w:color w:val="auto"/>
                <w:w w:val="93"/>
              </w:rPr>
              <w:t>(7),(8)</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Mojix,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LIBOR+12.00%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1/15/2022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5/16/2017</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6,519,240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6,502,036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7,567,610</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LIBOR+12.00%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1/15/2022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8/3/2017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2,173,080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2,170,069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2,522,537</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0.40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III: LIBOR+12.00%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1/15/2022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7/6/2018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542,721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543,783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629,997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IV: LIBOR+12.00%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1/15/2022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9/5/2018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541,964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542,215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629,118</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V: LIBOR+12.00%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1/15/2022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1/28/2019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1,079,293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1,073,081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1,252,833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VI: LIBOR+12.00%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1/31/2022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12/18/2019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824,143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824,143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1,008,093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Pivot3 Holdings,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LIBOR+8.50%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11.00% floor, 4.00%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11/15/2022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5/13/2019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18,598,265</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19,172,352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14,649,788</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20" w:type="dxa"/>
            <w:vAlign w:val="bottom"/>
            <w:gridSpan w:val="6"/>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40" w:type="dxa"/>
            <w:vAlign w:val="bottom"/>
            <w:gridSpan w:val="7"/>
          </w:tcPr>
          <w:p>
            <w:pPr>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30,827,679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28,259,976</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4.66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top w:val="single" w:sz="8" w:color="CCEEFF"/>
            </w:tcBorders>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Stocks</w:t>
            </w:r>
            <w:r>
              <w:rPr>
                <w:rFonts w:ascii="Arial" w:cs="Arial" w:eastAsia="Arial" w:hAnsi="Arial"/>
                <w:sz w:val="10"/>
                <w:szCs w:val="10"/>
                <w:b w:val="1"/>
                <w:bCs w:val="1"/>
                <w:color w:val="auto"/>
              </w:rPr>
              <w:t>(7)</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6"/>
          </w:tcPr>
          <w:p>
            <w:pPr>
              <w:spacing w:after="0" w:line="130" w:lineRule="exact"/>
              <w:rPr>
                <w:sz w:val="20"/>
                <w:szCs w:val="20"/>
                <w:color w:val="auto"/>
              </w:rPr>
            </w:pPr>
            <w:r>
              <w:rPr>
                <w:rFonts w:ascii="Arial" w:cs="Arial" w:eastAsia="Arial" w:hAnsi="Arial"/>
                <w:sz w:val="14"/>
                <w:szCs w:val="14"/>
                <w:color w:val="auto"/>
              </w:rPr>
              <w:t>Mojix,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Series A-1 Preferred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12/14/2020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67,114,092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800,000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870,395</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Pivot3 Holdings,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1 Preferred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1/27/2021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2,675,585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6"/>
          </w:tcPr>
          <w:p>
            <w:pPr>
              <w:spacing w:after="0" w:line="142" w:lineRule="exact"/>
              <w:rPr>
                <w:sz w:val="20"/>
                <w:szCs w:val="20"/>
                <w:color w:val="auto"/>
              </w:rPr>
            </w:pPr>
            <w:r>
              <w:rPr>
                <w:rFonts w:ascii="Arial" w:cs="Arial" w:eastAsia="Arial" w:hAnsi="Arial"/>
                <w:sz w:val="14"/>
                <w:szCs w:val="14"/>
                <w:b w:val="1"/>
                <w:bCs w:val="1"/>
                <w:color w:val="auto"/>
              </w:rPr>
              <w:t>Total Preferred Stocks</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2,800,000</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870,395</w:t>
            </w:r>
          </w:p>
        </w:tc>
        <w:tc>
          <w:tcPr>
            <w:tcW w:w="1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0.14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6"/>
          </w:tcPr>
          <w:p>
            <w:pPr>
              <w:spacing w:after="0" w:line="130" w:lineRule="exact"/>
              <w:rPr>
                <w:sz w:val="20"/>
                <w:szCs w:val="20"/>
                <w:color w:val="auto"/>
              </w:rPr>
            </w:pPr>
            <w:r>
              <w:rPr>
                <w:rFonts w:ascii="Arial" w:cs="Arial" w:eastAsia="Arial" w:hAnsi="Arial"/>
                <w:sz w:val="14"/>
                <w:szCs w:val="14"/>
                <w:color w:val="auto"/>
              </w:rPr>
              <w:t>Mojix,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$1.286/share,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12/14/2020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2,349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119,320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$2.1286/share,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12/13/2030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12/14/2020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298,325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$5.57338/share,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12/14/2020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394,733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828,522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top w:val="single" w:sz="8" w:color="CCEEFF"/>
            </w:tcBorders>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1,246,167</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gridSpan w:val="6"/>
          </w:tcPr>
          <w:p>
            <w:pPr>
              <w:spacing w:after="0" w:line="95" w:lineRule="exact"/>
              <w:rPr>
                <w:sz w:val="20"/>
                <w:szCs w:val="20"/>
                <w:color w:val="auto"/>
              </w:rPr>
            </w:pPr>
            <w:r>
              <w:rPr>
                <w:rFonts w:ascii="Arial" w:cs="Arial" w:eastAsia="Arial" w:hAnsi="Arial"/>
                <w:sz w:val="11"/>
                <w:szCs w:val="11"/>
                <w:b w:val="1"/>
                <w:bCs w:val="1"/>
                <w:color w:val="auto"/>
              </w:rPr>
              <w:t>Total Control Investments</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02" w:lineRule="exact"/>
              <w:rPr>
                <w:sz w:val="20"/>
                <w:szCs w:val="20"/>
                <w:color w:val="auto"/>
              </w:rPr>
            </w:pPr>
            <w:r>
              <w:rPr>
                <w:rFonts w:ascii="Arial" w:cs="Arial" w:eastAsia="Arial" w:hAnsi="Arial"/>
                <w:sz w:val="11"/>
                <w:szCs w:val="11"/>
                <w:color w:val="auto"/>
              </w:rPr>
              <w:t>34,873,846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spacing w:after="0" w:line="102" w:lineRule="exact"/>
              <w:rPr>
                <w:sz w:val="20"/>
                <w:szCs w:val="20"/>
                <w:color w:val="auto"/>
              </w:rPr>
            </w:pPr>
            <w:r>
              <w:rPr>
                <w:rFonts w:ascii="Arial" w:cs="Arial" w:eastAsia="Arial" w:hAnsi="Arial"/>
                <w:sz w:val="11"/>
                <w:szCs w:val="11"/>
                <w:color w:val="auto"/>
              </w:rPr>
              <w:t>29,130,371</w:t>
            </w:r>
          </w:p>
        </w:tc>
        <w:tc>
          <w:tcPr>
            <w:tcW w:w="120" w:type="dxa"/>
            <w:vAlign w:val="bottom"/>
          </w:tcPr>
          <w:p>
            <w:pPr>
              <w:spacing w:after="0"/>
              <w:rPr>
                <w:sz w:val="10"/>
                <w:szCs w:val="10"/>
                <w:color w:val="auto"/>
              </w:rPr>
            </w:pPr>
          </w:p>
        </w:tc>
        <w:tc>
          <w:tcPr>
            <w:tcW w:w="500" w:type="dxa"/>
            <w:vAlign w:val="bottom"/>
          </w:tcPr>
          <w:p>
            <w:pPr>
              <w:jc w:val="right"/>
              <w:spacing w:after="0" w:line="102" w:lineRule="exact"/>
              <w:rPr>
                <w:sz w:val="20"/>
                <w:szCs w:val="20"/>
                <w:color w:val="auto"/>
              </w:rPr>
            </w:pPr>
            <w:r>
              <w:rPr>
                <w:rFonts w:ascii="Arial" w:cs="Arial" w:eastAsia="Arial" w:hAnsi="Arial"/>
                <w:sz w:val="11"/>
                <w:szCs w:val="11"/>
                <w:color w:val="auto"/>
              </w:rPr>
              <w:t>4.80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gridSpan w:val="6"/>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Non-Control/Non-Affiliate</w:t>
            </w: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w:t>
            </w:r>
          </w:p>
        </w:tc>
        <w:tc>
          <w:tcPr>
            <w:tcW w:w="880" w:type="dxa"/>
            <w:vAlign w:val="bottom"/>
            <w:tcBorders>
              <w:top w:val="single" w:sz="8" w:color="auto"/>
              <w:bottom w:val="single" w:sz="8" w:color="CCEEFF"/>
            </w:tcBorders>
            <w:gridSpan w:val="4"/>
            <w:shd w:val="clear" w:color="auto" w:fill="CCEEFF"/>
          </w:tcPr>
          <w:p>
            <w:pPr>
              <w:spacing w:after="0"/>
              <w:rPr>
                <w:sz w:val="11"/>
                <w:szCs w:val="11"/>
                <w:color w:val="auto"/>
              </w:rPr>
            </w:pPr>
          </w:p>
        </w:tc>
        <w:tc>
          <w:tcPr>
            <w:tcW w:w="4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Senior Secured Term Loans</w:t>
            </w:r>
            <w:r>
              <w:rPr>
                <w:rFonts w:ascii="Arial" w:cs="Arial" w:eastAsia="Arial" w:hAnsi="Arial"/>
                <w:sz w:val="10"/>
                <w:szCs w:val="10"/>
                <w:b w:val="1"/>
                <w:bCs w:val="1"/>
                <w:color w:val="auto"/>
              </w:rPr>
              <w:t>(8)</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Aginity,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LIBOR+9.50%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 xml:space="preserve">10.81% floor, due 12/15/2022 </w:t>
            </w:r>
            <w:r>
              <w:rPr>
                <w:rFonts w:ascii="Arial" w:cs="Arial" w:eastAsia="Arial" w:hAnsi="Arial"/>
                <w:sz w:val="10"/>
                <w:szCs w:val="10"/>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3/24/2020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899,054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899,054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899,054</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Fixed 6.50% PIK, due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3/9/2027 </w:t>
            </w:r>
            <w:r>
              <w:rPr>
                <w:rFonts w:ascii="Arial" w:cs="Arial" w:eastAsia="Arial" w:hAnsi="Arial"/>
                <w:sz w:val="10"/>
                <w:szCs w:val="10"/>
                <w:color w:val="auto"/>
              </w:rPr>
              <w:t>(4)</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3/9/2020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4,472,419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4,472,419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2,348,809</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 (continued)</w:t>
            </w: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4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(8)</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(continued)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Allurion Technologies,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LIBOR+9.00%, 9.50%</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3.00% ETP, due 12/30/2025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12/30/2021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5,000,000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4,847,557</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4,847,557</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6"/>
              </w:rPr>
              <w:t>0.80 %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LIBOR+9.00%, 9.50%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3.00% ETP, due 12/30/2025</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12/30/2021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20,000,743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20,000,743</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3.30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Bombora,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LIBOR+5.00%, 5.50%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3.75% PIK, 2.00%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3/31/2025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20,546,075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20,326,021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20,326,021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3.35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Brilliant Earth, LLC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 Retail</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LIBOR+7.75%, 8.25%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4.50% ETP, due 10/15/2023</w:t>
            </w:r>
          </w:p>
        </w:tc>
        <w:tc>
          <w:tcPr>
            <w:tcW w:w="720" w:type="dxa"/>
            <w:vAlign w:val="bottom"/>
          </w:tcPr>
          <w:p>
            <w:pPr>
              <w:jc w:val="right"/>
              <w:spacing w:after="0"/>
              <w:rPr>
                <w:sz w:val="20"/>
                <w:szCs w:val="20"/>
                <w:color w:val="auto"/>
              </w:rPr>
            </w:pPr>
            <w:r>
              <w:rPr>
                <w:rFonts w:ascii="Arial" w:cs="Arial" w:eastAsia="Arial" w:hAnsi="Arial"/>
                <w:sz w:val="14"/>
                <w:szCs w:val="14"/>
                <w:color w:val="auto"/>
              </w:rPr>
              <w:t>9/30/2019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35,000,000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35,861,035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35,848,514</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5.91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LIBOR+7.75%, 8.25%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0.75% ETP, due 10/15/2023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12/17/2020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29,970,285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30,727,298</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5.07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Circadence Corporation</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LIBOR+9.50% PIK, 12.00%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 xml:space="preserve">7.50% ETP, due 12/15/2022 </w:t>
            </w: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12/20/2018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17,574,000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18,111,074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15,884,482</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2.62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CloudPay,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Human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 xml:space="preserve">2.00% ETP, due 8/17/2025 </w:t>
            </w:r>
            <w:r>
              <w:rPr>
                <w:rFonts w:ascii="Arial" w:cs="Arial" w:eastAsia="Arial" w:hAnsi="Arial"/>
                <w:sz w:val="10"/>
                <w:szCs w:val="10"/>
                <w:color w:val="auto"/>
              </w:rPr>
              <w:t>(3)(13)</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Employment</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34,863,473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34,863,473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5.75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w w:val="99"/>
              </w:rPr>
              <w:t>CrossRoads Extremity Systems,</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LIBOR+8.15%, 1.50%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gridSpan w:val="4"/>
          </w:tcPr>
          <w:p>
            <w:pPr>
              <w:spacing w:after="0" w:line="149" w:lineRule="exact"/>
              <w:rPr>
                <w:sz w:val="20"/>
                <w:szCs w:val="20"/>
                <w:color w:val="auto"/>
              </w:rPr>
            </w:pPr>
            <w:r>
              <w:rPr>
                <w:rFonts w:ascii="Arial" w:cs="Arial" w:eastAsia="Arial" w:hAnsi="Arial"/>
                <w:sz w:val="14"/>
                <w:szCs w:val="14"/>
                <w:color w:val="auto"/>
              </w:rPr>
              <w:t>LLC</w:t>
            </w: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8.65% floor, 3.50%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7/1/2025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6/29/2021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7,552,967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7,381,304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7,701,001</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1.27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LIBOR+9.50%, 10.00%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1.75% ETP, due 6/1/2025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9,942,422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9,942,422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1.64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Fidelis Cybersecurity,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LIBOR+11.00%, 12.0%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2.39% ETP, due 5/13/2024</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5/13/2021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13,641,254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13,623,763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13,623,763</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2.25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FiscalNote,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LIBOR+9.25%, 9.75%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5.00% ETP, due 8/21/2023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10/19/2020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45,490,925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45,490,925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7.50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LIBOR+9.25%, 9.75%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5.00% ETP, due 8/21/2023</w:t>
            </w:r>
          </w:p>
        </w:tc>
        <w:tc>
          <w:tcPr>
            <w:tcW w:w="720" w:type="dxa"/>
            <w:vAlign w:val="bottom"/>
          </w:tcPr>
          <w:p>
            <w:pPr>
              <w:jc w:val="right"/>
              <w:spacing w:after="0"/>
              <w:rPr>
                <w:sz w:val="20"/>
                <w:szCs w:val="20"/>
                <w:color w:val="auto"/>
              </w:rPr>
            </w:pPr>
            <w:r>
              <w:rPr>
                <w:rFonts w:ascii="Arial" w:cs="Arial" w:eastAsia="Arial" w:hAnsi="Arial"/>
                <w:sz w:val="14"/>
                <w:szCs w:val="14"/>
                <w:color w:val="auto"/>
              </w:rPr>
              <w:t>9/30/2021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9,990,162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9,990,162</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1.65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Gynesonics,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3.50% ETP, due 12/1/2025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29,799,392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29,799,392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4.92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INRIX,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LIBOR+9.00%, 9.50%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2.50% ETP, due 11/15/2025</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11/15/2021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39,916,175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39,916,175</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6.59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6"/>
              </w:rPr>
              <w:t>Intellisite Holdings, Inc. (dba Epic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Electronic</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LIBOR+9.75%, 10.25%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IO Technologies, Inc.)</w:t>
            </w: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Equipment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2.00% ETP, due 12/17/2025</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Instruments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12/17/2021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18,521,523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18,521,523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Marley Spoon AG</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 Retail</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LIBOR+8.50%, 1.25%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60" w:type="dxa"/>
            <w:vAlign w:val="bottom"/>
            <w:gridSpan w:val="3"/>
          </w:tcPr>
          <w:p>
            <w:pPr>
              <w:ind w:left="100"/>
              <w:spacing w:after="0" w:line="157" w:lineRule="exact"/>
              <w:rPr>
                <w:sz w:val="20"/>
                <w:szCs w:val="20"/>
                <w:color w:val="auto"/>
              </w:rPr>
            </w:pPr>
            <w:r>
              <w:rPr>
                <w:rFonts w:ascii="Arial" w:cs="Arial" w:eastAsia="Arial" w:hAnsi="Arial"/>
                <w:sz w:val="14"/>
                <w:szCs w:val="14"/>
                <w:color w:val="auto"/>
                <w:w w:val="99"/>
              </w:rPr>
              <w:t xml:space="preserve">PIK, 9.00% floor, due 6/15/2025 </w:t>
            </w:r>
            <w:r>
              <w:rPr>
                <w:rFonts w:ascii="Arial" w:cs="Arial" w:eastAsia="Arial" w:hAnsi="Arial"/>
                <w:sz w:val="10"/>
                <w:szCs w:val="10"/>
                <w:color w:val="auto"/>
                <w:w w:val="99"/>
              </w:rPr>
              <w:t>(3)</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6/30/2021</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26,442,863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26,061,371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26,061,370</w:t>
            </w:r>
          </w:p>
        </w:tc>
        <w:tc>
          <w:tcPr>
            <w:tcW w:w="120" w:type="dxa"/>
            <w:vAlign w:val="bottom"/>
          </w:tcPr>
          <w:p>
            <w:pPr>
              <w:spacing w:after="0"/>
              <w:rPr>
                <w:sz w:val="13"/>
                <w:szCs w:val="13"/>
                <w:color w:val="auto"/>
              </w:rPr>
            </w:pPr>
          </w:p>
        </w:tc>
        <w:tc>
          <w:tcPr>
            <w:tcW w:w="500" w:type="dxa"/>
            <w:vAlign w:val="bottom"/>
            <w:vMerge w:val="restart"/>
          </w:tcPr>
          <w:p>
            <w:pPr>
              <w:ind w:left="200"/>
              <w:spacing w:after="0"/>
              <w:rPr>
                <w:sz w:val="20"/>
                <w:szCs w:val="20"/>
                <w:color w:val="auto"/>
              </w:rPr>
            </w:pPr>
            <w:r>
              <w:rPr>
                <w:rFonts w:ascii="Arial" w:cs="Arial" w:eastAsia="Arial" w:hAnsi="Arial"/>
                <w:sz w:val="14"/>
                <w:szCs w:val="14"/>
                <w:color w:val="auto"/>
              </w:rPr>
              <w:t>4.30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160" w:type="dxa"/>
            <w:vAlign w:val="bottom"/>
            <w:gridSpan w:val="2"/>
          </w:tcPr>
          <w:p>
            <w:pPr>
              <w:ind w:left="100"/>
              <w:spacing w:after="0"/>
              <w:rPr>
                <w:sz w:val="20"/>
                <w:szCs w:val="20"/>
                <w:color w:val="auto"/>
              </w:rPr>
            </w:pPr>
            <w:r>
              <w:rPr>
                <w:rFonts w:ascii="Arial" w:cs="Arial" w:eastAsia="Arial" w:hAnsi="Arial"/>
                <w:sz w:val="11"/>
                <w:szCs w:val="11"/>
                <w:color w:val="auto"/>
              </w:rPr>
              <w:t>(4)(12)</w:t>
            </w: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LIBOR+8.50%, 1.25%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60" w:type="dxa"/>
            <w:vAlign w:val="bottom"/>
            <w:gridSpan w:val="3"/>
            <w:shd w:val="clear" w:color="auto" w:fill="CCEEFF"/>
          </w:tcPr>
          <w:p>
            <w:pPr>
              <w:ind w:left="100"/>
              <w:spacing w:after="0" w:line="157" w:lineRule="exact"/>
              <w:rPr>
                <w:sz w:val="20"/>
                <w:szCs w:val="20"/>
                <w:color w:val="auto"/>
              </w:rPr>
            </w:pPr>
            <w:r>
              <w:rPr>
                <w:rFonts w:ascii="Arial" w:cs="Arial" w:eastAsia="Arial" w:hAnsi="Arial"/>
                <w:sz w:val="14"/>
                <w:szCs w:val="14"/>
                <w:color w:val="auto"/>
                <w:w w:val="99"/>
              </w:rPr>
              <w:t xml:space="preserve">PIK, 9.00% floor, due 6/15/2025 </w:t>
            </w:r>
            <w:r>
              <w:rPr>
                <w:rFonts w:ascii="Arial" w:cs="Arial" w:eastAsia="Arial" w:hAnsi="Arial"/>
                <w:sz w:val="10"/>
                <w:szCs w:val="10"/>
                <w:color w:val="auto"/>
                <w:w w:val="99"/>
              </w:rPr>
              <w:t>(3)</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12/29/2021</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8,100,000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8,019,228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8,019,228</w:t>
            </w: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1.32</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(4)(12)</w:t>
            </w: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w w:val="97"/>
              </w:rPr>
              <w:t>Mingle Healthcare Solutions,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LIBOR+9.50%, 11.75%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.25% PIK, 10.00%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8/15/2022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3,958,483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4,473,959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4,371,891</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0.72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Route 92 Medical,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LIBOR+8.48%, 8.98%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3.95% ETP, due 7/1/2026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12,675,523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12,675,523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4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(8)</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5"/>
          </w:tcPr>
          <w:p>
            <w:pPr>
              <w:spacing w:after="0"/>
              <w:rPr>
                <w:sz w:val="20"/>
                <w:szCs w:val="20"/>
                <w:color w:val="auto"/>
              </w:rPr>
            </w:pPr>
            <w:r>
              <w:rPr>
                <w:rFonts w:ascii="Arial" w:cs="Arial" w:eastAsia="Arial" w:hAnsi="Arial"/>
                <w:sz w:val="14"/>
                <w:szCs w:val="14"/>
                <w:b w:val="1"/>
                <w:bCs w:val="1"/>
                <w:color w:val="auto"/>
              </w:rPr>
              <w:t>(continued)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SetPoint Medical Corporation</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4.00% ETP, due 12/1/2025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$ 10,000,000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9,946,271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9,946,271</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ShareThis,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LIBOR+9.25%, 11.60%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floor, 3.00% ETP, due 7/15/2023</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19,250,000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19,348,875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19,348,874</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LIBOR+9.25%,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11.60% floor, 3.00%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7/15/2023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751,979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751,979</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III: LIBOR+9.25%,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11.60% floor, 3.00%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7/15/2023</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7/24/2019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998,484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998,484</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IV: LIBOR+8.25%,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10.60% floor, 3.00%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7/15/2023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1,014,040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1,014,040</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Snagajob.com,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Human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LIBOR+8.50%, 9.00%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2.75% ETP, due 9/1/2025</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Employment</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9/29/2021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37,315,385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36,847,618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36,847,618</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Turning Tech Intermediate,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Education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LIBOR+10.50%, 11.00%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3.00% ETP, due 12/15/2024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20,098,640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20,098,640</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VERO Biotech LLC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LIBOR+9.05%, 9.55%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3.00% ETP, due 12/1/2024</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12/29/2020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24,681,082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24,681,082</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LIBOR+9.05%, 9.55%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3.00% ETP, due 12/1/2024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14,990,171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14,990,171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VTX Intermediate Holdings,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LIBOR+9.00%, 9.50%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gridSpan w:val="5"/>
          </w:tcPr>
          <w:p>
            <w:pPr>
              <w:spacing w:after="0"/>
              <w:rPr>
                <w:sz w:val="20"/>
                <w:szCs w:val="20"/>
                <w:color w:val="auto"/>
              </w:rPr>
            </w:pPr>
            <w:r>
              <w:rPr>
                <w:rFonts w:ascii="Arial" w:cs="Arial" w:eastAsia="Arial" w:hAnsi="Arial"/>
                <w:sz w:val="14"/>
                <w:szCs w:val="14"/>
                <w:color w:val="auto"/>
              </w:rPr>
              <w:t>(dba VertexOne)</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4.50% ETP, due 12/28/2026</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12/28/2021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75,000,000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74,257,185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74,257,185</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12.25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tcBorders>
              <w:top w:val="single" w:sz="8" w:color="CCEEFF"/>
            </w:tcBorders>
            <w:gridSpan w:val="3"/>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10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Loans</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598,181,753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594,793,670</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Second Lien Term Loans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Dejero Labs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System</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LIBOR+5.00%, 5.50 floor, 5.00%</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57" w:lineRule="exact"/>
              <w:rPr>
                <w:sz w:val="20"/>
                <w:szCs w:val="20"/>
                <w:color w:val="auto"/>
              </w:rPr>
            </w:pPr>
            <w:r>
              <w:rPr>
                <w:rFonts w:ascii="Arial" w:cs="Arial" w:eastAsia="Arial" w:hAnsi="Arial"/>
                <w:sz w:val="14"/>
                <w:szCs w:val="14"/>
                <w:color w:val="auto"/>
              </w:rPr>
              <w:t>PIK, 3.00% ETP, due 12/22/2025</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12/22/2021</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13,000,000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12,872,588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12,872,588</w:t>
            </w: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(3)(4)(11)</w:t>
            </w: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w w:val="97"/>
              </w:rPr>
              <w:t>Total Second Lien Term Loans</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12,872,588</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12,872,588</w:t>
            </w: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Stocks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Aria Systems,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Series G Preferred Stock </w:t>
            </w:r>
            <w:r>
              <w:rPr>
                <w:rFonts w:ascii="Arial" w:cs="Arial" w:eastAsia="Arial" w:hAnsi="Arial"/>
                <w:sz w:val="10"/>
                <w:szCs w:val="10"/>
                <w:color w:val="auto"/>
              </w:rPr>
              <w:t>(7)</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7/10/2018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289,419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462,025</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CareCloud,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11% Series A Cumulative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Redeemable Perpetual Preferred</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line="167" w:lineRule="exact"/>
              <w:rPr>
                <w:sz w:val="20"/>
                <w:szCs w:val="20"/>
                <w:color w:val="auto"/>
              </w:rPr>
            </w:pPr>
            <w:r>
              <w:rPr>
                <w:rFonts w:ascii="Arial" w:cs="Arial" w:eastAsia="Arial" w:hAnsi="Arial"/>
                <w:sz w:val="19"/>
                <w:szCs w:val="19"/>
                <w:color w:val="auto"/>
                <w:vertAlign w:val="subscript"/>
              </w:rPr>
              <w:t>Stock</w:t>
            </w:r>
            <w:r>
              <w:rPr>
                <w:rFonts w:ascii="Arial" w:cs="Arial" w:eastAsia="Arial" w:hAnsi="Arial"/>
                <w:sz w:val="9"/>
                <w:szCs w:val="9"/>
                <w:color w:val="auto"/>
              </w:rPr>
              <w:t xml:space="preserve"> (16)(19)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544,178</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14,287,836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15,704,705</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Preferred Stocks</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14,537,836</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16,166,730</w:t>
            </w: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 Stocks</w:t>
            </w:r>
            <w:r>
              <w:rPr>
                <w:rFonts w:ascii="Arial" w:cs="Arial" w:eastAsia="Arial" w:hAnsi="Arial"/>
                <w:sz w:val="10"/>
                <w:szCs w:val="10"/>
                <w:b w:val="1"/>
                <w:bCs w:val="1"/>
                <w:color w:val="auto"/>
              </w:rPr>
              <w:t>(7)</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Brilliant Earth, LLC</w:t>
            </w: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Internet Retail</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 xml:space="preserve">Class P Units </w:t>
            </w:r>
            <w:r>
              <w:rPr>
                <w:rFonts w:ascii="Arial" w:cs="Arial" w:eastAsia="Arial" w:hAnsi="Arial"/>
                <w:sz w:val="10"/>
                <w:szCs w:val="10"/>
                <w:color w:val="auto"/>
              </w:rPr>
              <w:t>(18)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9/22/2021</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526,845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984,036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8,903,933</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Porch Group,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 xml:space="preserve">Common Stock </w:t>
            </w:r>
            <w:r>
              <w:rPr>
                <w:rFonts w:ascii="Arial" w:cs="Arial" w:eastAsia="Arial" w:hAnsi="Arial"/>
                <w:sz w:val="10"/>
                <w:szCs w:val="10"/>
                <w:color w:val="auto"/>
              </w:rPr>
              <w:t>(16)(19)</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12/21/2021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22,278</w:t>
            </w: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Quantum Corporation</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1"/>
                <w:szCs w:val="11"/>
                <w:color w:val="auto"/>
              </w:rPr>
              <w:t xml:space="preserve">Common Stock </w:t>
            </w:r>
            <w:r>
              <w:rPr>
                <w:rFonts w:ascii="Arial" w:cs="Arial" w:eastAsia="Arial" w:hAnsi="Arial"/>
                <w:sz w:val="15"/>
                <w:szCs w:val="15"/>
                <w:color w:val="auto"/>
                <w:vertAlign w:val="superscript"/>
              </w:rPr>
              <w:t>(3)(16)(19)</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Hardware,</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Storage &amp;</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459,720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2,606,612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2,537,654</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 (continued)</w:t>
            </w: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Common Stocks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zSpace,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Hardware,</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Storage &amp;</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12/31/2020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6,078,499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1,119,096</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Common Stocks</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4,709,744</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11,463,865</w:t>
            </w:r>
          </w:p>
        </w:tc>
        <w:tc>
          <w:tcPr>
            <w:tcW w:w="1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Aginity,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3/9/2030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811,770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1,009,216</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AllClear ID,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Specialized</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9/1/2027</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9/1/2017</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870,514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1,749,733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898,370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Allurion Technologies,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C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$6.58/share,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3/30/2031</w:t>
            </w:r>
          </w:p>
        </w:tc>
        <w:tc>
          <w:tcPr>
            <w:tcW w:w="720" w:type="dxa"/>
            <w:vAlign w:val="bottom"/>
          </w:tcPr>
          <w:p>
            <w:pPr>
              <w:jc w:val="right"/>
              <w:spacing w:after="0"/>
              <w:rPr>
                <w:sz w:val="20"/>
                <w:szCs w:val="20"/>
                <w:color w:val="auto"/>
              </w:rPr>
            </w:pPr>
            <w:r>
              <w:rPr>
                <w:rFonts w:ascii="Arial" w:cs="Arial" w:eastAsia="Arial" w:hAnsi="Arial"/>
                <w:sz w:val="14"/>
                <w:szCs w:val="14"/>
                <w:color w:val="auto"/>
              </w:rPr>
              <w:t>3/30/2021</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132,978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282,462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638,313</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G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$0.8638/share, expires 6/29/2028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6/29/2018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2,387,705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1,047,581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3,811,702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Aspen Group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Education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Services</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$6.87/share,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7/25/2022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7/25/2017</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224,174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583,301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Bombora,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$3.29/share,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3/31/2031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3/31/2021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121,581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292,372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CareCloud,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$7.50/share,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1/8/2022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435,000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$10.00/share,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1/8/2023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295,000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Circadence Corporation</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A-6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$1.17/share,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12/20/2028</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12/20/2018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1,538,462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3,630,000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808,617</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A-6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$1.17/share,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10/31/2029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10/31/2019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384,615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845,540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202,154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CloudPay,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Human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Stock, exercise price $66.53/share,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Employment</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 xml:space="preserve">expires 6/30/2030 </w:t>
            </w:r>
            <w:r>
              <w:rPr>
                <w:rFonts w:ascii="Arial" w:cs="Arial" w:eastAsia="Arial" w:hAnsi="Arial"/>
                <w:sz w:val="10"/>
                <w:szCs w:val="10"/>
                <w:color w:val="auto"/>
              </w:rPr>
              <w:t>(3)(13)</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217,500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807,139</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D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$171.3182/share,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8/17/2031 </w:t>
            </w:r>
            <w:r>
              <w:rPr>
                <w:rFonts w:ascii="Arial" w:cs="Arial" w:eastAsia="Arial" w:hAnsi="Arial"/>
                <w:sz w:val="10"/>
                <w:szCs w:val="10"/>
                <w:color w:val="auto"/>
              </w:rPr>
              <w:t>(3)(13)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8/17/2021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16,686</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Credit Sesame,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Specialized</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Consumer</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1/7/2030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191,601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424,800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1,578,981</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CrossRoads Extremity Systems,</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C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$3.79/share,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6/29/2031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6/29/2021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94,888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209,843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Dejero Labs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System</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5/31/2029 </w:t>
            </w:r>
            <w:r>
              <w:rPr>
                <w:rFonts w:ascii="Arial" w:cs="Arial" w:eastAsia="Arial" w:hAnsi="Arial"/>
                <w:sz w:val="10"/>
                <w:szCs w:val="10"/>
                <w:color w:val="auto"/>
              </w:rPr>
              <w:t>(3)(11)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5/31/2019</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333,621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192,499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574,831</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 (continued)</w:t>
            </w: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4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C-Prime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$0.6000/share, expires 6/1/2025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59,000</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306,799</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0.05 %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C-Prime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$0.6000/share, expires 7/11/2026</w:t>
            </w:r>
          </w:p>
        </w:tc>
        <w:tc>
          <w:tcPr>
            <w:tcW w:w="720" w:type="dxa"/>
            <w:vAlign w:val="bottom"/>
          </w:tcPr>
          <w:p>
            <w:pPr>
              <w:jc w:val="right"/>
              <w:spacing w:after="0"/>
              <w:rPr>
                <w:sz w:val="20"/>
                <w:szCs w:val="20"/>
                <w:color w:val="auto"/>
              </w:rPr>
            </w:pPr>
            <w:r>
              <w:rPr>
                <w:rFonts w:ascii="Arial" w:cs="Arial" w:eastAsia="Arial" w:hAnsi="Arial"/>
                <w:sz w:val="14"/>
                <w:szCs w:val="14"/>
                <w:color w:val="auto"/>
              </w:rPr>
              <w:t>7/11/2019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833,333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114,719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511,332</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Fidelis Cybersecurity,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$337.50/share,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 xml:space="preserve">expires 5/13/2031 </w:t>
            </w:r>
            <w:r>
              <w:rPr>
                <w:rFonts w:ascii="Arial" w:cs="Arial" w:eastAsia="Arial" w:hAnsi="Arial"/>
                <w:sz w:val="10"/>
                <w:szCs w:val="10"/>
                <w:color w:val="auto"/>
              </w:rPr>
              <w:t>(17)</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5/13/2021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FiscalNote,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10/19/2030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10/19/2020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194,673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438,014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2,232,569</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Gynesonics,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G Convertible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$0.04021/share,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11/19/2031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11/19/2021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16,786,869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128,142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INRIX,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$9.29/share,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7/26/2029</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7/26/2019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150,804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522,083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1,721,243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0.28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6"/>
              </w:rPr>
              <w:t>Intellisite Holdings, Inc. (dba Epic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Electronic</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Success fee, expires 12/17/2024</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IO Technologies, Inc.)</w:t>
            </w: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Equipment &amp;</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Instruments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12/17/2021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234,314</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40" w:type="dxa"/>
            <w:vAlign w:val="bottom"/>
            <w:gridSpan w:val="4"/>
          </w:tcPr>
          <w:p>
            <w:pPr>
              <w:spacing w:after="0" w:line="149" w:lineRule="exact"/>
              <w:rPr>
                <w:sz w:val="20"/>
                <w:szCs w:val="20"/>
                <w:color w:val="auto"/>
              </w:rPr>
            </w:pPr>
            <w:r>
              <w:rPr>
                <w:rFonts w:ascii="Arial" w:cs="Arial" w:eastAsia="Arial" w:hAnsi="Arial"/>
                <w:sz w:val="14"/>
                <w:szCs w:val="14"/>
                <w:color w:val="auto"/>
              </w:rPr>
              <w:t>JW Player)</w:t>
            </w: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$1.49/share,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12/12/2029</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12/12/2019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387,596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46,552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359,302</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Massdrop,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Computer &amp;</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Electronics</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Retail</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$1.1938/share, expires 7/22/2029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7/22/2019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848,093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183,188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185,467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w w:val="97"/>
              </w:rPr>
              <w:t>Mingle Healthcare Solutions,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AA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$0.24/share,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8/15/2028</w:t>
            </w: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1,625,000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492,375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3DNA Corp. (dba NationBuilder)</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C-1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$1.46432/share,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12/28/2028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12/28/2018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273,164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Porch Group,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Earnout, expires 12/23/2023 </w:t>
            </w:r>
            <w:r>
              <w:rPr>
                <w:rFonts w:ascii="Arial" w:cs="Arial" w:eastAsia="Arial" w:hAnsi="Arial"/>
                <w:sz w:val="10"/>
                <w:szCs w:val="10"/>
                <w:color w:val="auto"/>
              </w:rPr>
              <w:t>(16)</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12/23/2020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RealWear,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Hardware,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Storage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$4.4464/share, expires 10/5/2028</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10/5/2018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112,451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w w:val="98"/>
              </w:rPr>
              <w:t>$4.4464/share, expires 12/28/2028</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12/28/2018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22,491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25,248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$6.78/share,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6/27/2029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6/27/2019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123,894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380,850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Route 92 Medical,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6"/>
              </w:rPr>
              <w:t xml:space="preserve">Success fee, expires 8/17/2031 </w:t>
            </w:r>
            <w:r>
              <w:rPr>
                <w:rFonts w:ascii="Arial" w:cs="Arial" w:eastAsia="Arial" w:hAnsi="Arial"/>
                <w:sz w:val="10"/>
                <w:szCs w:val="10"/>
                <w:color w:val="auto"/>
                <w:w w:val="96"/>
              </w:rPr>
              <w:t>(14)</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Technology</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8/17/2021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248,118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261,443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Scale Computing,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System</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$0.8031/share,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3/29/2029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3/29/2019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9,665,667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Acquisition</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4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700" w:type="dxa"/>
            <w:vAlign w:val="bottom"/>
            <w:gridSpan w:val="2"/>
          </w:tcPr>
          <w:p>
            <w:pPr>
              <w:jc w:val="right"/>
              <w:ind w:right="268"/>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84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7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40" w:type="dxa"/>
            <w:vAlign w:val="bottom"/>
            <w:tcBorders>
              <w:top w:val="single" w:sz="8" w:color="auto"/>
            </w:tcBorders>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8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 (continued)</w:t>
            </w: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SetPoint Medical Corporation</w:t>
            </w:r>
          </w:p>
        </w:tc>
        <w:tc>
          <w:tcPr>
            <w:tcW w:w="10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B' Preferred</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$1.00/share,</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6/29/2031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6/29/2021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20,051</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5"/>
          </w:tcPr>
          <w:p>
            <w:pPr>
              <w:spacing w:after="0" w:line="130" w:lineRule="exact"/>
              <w:rPr>
                <w:sz w:val="20"/>
                <w:szCs w:val="20"/>
                <w:color w:val="auto"/>
              </w:rPr>
            </w:pPr>
            <w:r>
              <w:rPr>
                <w:rFonts w:ascii="Arial" w:cs="Arial" w:eastAsia="Arial" w:hAnsi="Arial"/>
                <w:sz w:val="14"/>
                <w:szCs w:val="14"/>
                <w:color w:val="auto"/>
              </w:rPr>
              <w:t>ShareThis, Inc.</w:t>
            </w:r>
          </w:p>
        </w:tc>
        <w:tc>
          <w:tcPr>
            <w:tcW w:w="1060" w:type="dxa"/>
            <w:vAlign w:val="bottom"/>
            <w:gridSpan w:val="3"/>
          </w:tcPr>
          <w:p>
            <w:pPr>
              <w:ind w:left="100"/>
              <w:spacing w:after="0" w:line="130" w:lineRule="exact"/>
              <w:rPr>
                <w:sz w:val="20"/>
                <w:szCs w:val="20"/>
                <w:color w:val="auto"/>
              </w:rPr>
            </w:pPr>
            <w:r>
              <w:rPr>
                <w:rFonts w:ascii="Arial" w:cs="Arial" w:eastAsia="Arial" w:hAnsi="Arial"/>
                <w:sz w:val="14"/>
                <w:szCs w:val="14"/>
                <w:color w:val="auto"/>
                <w:w w:val="91"/>
              </w:rPr>
              <w:t>Data Processing</w:t>
            </w: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D-3 Preferred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color w:val="auto"/>
              </w:rPr>
              <w:t>Services</w:t>
            </w: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$2.4320/share, expires 12/3/2028</w:t>
            </w:r>
          </w:p>
        </w:tc>
        <w:tc>
          <w:tcPr>
            <w:tcW w:w="740" w:type="dxa"/>
            <w:vAlign w:val="bottom"/>
          </w:tcPr>
          <w:p>
            <w:pPr>
              <w:jc w:val="right"/>
              <w:spacing w:after="0"/>
              <w:rPr>
                <w:sz w:val="20"/>
                <w:szCs w:val="20"/>
                <w:color w:val="auto"/>
              </w:rPr>
            </w:pPr>
            <w:r>
              <w:rPr>
                <w:rFonts w:ascii="Arial" w:cs="Arial" w:eastAsia="Arial" w:hAnsi="Arial"/>
                <w:sz w:val="14"/>
                <w:szCs w:val="14"/>
                <w:color w:val="auto"/>
              </w:rPr>
              <w:t>12/3/2018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647,615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2,162,000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2,162,000</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0.36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Snagajob.com, Inc.</w:t>
            </w:r>
          </w:p>
        </w:tc>
        <w:tc>
          <w:tcPr>
            <w:tcW w:w="10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Human</w:t>
            </w: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B-1 Preferred</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$1.30/share,</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Employment</w:t>
            </w: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expires 9/29/31</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9/29/2021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763,269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334,353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5"/>
          </w:tcPr>
          <w:p>
            <w:pPr>
              <w:spacing w:after="0" w:line="130" w:lineRule="exact"/>
              <w:rPr>
                <w:sz w:val="20"/>
                <w:szCs w:val="20"/>
                <w:color w:val="auto"/>
              </w:rPr>
            </w:pPr>
            <w:r>
              <w:rPr>
                <w:rFonts w:ascii="Arial" w:cs="Arial" w:eastAsia="Arial" w:hAnsi="Arial"/>
                <w:sz w:val="14"/>
                <w:szCs w:val="14"/>
                <w:color w:val="auto"/>
              </w:rPr>
              <w:t>STN Video Inc.</w:t>
            </w:r>
          </w:p>
        </w:tc>
        <w:tc>
          <w:tcPr>
            <w:tcW w:w="10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Advertising</w:t>
            </w: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Class B Non-Voting</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$0.67/share,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expires 6/30/2027</w:t>
            </w:r>
          </w:p>
        </w:tc>
        <w:tc>
          <w:tcPr>
            <w:tcW w:w="740" w:type="dxa"/>
            <w:vAlign w:val="bottom"/>
          </w:tcPr>
          <w:p>
            <w:pPr>
              <w:jc w:val="right"/>
              <w:spacing w:after="0"/>
              <w:rPr>
                <w:sz w:val="20"/>
                <w:szCs w:val="20"/>
                <w:color w:val="auto"/>
              </w:rPr>
            </w:pPr>
            <w:r>
              <w:rPr>
                <w:rFonts w:ascii="Arial" w:cs="Arial" w:eastAsia="Arial" w:hAnsi="Arial"/>
                <w:sz w:val="14"/>
                <w:szCs w:val="14"/>
                <w:color w:val="auto"/>
              </w:rPr>
              <w:t>6/30/2017</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191,500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246,461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VERO Biotech LLC</w:t>
            </w:r>
          </w:p>
        </w:tc>
        <w:tc>
          <w:tcPr>
            <w:tcW w:w="10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Success fee, expires 12/29/2025</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1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12/29/2020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376,500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485,311</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Borders>
              <w:bottom w:val="single" w:sz="8" w:color="CCEEFF"/>
            </w:tcBorders>
            <w:gridSpan w:val="5"/>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17,146,974</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20,087,550</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$ 3.32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gridSpan w:val="5"/>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Total Non-Control/Non-Affiliate</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647,448,895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655,384,403</w:t>
            </w: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$ 108.12</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w:t>
            </w:r>
          </w:p>
        </w:tc>
        <w:tc>
          <w:tcPr>
            <w:tcW w:w="1220" w:type="dxa"/>
            <w:vAlign w:val="bottom"/>
            <w:tcBorders>
              <w:top w:val="single" w:sz="8" w:color="auto"/>
              <w:bottom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U.S. Treasury</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U.S. Treasury Bill, 0.033%, due</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1/11/2022 </w:t>
            </w:r>
            <w:r>
              <w:rPr>
                <w:rFonts w:ascii="Arial" w:cs="Arial" w:eastAsia="Arial" w:hAnsi="Arial"/>
                <w:sz w:val="10"/>
                <w:szCs w:val="10"/>
                <w:color w:val="auto"/>
              </w:rPr>
              <w:t>(9)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12/30/2021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45,000,000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45,001,250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45,001,500</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Borders>
              <w:bottom w:val="single" w:sz="8" w:color="CCEEFF"/>
            </w:tcBorders>
            <w:gridSpan w:val="5"/>
          </w:tcPr>
          <w:p>
            <w:pPr>
              <w:spacing w:after="0" w:line="142" w:lineRule="exact"/>
              <w:rPr>
                <w:sz w:val="20"/>
                <w:szCs w:val="20"/>
                <w:color w:val="auto"/>
              </w:rPr>
            </w:pPr>
            <w:r>
              <w:rPr>
                <w:rFonts w:ascii="Arial" w:cs="Arial" w:eastAsia="Arial" w:hAnsi="Arial"/>
                <w:sz w:val="14"/>
                <w:szCs w:val="14"/>
                <w:b w:val="1"/>
                <w:bCs w:val="1"/>
                <w:color w:val="auto"/>
              </w:rPr>
              <w:t>Total U.S.Treasury</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45,001,250</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45,001,500</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Borders>
              <w:bottom w:val="single" w:sz="8" w:color="CCEEFF"/>
            </w:tcBorders>
            <w:gridSpan w:val="5"/>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Investments</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727,323,991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729,516,274</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120.34</w:t>
            </w:r>
          </w:p>
        </w:tc>
        <w:tc>
          <w:tcPr>
            <w:tcW w:w="14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660" w:hanging="328"/>
        <w:spacing w:after="0" w:line="238" w:lineRule="auto"/>
        <w:tabs>
          <w:tab w:leader="none" w:pos="660" w:val="left"/>
        </w:tabs>
        <w:numPr>
          <w:ilvl w:val="0"/>
          <w:numId w:val="6"/>
        </w:numPr>
        <w:rPr>
          <w:rFonts w:ascii="Arial" w:cs="Arial" w:eastAsia="Arial" w:hAnsi="Arial"/>
          <w:sz w:val="11"/>
          <w:szCs w:val="11"/>
          <w:color w:val="auto"/>
        </w:rPr>
      </w:pPr>
      <w:r>
        <w:rPr>
          <w:rFonts w:ascii="Arial" w:cs="Arial" w:eastAsia="Arial" w:hAnsi="Arial"/>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December 31, 2021, the 3-Month LIBOR was 0.21% and the U.S. Prime Rate was 3.25%.</w:t>
      </w:r>
    </w:p>
    <w:p>
      <w:pPr>
        <w:spacing w:after="0" w:line="47" w:lineRule="exact"/>
        <w:rPr>
          <w:rFonts w:ascii="Arial" w:cs="Arial" w:eastAsia="Arial" w:hAnsi="Arial"/>
          <w:sz w:val="11"/>
          <w:szCs w:val="11"/>
          <w:color w:val="auto"/>
        </w:rPr>
      </w:pPr>
    </w:p>
    <w:p>
      <w:pPr>
        <w:jc w:val="both"/>
        <w:ind w:left="660" w:hanging="328"/>
        <w:spacing w:after="0" w:line="238" w:lineRule="auto"/>
        <w:tabs>
          <w:tab w:leader="none" w:pos="660" w:val="left"/>
        </w:tabs>
        <w:numPr>
          <w:ilvl w:val="0"/>
          <w:numId w:val="6"/>
        </w:numPr>
        <w:rPr>
          <w:rFonts w:ascii="Arial" w:cs="Arial" w:eastAsia="Arial" w:hAnsi="Arial"/>
          <w:sz w:val="11"/>
          <w:szCs w:val="11"/>
          <w:color w:val="auto"/>
        </w:rPr>
      </w:pPr>
      <w:r>
        <w:rPr>
          <w:rFonts w:ascii="Arial" w:cs="Arial" w:eastAsia="Arial" w:hAnsi="Arial"/>
          <w:sz w:val="14"/>
          <w:szCs w:val="14"/>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Company’s Board of Directors.</w:t>
      </w:r>
    </w:p>
    <w:p>
      <w:pPr>
        <w:spacing w:after="0" w:line="34" w:lineRule="exact"/>
        <w:rPr>
          <w:rFonts w:ascii="Arial" w:cs="Arial" w:eastAsia="Arial" w:hAnsi="Arial"/>
          <w:sz w:val="11"/>
          <w:szCs w:val="11"/>
          <w:color w:val="auto"/>
        </w:rPr>
      </w:pPr>
    </w:p>
    <w:p>
      <w:pPr>
        <w:jc w:val="both"/>
        <w:ind w:left="660" w:hanging="328"/>
        <w:spacing w:after="0" w:line="255" w:lineRule="auto"/>
        <w:tabs>
          <w:tab w:leader="none" w:pos="660" w:val="left"/>
        </w:tabs>
        <w:numPr>
          <w:ilvl w:val="0"/>
          <w:numId w:val="6"/>
        </w:numPr>
        <w:rPr>
          <w:rFonts w:ascii="Arial" w:cs="Arial" w:eastAsia="Arial" w:hAnsi="Arial"/>
          <w:sz w:val="10"/>
          <w:szCs w:val="10"/>
          <w:color w:val="auto"/>
        </w:rPr>
      </w:pPr>
      <w:r>
        <w:rPr>
          <w:rFonts w:ascii="Arial" w:cs="Arial" w:eastAsia="Arial" w:hAnsi="Arial"/>
          <w:sz w:val="13"/>
          <w:szCs w:val="13"/>
          <w:color w:val="auto"/>
        </w:rPr>
        <w:t>Investment is not a qualifying asset as defined under Section 55(a) of the Investment Company Act of 1940, as amended (the “1940 Act”). Non-qualifying assets at fair value represent 12.35% of total assets as of December 31, 2021.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26" w:lineRule="exact"/>
        <w:rPr>
          <w:rFonts w:ascii="Arial" w:cs="Arial" w:eastAsia="Arial" w:hAnsi="Arial"/>
          <w:sz w:val="10"/>
          <w:szCs w:val="10"/>
          <w:color w:val="auto"/>
        </w:rPr>
      </w:pPr>
    </w:p>
    <w:p>
      <w:pPr>
        <w:ind w:left="660" w:hanging="328"/>
        <w:spacing w:after="0"/>
        <w:tabs>
          <w:tab w:leader="none" w:pos="660" w:val="left"/>
        </w:tabs>
        <w:numPr>
          <w:ilvl w:val="0"/>
          <w:numId w:val="6"/>
        </w:numPr>
        <w:rPr>
          <w:rFonts w:ascii="Arial" w:cs="Arial" w:eastAsia="Arial" w:hAnsi="Arial"/>
          <w:sz w:val="11"/>
          <w:szCs w:val="11"/>
          <w:color w:val="auto"/>
        </w:rPr>
      </w:pPr>
      <w:r>
        <w:rPr>
          <w:rFonts w:ascii="Arial" w:cs="Arial" w:eastAsia="Arial" w:hAnsi="Arial"/>
          <w:sz w:val="14"/>
          <w:szCs w:val="14"/>
          <w:color w:val="auto"/>
        </w:rPr>
        <w:t>Represents a PIK security. PIK interest is accrued and will be paid at maturity.</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6"/>
        </w:numPr>
        <w:rPr>
          <w:rFonts w:ascii="Arial" w:cs="Arial" w:eastAsia="Arial" w:hAnsi="Arial"/>
          <w:sz w:val="11"/>
          <w:szCs w:val="11"/>
          <w:color w:val="auto"/>
        </w:rPr>
      </w:pPr>
      <w:r>
        <w:rPr>
          <w:rFonts w:ascii="Arial" w:cs="Arial" w:eastAsia="Arial" w:hAnsi="Arial"/>
          <w:sz w:val="14"/>
          <w:szCs w:val="14"/>
          <w:color w:val="auto"/>
        </w:rPr>
        <w:t>Disclosures of end-of-term-payments (“ETP”) are one-time payments stated as a percentage of original principal amount.</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6"/>
        </w:numPr>
        <w:rPr>
          <w:rFonts w:ascii="Arial" w:cs="Arial" w:eastAsia="Arial" w:hAnsi="Arial"/>
          <w:sz w:val="11"/>
          <w:szCs w:val="11"/>
          <w:color w:val="auto"/>
        </w:rPr>
      </w:pPr>
      <w:r>
        <w:rPr>
          <w:rFonts w:ascii="Arial" w:cs="Arial" w:eastAsia="Arial" w:hAnsi="Arial"/>
          <w:sz w:val="14"/>
          <w:szCs w:val="14"/>
          <w:color w:val="auto"/>
        </w:rPr>
        <w:t>Investments are held at Fair Value net of the Fair Value of Unfunded Commitments. See Note 3 for additional detail.</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6"/>
        </w:numPr>
        <w:rPr>
          <w:rFonts w:ascii="Arial" w:cs="Arial" w:eastAsia="Arial" w:hAnsi="Arial"/>
          <w:sz w:val="11"/>
          <w:szCs w:val="11"/>
          <w:color w:val="auto"/>
        </w:rPr>
      </w:pPr>
      <w:r>
        <w:rPr>
          <w:rFonts w:ascii="Arial" w:cs="Arial" w:eastAsia="Arial" w:hAnsi="Arial"/>
          <w:sz w:val="14"/>
          <w:szCs w:val="14"/>
          <w:color w:val="auto"/>
        </w:rPr>
        <w:t>Investments are non-income producing.</w:t>
      </w:r>
    </w:p>
    <w:p>
      <w:pPr>
        <w:spacing w:after="0" w:line="41"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6"/>
        </w:numPr>
        <w:rPr>
          <w:rFonts w:ascii="Arial" w:cs="Arial" w:eastAsia="Arial" w:hAnsi="Arial"/>
          <w:sz w:val="11"/>
          <w:szCs w:val="11"/>
          <w:color w:val="auto"/>
        </w:rPr>
      </w:pPr>
      <w:r>
        <w:rPr>
          <w:rFonts w:ascii="Arial" w:cs="Arial" w:eastAsia="Arial" w:hAnsi="Arial"/>
          <w:sz w:val="14"/>
          <w:szCs w:val="14"/>
          <w:color w:val="auto"/>
        </w:rPr>
        <w:t>The Credit Agreement (as defined in Note 10) is secured by a perfected first priority security interest in each of the Company’s senior secured term loan investments, except for Pivot3 Holdings, Inc., Marley Spoon AG, Mojix, Inc., and The Kairn Corporation senior secured term loans.</w:t>
      </w:r>
    </w:p>
    <w:p>
      <w:pPr>
        <w:spacing w:after="0" w:line="11" w:lineRule="exact"/>
        <w:rPr>
          <w:rFonts w:ascii="Arial" w:cs="Arial" w:eastAsia="Arial" w:hAnsi="Arial"/>
          <w:sz w:val="11"/>
          <w:szCs w:val="11"/>
          <w:color w:val="auto"/>
        </w:rPr>
      </w:pPr>
    </w:p>
    <w:p>
      <w:pPr>
        <w:jc w:val="both"/>
        <w:ind w:left="660" w:hanging="328"/>
        <w:spacing w:after="0" w:line="238" w:lineRule="auto"/>
        <w:tabs>
          <w:tab w:leader="none" w:pos="660" w:val="left"/>
        </w:tabs>
        <w:numPr>
          <w:ilvl w:val="0"/>
          <w:numId w:val="6"/>
        </w:numPr>
        <w:rPr>
          <w:rFonts w:ascii="Arial" w:cs="Arial" w:eastAsia="Arial" w:hAnsi="Arial"/>
          <w:sz w:val="11"/>
          <w:szCs w:val="11"/>
          <w:color w:val="auto"/>
        </w:rPr>
      </w:pPr>
      <w:r>
        <w:rPr>
          <w:rFonts w:ascii="Arial" w:cs="Arial" w:eastAsia="Arial" w:hAnsi="Arial"/>
          <w:sz w:val="14"/>
          <w:szCs w:val="14"/>
          <w:color w:val="auto"/>
        </w:rPr>
        <w:t>Treasury bill with $45,000,000 par value purchased pursuant to a 0.25% reverse repurchase agreement with Goldman Sachs, dated December 30, 2021, due January 6, 2022, with a repurchase price of $44,774,963 collateralized by a 0.033% U.S. Treasury Bill due January 11, 2022 with a par value of $45,000,000 and fair value of $45,001,560.</w:t>
      </w:r>
    </w:p>
    <w:p>
      <w:pPr>
        <w:spacing w:after="0" w:line="20" w:lineRule="exact"/>
        <w:rPr>
          <w:rFonts w:ascii="Arial" w:cs="Arial" w:eastAsia="Arial" w:hAnsi="Arial"/>
          <w:sz w:val="11"/>
          <w:szCs w:val="11"/>
          <w:color w:val="auto"/>
        </w:rPr>
      </w:pPr>
    </w:p>
    <w:p>
      <w:pPr>
        <w:ind w:left="660" w:hanging="328"/>
        <w:spacing w:after="0"/>
        <w:tabs>
          <w:tab w:leader="none" w:pos="660" w:val="left"/>
        </w:tabs>
        <w:numPr>
          <w:ilvl w:val="0"/>
          <w:numId w:val="6"/>
        </w:numPr>
        <w:rPr>
          <w:rFonts w:ascii="Arial" w:cs="Arial" w:eastAsia="Arial" w:hAnsi="Arial"/>
          <w:sz w:val="11"/>
          <w:szCs w:val="11"/>
          <w:color w:val="auto"/>
        </w:rPr>
      </w:pPr>
      <w:r>
        <w:rPr>
          <w:rFonts w:ascii="Arial" w:cs="Arial" w:eastAsia="Arial" w:hAnsi="Arial"/>
          <w:sz w:val="14"/>
          <w:szCs w:val="14"/>
          <w:color w:val="auto"/>
        </w:rPr>
        <w:t>All investments are domiciled in the United States, unless otherwise noted.</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6"/>
        </w:numPr>
        <w:rPr>
          <w:rFonts w:ascii="Arial" w:cs="Arial" w:eastAsia="Arial" w:hAnsi="Arial"/>
          <w:sz w:val="11"/>
          <w:szCs w:val="11"/>
          <w:color w:val="auto"/>
        </w:rPr>
      </w:pPr>
      <w:r>
        <w:rPr>
          <w:rFonts w:ascii="Arial" w:cs="Arial" w:eastAsia="Arial" w:hAnsi="Arial"/>
          <w:sz w:val="14"/>
          <w:szCs w:val="14"/>
          <w:color w:val="auto"/>
        </w:rPr>
        <w:t>Investment is domiciled in Canada.</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6"/>
        </w:numPr>
        <w:rPr>
          <w:rFonts w:ascii="Arial" w:cs="Arial" w:eastAsia="Arial" w:hAnsi="Arial"/>
          <w:sz w:val="11"/>
          <w:szCs w:val="11"/>
          <w:color w:val="auto"/>
        </w:rPr>
      </w:pPr>
      <w:r>
        <w:rPr>
          <w:rFonts w:ascii="Arial" w:cs="Arial" w:eastAsia="Arial" w:hAnsi="Arial"/>
          <w:sz w:val="14"/>
          <w:szCs w:val="14"/>
          <w:color w:val="auto"/>
        </w:rPr>
        <w:t>Investment is domiciled in Germany.</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6"/>
        </w:numPr>
        <w:rPr>
          <w:rFonts w:ascii="Arial" w:cs="Arial" w:eastAsia="Arial" w:hAnsi="Arial"/>
          <w:sz w:val="11"/>
          <w:szCs w:val="11"/>
          <w:color w:val="auto"/>
        </w:rPr>
      </w:pPr>
      <w:r>
        <w:rPr>
          <w:rFonts w:ascii="Arial" w:cs="Arial" w:eastAsia="Arial" w:hAnsi="Arial"/>
          <w:sz w:val="14"/>
          <w:szCs w:val="14"/>
          <w:color w:val="auto"/>
        </w:rPr>
        <w:t>Investment is domiciled in the United Kingdom.</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r>
        <w:rPr>
          <w:rFonts w:ascii="Arial" w:cs="Arial" w:eastAsia="Arial" w:hAnsi="Arial"/>
          <w:sz w:val="14"/>
          <w:szCs w:val="14"/>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0" w:lineRule="exact"/>
        <w:rPr>
          <w:sz w:val="20"/>
          <w:szCs w:val="20"/>
          <w:color w:val="auto"/>
        </w:rPr>
      </w:pPr>
    </w:p>
    <w:p>
      <w:pPr>
        <w:spacing w:after="0" w:line="20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1"/>
          <w:szCs w:val="11"/>
          <w:color w:val="auto"/>
        </w:rPr>
      </w:pPr>
      <w:r>
        <w:rPr>
          <w:rFonts w:ascii="Arial" w:cs="Arial" w:eastAsia="Arial" w:hAnsi="Arial"/>
          <w:sz w:val="14"/>
          <w:szCs w:val="14"/>
          <w:color w:val="auto"/>
        </w:rPr>
        <w:t>Investment is either a cash success fee payable or earnout of shares based on the consummation of certain trigger events.</w:t>
      </w:r>
    </w:p>
    <w:p>
      <w:pPr>
        <w:spacing w:after="0" w:line="41"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7"/>
        </w:numPr>
        <w:rPr>
          <w:rFonts w:ascii="Arial" w:cs="Arial" w:eastAsia="Arial" w:hAnsi="Arial"/>
          <w:sz w:val="11"/>
          <w:szCs w:val="11"/>
          <w:color w:val="auto"/>
        </w:rPr>
      </w:pPr>
      <w:r>
        <w:rPr>
          <w:rFonts w:ascii="Arial" w:cs="Arial" w:eastAsia="Arial" w:hAnsi="Arial"/>
          <w:sz w:val="14"/>
          <w:szCs w:val="14"/>
          <w:color w:val="auto"/>
        </w:rPr>
        <w:t>Control investment, as defined under the 1940 Act, in which the Company owns more than 25% of the investment’s voting securities or has greater than 50% representation on its board.</w:t>
      </w:r>
    </w:p>
    <w:p>
      <w:pPr>
        <w:spacing w:after="0" w:line="11" w:lineRule="exact"/>
        <w:rPr>
          <w:rFonts w:ascii="Arial" w:cs="Arial" w:eastAsia="Arial" w:hAnsi="Arial"/>
          <w:sz w:val="11"/>
          <w:szCs w:val="11"/>
          <w:color w:val="auto"/>
        </w:rPr>
      </w:pPr>
    </w:p>
    <w:p>
      <w:pPr>
        <w:ind w:left="660" w:hanging="328"/>
        <w:spacing w:after="0"/>
        <w:tabs>
          <w:tab w:leader="none" w:pos="660" w:val="left"/>
        </w:tabs>
        <w:numPr>
          <w:ilvl w:val="0"/>
          <w:numId w:val="7"/>
        </w:numPr>
        <w:rPr>
          <w:rFonts w:ascii="Arial" w:cs="Arial" w:eastAsia="Arial" w:hAnsi="Arial"/>
          <w:sz w:val="11"/>
          <w:szCs w:val="11"/>
          <w:color w:val="auto"/>
        </w:rPr>
      </w:pPr>
      <w:r>
        <w:rPr>
          <w:rFonts w:ascii="Arial" w:cs="Arial" w:eastAsia="Arial" w:hAnsi="Arial"/>
          <w:sz w:val="14"/>
          <w:szCs w:val="14"/>
          <w:color w:val="auto"/>
        </w:rPr>
        <w:t>Investment is publicly traded and listed on NASDAQ.</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7"/>
        </w:numPr>
        <w:rPr>
          <w:rFonts w:ascii="Arial" w:cs="Arial" w:eastAsia="Arial" w:hAnsi="Arial"/>
          <w:sz w:val="11"/>
          <w:szCs w:val="11"/>
          <w:color w:val="auto"/>
        </w:rPr>
      </w:pPr>
      <w:r>
        <w:rPr>
          <w:rFonts w:ascii="Arial" w:cs="Arial" w:eastAsia="Arial" w:hAnsi="Arial"/>
          <w:sz w:val="14"/>
          <w:szCs w:val="14"/>
          <w:color w:val="auto"/>
        </w:rPr>
        <w:t>The warrant count is based upon a percentage of ownership of Fidelis Cybersecurity, Inc.</w:t>
      </w:r>
    </w:p>
    <w:p>
      <w:pPr>
        <w:spacing w:after="0" w:line="41" w:lineRule="exact"/>
        <w:rPr>
          <w:rFonts w:ascii="Arial" w:cs="Arial" w:eastAsia="Arial" w:hAnsi="Arial"/>
          <w:sz w:val="11"/>
          <w:szCs w:val="11"/>
          <w:color w:val="auto"/>
        </w:rPr>
      </w:pPr>
    </w:p>
    <w:p>
      <w:pPr>
        <w:jc w:val="both"/>
        <w:ind w:left="660" w:hanging="328"/>
        <w:spacing w:after="0" w:line="238" w:lineRule="auto"/>
        <w:tabs>
          <w:tab w:leader="none" w:pos="660" w:val="left"/>
        </w:tabs>
        <w:numPr>
          <w:ilvl w:val="0"/>
          <w:numId w:val="7"/>
        </w:numPr>
        <w:rPr>
          <w:rFonts w:ascii="Arial" w:cs="Arial" w:eastAsia="Arial" w:hAnsi="Arial"/>
          <w:sz w:val="11"/>
          <w:szCs w:val="11"/>
          <w:color w:val="auto"/>
        </w:rPr>
      </w:pPr>
      <w:r>
        <w:rPr>
          <w:rFonts w:ascii="Arial" w:cs="Arial" w:eastAsia="Arial" w:hAnsi="Arial"/>
          <w:sz w:val="14"/>
          <w:szCs w:val="14"/>
          <w:color w:val="auto"/>
        </w:rPr>
        <w:t>As a result of Brilliant Earth Group Inc.'s (the Public Company) IPO through an Up-C structure, the Company received a share of Class B common stock in Brilliant Earth Group, Inc. for every Class P unit it held in Brilliant Earth, LLC. On a one-to-one basis, both the Class B common stock and Class P unit can be surrendered for Class A common stock in the Public Company.</w:t>
      </w:r>
    </w:p>
    <w:p>
      <w:pPr>
        <w:spacing w:after="0" w:line="20" w:lineRule="exact"/>
        <w:rPr>
          <w:rFonts w:ascii="Arial" w:cs="Arial" w:eastAsia="Arial" w:hAnsi="Arial"/>
          <w:sz w:val="11"/>
          <w:szCs w:val="11"/>
          <w:color w:val="auto"/>
        </w:rPr>
      </w:pPr>
    </w:p>
    <w:p>
      <w:pPr>
        <w:ind w:left="660" w:hanging="328"/>
        <w:spacing w:after="0"/>
        <w:tabs>
          <w:tab w:leader="none" w:pos="660" w:val="left"/>
        </w:tabs>
        <w:numPr>
          <w:ilvl w:val="0"/>
          <w:numId w:val="7"/>
        </w:numPr>
        <w:rPr>
          <w:rFonts w:ascii="Arial" w:cs="Arial" w:eastAsia="Arial" w:hAnsi="Arial"/>
          <w:sz w:val="11"/>
          <w:szCs w:val="11"/>
          <w:color w:val="auto"/>
        </w:rPr>
      </w:pPr>
      <w:r>
        <w:rPr>
          <w:rFonts w:ascii="Arial" w:cs="Arial" w:eastAsia="Arial" w:hAnsi="Arial"/>
          <w:sz w:val="14"/>
          <w:szCs w:val="14"/>
          <w:color w:val="auto"/>
        </w:rPr>
        <w:t>Investment is not a “restricted security” under the Securities Act.</w:t>
      </w:r>
    </w:p>
    <w:p>
      <w:pPr>
        <w:spacing w:after="0" w:line="24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19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classifies its investment portfolio in accordance with the requirements of the 1940 Act. Control investments are investments in which the Company owns more than 25% of the voting securities or maintains greater than 50% of the board representation. Affiliate investments are investments in which the Company owns between 5% and 25% (inclusive) of the voting securities and does not have rights to maintain greater than 50% of the board representation. The Company’s affiliate and control investments as of December 31, 2021, along with the transactions during the year ended December 31, 2021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8"/>
          </w:tcPr>
          <w:p>
            <w:pPr>
              <w:jc w:val="center"/>
              <w:ind w:left="177"/>
              <w:spacing w:after="0"/>
              <w:rPr>
                <w:sz w:val="20"/>
                <w:szCs w:val="20"/>
                <w:color w:val="auto"/>
              </w:rPr>
            </w:pPr>
            <w:r>
              <w:rPr>
                <w:rFonts w:ascii="Arial" w:cs="Arial" w:eastAsia="Arial" w:hAnsi="Arial"/>
                <w:sz w:val="13"/>
                <w:szCs w:val="13"/>
                <w:b w:val="1"/>
                <w:bCs w:val="1"/>
                <w:color w:val="auto"/>
                <w:w w:val="88"/>
              </w:rPr>
              <w:t>For the Year Ended December 31, 2021</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Net Change in</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Fair Value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7"/>
              </w:rPr>
              <w:t>Net Realized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88"/>
              </w:rPr>
              <w:t>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Fair Value</w:t>
            </w:r>
          </w:p>
        </w:tc>
      </w:tr>
      <w:tr>
        <w:trPr>
          <w:trHeight w:val="135"/>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as of</w:t>
            </w: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79"/>
              </w:rPr>
              <w:t>Gross</w:t>
            </w:r>
          </w:p>
        </w:tc>
        <w:tc>
          <w:tcPr>
            <w:tcW w:w="80" w:type="dxa"/>
            <w:vAlign w:val="bottom"/>
          </w:tcPr>
          <w:p>
            <w:pPr>
              <w:spacing w:after="0"/>
              <w:rPr>
                <w:sz w:val="11"/>
                <w:szCs w:val="11"/>
                <w:color w:val="auto"/>
              </w:rPr>
            </w:pPr>
          </w:p>
        </w:tc>
        <w:tc>
          <w:tcPr>
            <w:tcW w:w="70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1"/>
                <w:szCs w:val="11"/>
                <w:color w:val="auto"/>
              </w:rPr>
            </w:pPr>
          </w:p>
        </w:tc>
        <w:tc>
          <w:tcPr>
            <w:tcW w:w="6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2"/>
              </w:rPr>
              <w:t>Gains</w:t>
            </w:r>
          </w:p>
        </w:tc>
        <w:tc>
          <w:tcPr>
            <w:tcW w:w="6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Appreciation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397"/>
              <w:spacing w:after="0" w:line="135" w:lineRule="exact"/>
              <w:rPr>
                <w:sz w:val="20"/>
                <w:szCs w:val="20"/>
                <w:color w:val="auto"/>
              </w:rPr>
            </w:pPr>
            <w:r>
              <w:rPr>
                <w:rFonts w:ascii="Arial" w:cs="Arial" w:eastAsia="Arial" w:hAnsi="Arial"/>
                <w:sz w:val="13"/>
                <w:szCs w:val="13"/>
                <w:b w:val="1"/>
                <w:bCs w:val="1"/>
                <w:color w:val="auto"/>
              </w:rPr>
              <w:t>as of</w:t>
            </w:r>
          </w:p>
        </w:tc>
      </w:tr>
      <w:tr>
        <w:trPr>
          <w:trHeight w:val="153"/>
        </w:trPr>
        <w:tc>
          <w:tcPr>
            <w:tcW w:w="2180" w:type="dxa"/>
            <w:vAlign w:val="bottom"/>
            <w:gridSpan w:val="3"/>
          </w:tcPr>
          <w:p>
            <w:pPr>
              <w:spacing w:after="0" w:line="154" w:lineRule="exact"/>
              <w:rPr>
                <w:sz w:val="20"/>
                <w:szCs w:val="20"/>
                <w:color w:val="auto"/>
              </w:rPr>
            </w:pPr>
            <w:r>
              <w:rPr>
                <w:rFonts w:ascii="Arial" w:cs="Arial" w:eastAsia="Arial" w:hAnsi="Arial"/>
                <w:sz w:val="12"/>
                <w:szCs w:val="12"/>
                <w:b w:val="1"/>
                <w:bCs w:val="1"/>
                <w:color w:val="auto"/>
              </w:rPr>
              <w:t>Portfolio Company</w:t>
            </w:r>
            <w:r>
              <w:rPr>
                <w:rFonts w:ascii="Arial" w:cs="Arial" w:eastAsia="Arial" w:hAnsi="Arial"/>
                <w:sz w:val="17"/>
                <w:szCs w:val="17"/>
                <w:b w:val="1"/>
                <w:bCs w:val="1"/>
                <w:color w:val="auto"/>
                <w:vertAlign w:val="superscript"/>
              </w:rPr>
              <w:t>(4)</w:t>
            </w:r>
          </w:p>
        </w:tc>
        <w:tc>
          <w:tcPr>
            <w:tcW w:w="2080" w:type="dxa"/>
            <w:vAlign w:val="bottom"/>
            <w:gridSpan w:val="2"/>
          </w:tcPr>
          <w:p>
            <w:pPr>
              <w:spacing w:after="0"/>
              <w:rPr>
                <w:sz w:val="20"/>
                <w:szCs w:val="20"/>
                <w:color w:val="auto"/>
              </w:rPr>
            </w:pPr>
            <w:r>
              <w:rPr>
                <w:rFonts w:ascii="Arial" w:cs="Arial" w:eastAsia="Arial" w:hAnsi="Arial"/>
                <w:sz w:val="13"/>
                <w:szCs w:val="13"/>
                <w:b w:val="1"/>
                <w:bCs w:val="1"/>
                <w:color w:val="auto"/>
              </w:rPr>
              <w:t>Investment Description</w:t>
            </w:r>
          </w:p>
        </w:tc>
        <w:tc>
          <w:tcPr>
            <w:tcW w:w="10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Arial" w:cs="Arial" w:eastAsia="Arial" w:hAnsi="Arial"/>
                <w:sz w:val="13"/>
                <w:szCs w:val="13"/>
                <w:b w:val="1"/>
                <w:bCs w:val="1"/>
                <w:color w:val="auto"/>
                <w:w w:val="93"/>
              </w:rPr>
              <w:t>December 31, 2020</w:t>
            </w:r>
          </w:p>
        </w:tc>
        <w:tc>
          <w:tcPr>
            <w:tcW w:w="840" w:type="dxa"/>
            <w:vAlign w:val="bottom"/>
            <w:gridSpan w:val="3"/>
          </w:tcPr>
          <w:p>
            <w:pPr>
              <w:jc w:val="center"/>
              <w:ind w:right="100"/>
              <w:spacing w:after="0" w:line="154" w:lineRule="exact"/>
              <w:rPr>
                <w:sz w:val="20"/>
                <w:szCs w:val="20"/>
                <w:color w:val="auto"/>
              </w:rPr>
            </w:pPr>
            <w:r>
              <w:rPr>
                <w:rFonts w:ascii="Arial" w:cs="Arial" w:eastAsia="Arial" w:hAnsi="Arial"/>
                <w:sz w:val="12"/>
                <w:szCs w:val="12"/>
                <w:b w:val="1"/>
                <w:bCs w:val="1"/>
                <w:color w:val="auto"/>
                <w:w w:val="89"/>
              </w:rPr>
              <w:t>Additions</w:t>
            </w:r>
            <w:r>
              <w:rPr>
                <w:rFonts w:ascii="Arial" w:cs="Arial" w:eastAsia="Arial" w:hAnsi="Arial"/>
                <w:sz w:val="17"/>
                <w:szCs w:val="17"/>
                <w:b w:val="1"/>
                <w:bCs w:val="1"/>
                <w:color w:val="auto"/>
                <w:w w:val="89"/>
                <w:vertAlign w:val="superscript"/>
              </w:rPr>
              <w:t>(1)</w:t>
            </w:r>
          </w:p>
        </w:tc>
        <w:tc>
          <w:tcPr>
            <w:tcW w:w="780" w:type="dxa"/>
            <w:vAlign w:val="bottom"/>
            <w:gridSpan w:val="3"/>
          </w:tcPr>
          <w:p>
            <w:pPr>
              <w:spacing w:after="0" w:line="154" w:lineRule="exact"/>
              <w:rPr>
                <w:sz w:val="20"/>
                <w:szCs w:val="20"/>
                <w:color w:val="auto"/>
              </w:rPr>
            </w:pPr>
            <w:r>
              <w:rPr>
                <w:rFonts w:ascii="Arial" w:cs="Arial" w:eastAsia="Arial" w:hAnsi="Arial"/>
                <w:sz w:val="12"/>
                <w:szCs w:val="12"/>
                <w:b w:val="1"/>
                <w:bCs w:val="1"/>
                <w:color w:val="auto"/>
                <w:w w:val="95"/>
              </w:rPr>
              <w:t>Reductions</w:t>
            </w:r>
            <w:r>
              <w:rPr>
                <w:rFonts w:ascii="Arial" w:cs="Arial" w:eastAsia="Arial" w:hAnsi="Arial"/>
                <w:sz w:val="17"/>
                <w:szCs w:val="17"/>
                <w:b w:val="1"/>
                <w:bCs w:val="1"/>
                <w:color w:val="auto"/>
                <w:w w:val="95"/>
                <w:vertAlign w:val="superscript"/>
              </w:rPr>
              <w:t>(2)</w:t>
            </w:r>
          </w:p>
        </w:tc>
        <w:tc>
          <w:tcPr>
            <w:tcW w:w="100" w:type="dxa"/>
            <w:vAlign w:val="bottom"/>
          </w:tcPr>
          <w:p>
            <w:pPr>
              <w:spacing w:after="0"/>
              <w:rPr>
                <w:sz w:val="13"/>
                <w:szCs w:val="13"/>
                <w:color w:val="auto"/>
              </w:rPr>
            </w:pPr>
          </w:p>
        </w:tc>
        <w:tc>
          <w:tcPr>
            <w:tcW w:w="600" w:type="dxa"/>
            <w:vAlign w:val="bottom"/>
          </w:tcPr>
          <w:p>
            <w:pPr>
              <w:jc w:val="center"/>
              <w:ind w:right="37"/>
              <w:spacing w:after="0"/>
              <w:rPr>
                <w:sz w:val="20"/>
                <w:szCs w:val="20"/>
                <w:color w:val="auto"/>
              </w:rPr>
            </w:pPr>
            <w:r>
              <w:rPr>
                <w:rFonts w:ascii="Arial" w:cs="Arial" w:eastAsia="Arial" w:hAnsi="Arial"/>
                <w:sz w:val="13"/>
                <w:szCs w:val="13"/>
                <w:b w:val="1"/>
                <w:bCs w:val="1"/>
                <w:color w:val="auto"/>
                <w:w w:val="78"/>
              </w:rPr>
              <w:t>(Losses)</w:t>
            </w:r>
          </w:p>
        </w:tc>
        <w:tc>
          <w:tcPr>
            <w:tcW w:w="6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(Depreciation)</w:t>
            </w:r>
          </w:p>
        </w:tc>
        <w:tc>
          <w:tcPr>
            <w:tcW w:w="20" w:type="dxa"/>
            <w:vAlign w:val="bottom"/>
          </w:tcPr>
          <w:p>
            <w:pPr>
              <w:spacing w:after="0"/>
              <w:rPr>
                <w:sz w:val="13"/>
                <w:szCs w:val="13"/>
                <w:color w:val="auto"/>
              </w:rPr>
            </w:pPr>
          </w:p>
        </w:tc>
        <w:tc>
          <w:tcPr>
            <w:tcW w:w="114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w w:val="91"/>
              </w:rPr>
              <w:t>December 31, 2021</w:t>
            </w:r>
            <w:r>
              <w:rPr>
                <w:rFonts w:ascii="Arial" w:cs="Arial" w:eastAsia="Arial" w:hAnsi="Arial"/>
                <w:sz w:val="17"/>
                <w:szCs w:val="17"/>
                <w:b w:val="1"/>
                <w:bCs w:val="1"/>
                <w:color w:val="auto"/>
                <w:w w:val="91"/>
                <w:vertAlign w:val="superscript"/>
              </w:rPr>
              <w:t>(3)</w:t>
            </w:r>
          </w:p>
        </w:tc>
      </w:tr>
      <w:tr>
        <w:trPr>
          <w:trHeight w:val="129"/>
        </w:trPr>
        <w:tc>
          <w:tcPr>
            <w:tcW w:w="20" w:type="dxa"/>
            <w:vAlign w:val="bottom"/>
          </w:tcPr>
          <w:p>
            <w:pPr>
              <w:spacing w:after="0"/>
              <w:rPr>
                <w:sz w:val="11"/>
                <w:szCs w:val="11"/>
                <w:color w:val="auto"/>
              </w:rPr>
            </w:pPr>
          </w:p>
        </w:tc>
        <w:tc>
          <w:tcPr>
            <w:tcW w:w="20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Control Investments</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Senior Secured Term Loans</w:t>
            </w:r>
          </w:p>
        </w:tc>
        <w:tc>
          <w:tcPr>
            <w:tcW w:w="3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21"/>
        </w:trPr>
        <w:tc>
          <w:tcPr>
            <w:tcW w:w="20" w:type="dxa"/>
            <w:vAlign w:val="bottom"/>
          </w:tcPr>
          <w:p>
            <w:pPr>
              <w:spacing w:after="0"/>
              <w:rPr>
                <w:sz w:val="10"/>
                <w:szCs w:val="10"/>
                <w:color w:val="auto"/>
              </w:rPr>
            </w:pPr>
          </w:p>
        </w:tc>
        <w:tc>
          <w:tcPr>
            <w:tcW w:w="2160" w:type="dxa"/>
            <w:vAlign w:val="bottom"/>
            <w:gridSpan w:val="2"/>
          </w:tcPr>
          <w:p>
            <w:pPr>
              <w:spacing w:after="0" w:line="121" w:lineRule="exact"/>
              <w:rPr>
                <w:sz w:val="20"/>
                <w:szCs w:val="20"/>
                <w:color w:val="auto"/>
              </w:rPr>
            </w:pPr>
            <w:r>
              <w:rPr>
                <w:rFonts w:ascii="Arial" w:cs="Arial" w:eastAsia="Arial" w:hAnsi="Arial"/>
                <w:sz w:val="13"/>
                <w:szCs w:val="13"/>
                <w:color w:val="auto"/>
              </w:rPr>
              <w:t>Mojix, Inc.</w:t>
            </w:r>
          </w:p>
        </w:tc>
        <w:tc>
          <w:tcPr>
            <w:tcW w:w="2080" w:type="dxa"/>
            <w:vAlign w:val="bottom"/>
            <w:gridSpan w:val="2"/>
          </w:tcPr>
          <w:p>
            <w:pPr>
              <w:spacing w:after="0" w:line="121" w:lineRule="exact"/>
              <w:rPr>
                <w:sz w:val="20"/>
                <w:szCs w:val="20"/>
                <w:color w:val="auto"/>
              </w:rPr>
            </w:pPr>
            <w:r>
              <w:rPr>
                <w:rFonts w:ascii="Arial" w:cs="Arial" w:eastAsia="Arial" w:hAnsi="Arial"/>
                <w:sz w:val="13"/>
                <w:szCs w:val="13"/>
                <w:color w:val="auto"/>
                <w:w w:val="90"/>
              </w:rPr>
              <w:t>Tranche I: LIBOR+12.00% PIK, 12.00%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spacing w:after="0" w:line="150" w:lineRule="exact"/>
              <w:rPr>
                <w:sz w:val="20"/>
                <w:szCs w:val="20"/>
                <w:color w:val="auto"/>
              </w:rPr>
            </w:pPr>
            <w:r>
              <w:rPr>
                <w:rFonts w:ascii="Arial" w:cs="Arial" w:eastAsia="Arial" w:hAnsi="Arial"/>
                <w:sz w:val="12"/>
                <w:szCs w:val="12"/>
                <w:color w:val="auto"/>
              </w:rPr>
              <w:t>floor, 5% ETP, due 1/15/2022</w:t>
            </w:r>
            <w:r>
              <w:rPr>
                <w:rFonts w:ascii="Arial" w:cs="Arial" w:eastAsia="Arial" w:hAnsi="Arial"/>
                <w:sz w:val="17"/>
                <w:szCs w:val="17"/>
                <w:color w:val="auto"/>
                <w:vertAlign w:val="superscript"/>
              </w:rPr>
              <w:t>(4)</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4,913,150</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2,654,460</w:t>
            </w:r>
          </w:p>
        </w:tc>
        <w:tc>
          <w:tcPr>
            <w:tcW w:w="100" w:type="dxa"/>
            <w:vAlign w:val="bottom"/>
          </w:tcPr>
          <w:p>
            <w:pPr>
              <w:spacing w:after="0"/>
              <w:rPr>
                <w:sz w:val="12"/>
                <w:szCs w:val="12"/>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7,567,610</w:t>
            </w:r>
          </w:p>
        </w:tc>
      </w:tr>
      <w:tr>
        <w:trPr>
          <w:trHeight w:val="121"/>
        </w:trPr>
        <w:tc>
          <w:tcPr>
            <w:tcW w:w="20" w:type="dxa"/>
            <w:vAlign w:val="bottom"/>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Tranche II: LIBOR+12.00% PIK,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spacing w:after="0" w:line="150" w:lineRule="exact"/>
              <w:rPr>
                <w:sz w:val="20"/>
                <w:szCs w:val="20"/>
                <w:color w:val="auto"/>
              </w:rPr>
            </w:pPr>
            <w:r>
              <w:rPr>
                <w:rFonts w:ascii="Arial" w:cs="Arial" w:eastAsia="Arial" w:hAnsi="Arial"/>
                <w:sz w:val="12"/>
                <w:szCs w:val="12"/>
                <w:color w:val="auto"/>
                <w:w w:val="95"/>
              </w:rPr>
              <w:t>12.00% floor, 5% ETP, due 1/15/2022</w:t>
            </w:r>
            <w:r>
              <w:rPr>
                <w:rFonts w:ascii="Arial" w:cs="Arial" w:eastAsia="Arial" w:hAnsi="Arial"/>
                <w:sz w:val="17"/>
                <w:szCs w:val="17"/>
                <w:color w:val="auto"/>
                <w:w w:val="95"/>
                <w:vertAlign w:val="superscript"/>
              </w:rPr>
              <w:t>(4)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1,637,717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884,820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2,522,537</w:t>
            </w:r>
          </w:p>
        </w:tc>
      </w:tr>
      <w:tr>
        <w:trPr>
          <w:trHeight w:val="121"/>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2"/>
          </w:tcPr>
          <w:p>
            <w:pPr>
              <w:spacing w:after="0" w:line="121" w:lineRule="exact"/>
              <w:rPr>
                <w:sz w:val="20"/>
                <w:szCs w:val="20"/>
                <w:color w:val="auto"/>
              </w:rPr>
            </w:pPr>
            <w:r>
              <w:rPr>
                <w:rFonts w:ascii="Arial" w:cs="Arial" w:eastAsia="Arial" w:hAnsi="Arial"/>
                <w:sz w:val="13"/>
                <w:szCs w:val="13"/>
                <w:color w:val="auto"/>
              </w:rPr>
              <w:t>Tranche III: LIBOR+12.00% PIK,</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spacing w:after="0" w:line="150" w:lineRule="exact"/>
              <w:rPr>
                <w:sz w:val="20"/>
                <w:szCs w:val="20"/>
                <w:color w:val="auto"/>
              </w:rPr>
            </w:pPr>
            <w:r>
              <w:rPr>
                <w:rFonts w:ascii="Arial" w:cs="Arial" w:eastAsia="Arial" w:hAnsi="Arial"/>
                <w:sz w:val="12"/>
                <w:szCs w:val="12"/>
                <w:color w:val="auto"/>
                <w:w w:val="95"/>
              </w:rPr>
              <w:t>12.00% floor, 5% ETP, due 1/15/2022</w:t>
            </w:r>
            <w:r>
              <w:rPr>
                <w:rFonts w:ascii="Arial" w:cs="Arial" w:eastAsia="Arial" w:hAnsi="Arial"/>
                <w:sz w:val="17"/>
                <w:szCs w:val="17"/>
                <w:color w:val="auto"/>
                <w:w w:val="95"/>
                <w:vertAlign w:val="superscript"/>
              </w:rPr>
              <w:t>(4)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409,016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220,981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629,997</w:t>
            </w:r>
          </w:p>
        </w:tc>
      </w:tr>
      <w:tr>
        <w:trPr>
          <w:trHeight w:val="121"/>
        </w:trPr>
        <w:tc>
          <w:tcPr>
            <w:tcW w:w="20" w:type="dxa"/>
            <w:vAlign w:val="bottom"/>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Tranche IV: LIBOR+12.00% PIK,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spacing w:after="0" w:line="150" w:lineRule="exact"/>
              <w:rPr>
                <w:sz w:val="20"/>
                <w:szCs w:val="20"/>
                <w:color w:val="auto"/>
              </w:rPr>
            </w:pPr>
            <w:r>
              <w:rPr>
                <w:rFonts w:ascii="Arial" w:cs="Arial" w:eastAsia="Arial" w:hAnsi="Arial"/>
                <w:sz w:val="12"/>
                <w:szCs w:val="12"/>
                <w:color w:val="auto"/>
                <w:w w:val="95"/>
              </w:rPr>
              <w:t>12.00% floor, 5% ETP, due 1/15/2022</w:t>
            </w:r>
            <w:r>
              <w:rPr>
                <w:rFonts w:ascii="Arial" w:cs="Arial" w:eastAsia="Arial" w:hAnsi="Arial"/>
                <w:sz w:val="17"/>
                <w:szCs w:val="17"/>
                <w:color w:val="auto"/>
                <w:w w:val="95"/>
                <w:vertAlign w:val="superscript"/>
              </w:rPr>
              <w:t>(4)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408,445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220,673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629,118</w:t>
            </w:r>
          </w:p>
        </w:tc>
      </w:tr>
      <w:tr>
        <w:trPr>
          <w:trHeight w:val="121"/>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2"/>
          </w:tcPr>
          <w:p>
            <w:pPr>
              <w:spacing w:after="0" w:line="121" w:lineRule="exact"/>
              <w:rPr>
                <w:sz w:val="20"/>
                <w:szCs w:val="20"/>
                <w:color w:val="auto"/>
              </w:rPr>
            </w:pPr>
            <w:r>
              <w:rPr>
                <w:rFonts w:ascii="Arial" w:cs="Arial" w:eastAsia="Arial" w:hAnsi="Arial"/>
                <w:sz w:val="13"/>
                <w:szCs w:val="13"/>
                <w:color w:val="auto"/>
              </w:rPr>
              <w:t>Tranche V: LIBOR+12.00% PIK,</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spacing w:after="0" w:line="150" w:lineRule="exact"/>
              <w:rPr>
                <w:sz w:val="20"/>
                <w:szCs w:val="20"/>
                <w:color w:val="auto"/>
              </w:rPr>
            </w:pPr>
            <w:r>
              <w:rPr>
                <w:rFonts w:ascii="Arial" w:cs="Arial" w:eastAsia="Arial" w:hAnsi="Arial"/>
                <w:sz w:val="12"/>
                <w:szCs w:val="12"/>
                <w:color w:val="auto"/>
                <w:w w:val="95"/>
              </w:rPr>
              <w:t>12.00% floor, 5% ETP, due 1/15/2022</w:t>
            </w:r>
            <w:r>
              <w:rPr>
                <w:rFonts w:ascii="Arial" w:cs="Arial" w:eastAsia="Arial" w:hAnsi="Arial"/>
                <w:sz w:val="17"/>
                <w:szCs w:val="17"/>
                <w:color w:val="auto"/>
                <w:w w:val="95"/>
                <w:vertAlign w:val="superscript"/>
              </w:rPr>
              <w:t>(4)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813,382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439,451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1,252,833</w:t>
            </w:r>
          </w:p>
        </w:tc>
      </w:tr>
      <w:tr>
        <w:trPr>
          <w:trHeight w:val="121"/>
        </w:trPr>
        <w:tc>
          <w:tcPr>
            <w:tcW w:w="20" w:type="dxa"/>
            <w:vAlign w:val="bottom"/>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Tranche VI: LIBOR+12.00% PIK,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spacing w:after="0" w:line="150" w:lineRule="exact"/>
              <w:rPr>
                <w:sz w:val="20"/>
                <w:szCs w:val="20"/>
                <w:color w:val="auto"/>
              </w:rPr>
            </w:pPr>
            <w:r>
              <w:rPr>
                <w:rFonts w:ascii="Arial" w:cs="Arial" w:eastAsia="Arial" w:hAnsi="Arial"/>
                <w:sz w:val="12"/>
                <w:szCs w:val="12"/>
                <w:color w:val="auto"/>
                <w:w w:val="95"/>
              </w:rPr>
              <w:t>12.00% floor, 5% ETP, due 1/31/2022</w:t>
            </w:r>
            <w:r>
              <w:rPr>
                <w:rFonts w:ascii="Arial" w:cs="Arial" w:eastAsia="Arial" w:hAnsi="Arial"/>
                <w:sz w:val="17"/>
                <w:szCs w:val="17"/>
                <w:color w:val="auto"/>
                <w:w w:val="95"/>
                <w:vertAlign w:val="superscript"/>
              </w:rPr>
              <w:t>(4)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779,370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(210,000)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438,723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1,008,093</w:t>
            </w:r>
          </w:p>
        </w:tc>
      </w:tr>
      <w:tr>
        <w:trPr>
          <w:trHeight w:val="121"/>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2"/>
          </w:tcPr>
          <w:p>
            <w:pPr>
              <w:spacing w:after="0" w:line="121" w:lineRule="exact"/>
              <w:rPr>
                <w:sz w:val="20"/>
                <w:szCs w:val="20"/>
                <w:color w:val="auto"/>
              </w:rPr>
            </w:pPr>
            <w:r>
              <w:rPr>
                <w:rFonts w:ascii="Arial" w:cs="Arial" w:eastAsia="Arial" w:hAnsi="Arial"/>
                <w:sz w:val="13"/>
                <w:szCs w:val="13"/>
                <w:color w:val="auto"/>
              </w:rPr>
              <w:t>Tranche VII: LIBOR+12.00% PIK,</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spacing w:after="0" w:line="150" w:lineRule="exact"/>
              <w:rPr>
                <w:sz w:val="20"/>
                <w:szCs w:val="20"/>
                <w:color w:val="auto"/>
              </w:rPr>
            </w:pPr>
            <w:r>
              <w:rPr>
                <w:rFonts w:ascii="Arial" w:cs="Arial" w:eastAsia="Arial" w:hAnsi="Arial"/>
                <w:sz w:val="12"/>
                <w:szCs w:val="12"/>
                <w:color w:val="auto"/>
                <w:w w:val="95"/>
              </w:rPr>
              <w:t>12.00% floor, 5% ETP, due 4/30/2021</w:t>
            </w:r>
            <w:r>
              <w:rPr>
                <w:rFonts w:ascii="Arial" w:cs="Arial" w:eastAsia="Arial" w:hAnsi="Arial"/>
                <w:sz w:val="17"/>
                <w:szCs w:val="17"/>
                <w:color w:val="auto"/>
                <w:w w:val="95"/>
                <w:vertAlign w:val="superscript"/>
              </w:rPr>
              <w:t>(4)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(500,000)</w:t>
            </w:r>
          </w:p>
        </w:tc>
        <w:tc>
          <w:tcPr>
            <w:tcW w:w="100" w:type="dxa"/>
            <w:vAlign w:val="bottom"/>
          </w:tcPr>
          <w:p>
            <w:pPr>
              <w:spacing w:after="0"/>
              <w:rPr>
                <w:sz w:val="12"/>
                <w:szCs w:val="12"/>
                <w:color w:val="auto"/>
              </w:rPr>
            </w:pP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 w:type="dxa"/>
            <w:vAlign w:val="bottom"/>
          </w:tcPr>
          <w:p>
            <w:pPr>
              <w:spacing w:after="0"/>
              <w:rPr>
                <w:sz w:val="10"/>
                <w:szCs w:val="10"/>
                <w:color w:val="auto"/>
              </w:rPr>
            </w:pPr>
          </w:p>
        </w:tc>
        <w:tc>
          <w:tcPr>
            <w:tcW w:w="21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Pivot3 Holdings, Inc.</w:t>
            </w:r>
          </w:p>
        </w:tc>
        <w:tc>
          <w:tcPr>
            <w:tcW w:w="20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2"/>
              </w:rPr>
              <w:t>Tranche I: LIBOR+8.50% PIK, 11.00%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floor, 4.00% ETP, due 11/15/2022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12,015,832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0"/>
              </w:rPr>
              <w:t>(3,994,885)</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6,628,841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14,649,788</w:t>
            </w:r>
          </w:p>
        </w:tc>
      </w:tr>
      <w:tr>
        <w:trPr>
          <w:trHeight w:val="121"/>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2"/>
          </w:tcPr>
          <w:p>
            <w:pPr>
              <w:spacing w:after="0" w:line="121" w:lineRule="exact"/>
              <w:rPr>
                <w:sz w:val="20"/>
                <w:szCs w:val="20"/>
                <w:color w:val="auto"/>
              </w:rPr>
            </w:pPr>
            <w:r>
              <w:rPr>
                <w:rFonts w:ascii="Arial" w:cs="Arial" w:eastAsia="Arial" w:hAnsi="Arial"/>
                <w:sz w:val="13"/>
                <w:szCs w:val="13"/>
                <w:color w:val="auto"/>
                <w:w w:val="91"/>
              </w:rPr>
              <w:t>Tranche II: LIBOR+8.50% PIK, 11.00%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floor, due 11/15/2022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569,181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0"/>
              </w:rPr>
              <w:t>(1,080,984)</w:t>
            </w:r>
          </w:p>
        </w:tc>
        <w:tc>
          <w:tcPr>
            <w:tcW w:w="100" w:type="dxa"/>
            <w:vAlign w:val="bottom"/>
          </w:tcPr>
          <w:p>
            <w:pPr>
              <w:spacing w:after="0"/>
              <w:rPr>
                <w:sz w:val="12"/>
                <w:szCs w:val="12"/>
                <w:color w:val="auto"/>
              </w:rPr>
            </w:pP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511,803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 w:type="dxa"/>
            <w:vAlign w:val="bottom"/>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Tranche III: LIBOR+8.50% PIK,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11.00% floor, 4.00% ETP, due</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11/15/2022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1,330,538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0"/>
              </w:rPr>
              <w:t>(2,531,040)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1,200,502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9"/>
        </w:trPr>
        <w:tc>
          <w:tcPr>
            <w:tcW w:w="20" w:type="dxa"/>
            <w:vAlign w:val="bottom"/>
          </w:tcPr>
          <w:p>
            <w:pPr>
              <w:spacing w:after="0"/>
              <w:rPr>
                <w:sz w:val="11"/>
                <w:szCs w:val="11"/>
                <w:color w:val="auto"/>
              </w:rPr>
            </w:pPr>
          </w:p>
        </w:tc>
        <w:tc>
          <w:tcPr>
            <w:tcW w:w="216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Total Senior Secured Term Loans</w:t>
            </w:r>
          </w:p>
        </w:tc>
        <w:tc>
          <w:tcPr>
            <w:tcW w:w="300" w:type="dxa"/>
            <w:vAlign w:val="bottom"/>
            <w:tcBorders>
              <w:bottom w:val="single" w:sz="8" w:color="CCEEFF"/>
            </w:tcBorders>
          </w:tcPr>
          <w:p>
            <w:pPr>
              <w:spacing w:after="0"/>
              <w:rPr>
                <w:sz w:val="11"/>
                <w:szCs w:val="11"/>
                <w:color w:val="auto"/>
              </w:rPr>
            </w:pPr>
          </w:p>
        </w:tc>
        <w:tc>
          <w:tcPr>
            <w:tcW w:w="17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8,961,080</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14,415,551</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(8,316,909)</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center"/>
              <w:ind w:left="337"/>
              <w:spacing w:after="0" w:line="129" w:lineRule="exact"/>
              <w:rPr>
                <w:sz w:val="20"/>
                <w:szCs w:val="20"/>
                <w:color w:val="auto"/>
              </w:rPr>
            </w:pPr>
            <w:r>
              <w:rPr>
                <w:rFonts w:ascii="Arial" w:cs="Arial" w:eastAsia="Arial" w:hAnsi="Arial"/>
                <w:sz w:val="13"/>
                <w:szCs w:val="13"/>
                <w:color w:val="auto"/>
                <w:w w:val="91"/>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13,200,254</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28,259,976</w:t>
            </w:r>
          </w:p>
        </w:tc>
      </w:tr>
      <w:tr>
        <w:trPr>
          <w:trHeight w:val="128"/>
        </w:trPr>
        <w:tc>
          <w:tcPr>
            <w:tcW w:w="20" w:type="dxa"/>
            <w:vAlign w:val="bottom"/>
          </w:tcPr>
          <w:p>
            <w:pPr>
              <w:spacing w:after="0"/>
              <w:rPr>
                <w:sz w:val="11"/>
                <w:szCs w:val="11"/>
                <w:color w:val="auto"/>
              </w:rPr>
            </w:pPr>
          </w:p>
        </w:tc>
        <w:tc>
          <w:tcPr>
            <w:tcW w:w="216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Preferred Stocks</w:t>
            </w:r>
          </w:p>
        </w:tc>
        <w:tc>
          <w:tcPr>
            <w:tcW w:w="3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spacing w:after="0" w:line="135" w:lineRule="exact"/>
              <w:rPr>
                <w:sz w:val="20"/>
                <w:szCs w:val="20"/>
                <w:color w:val="auto"/>
              </w:rPr>
            </w:pPr>
            <w:r>
              <w:rPr>
                <w:rFonts w:ascii="Arial" w:cs="Arial" w:eastAsia="Arial" w:hAnsi="Arial"/>
                <w:sz w:val="13"/>
                <w:szCs w:val="13"/>
                <w:color w:val="auto"/>
              </w:rPr>
              <w:t>Mojix, Inc.</w:t>
            </w:r>
          </w:p>
        </w:tc>
        <w:tc>
          <w:tcPr>
            <w:tcW w:w="2080" w:type="dxa"/>
            <w:vAlign w:val="bottom"/>
            <w:gridSpan w:val="2"/>
          </w:tcPr>
          <w:p>
            <w:pPr>
              <w:spacing w:after="0" w:line="135" w:lineRule="exact"/>
              <w:rPr>
                <w:sz w:val="20"/>
                <w:szCs w:val="20"/>
                <w:color w:val="auto"/>
              </w:rPr>
            </w:pPr>
            <w:r>
              <w:rPr>
                <w:rFonts w:ascii="Arial" w:cs="Arial" w:eastAsia="Arial" w:hAnsi="Arial"/>
                <w:sz w:val="13"/>
                <w:szCs w:val="13"/>
                <w:color w:val="auto"/>
              </w:rPr>
              <w:t>Series A-1 Preferred Stock</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884,774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tcPr>
          <w:p>
            <w:pPr>
              <w:jc w:val="center"/>
              <w:ind w:left="337"/>
              <w:spacing w:after="0" w:line="135"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(14,379)</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870,395</w:t>
            </w: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Pivot3 Holdings, Inc.</w:t>
            </w:r>
          </w:p>
        </w:tc>
        <w:tc>
          <w:tcPr>
            <w:tcW w:w="2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Series 1 Preferred Stock</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center"/>
              <w:ind w:left="337"/>
              <w:spacing w:after="0" w:line="135" w:lineRule="exact"/>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9"/>
        </w:trPr>
        <w:tc>
          <w:tcPr>
            <w:tcW w:w="20" w:type="dxa"/>
            <w:vAlign w:val="bottom"/>
          </w:tcPr>
          <w:p>
            <w:pPr>
              <w:spacing w:after="0"/>
              <w:rPr>
                <w:sz w:val="11"/>
                <w:szCs w:val="11"/>
                <w:color w:val="auto"/>
              </w:rPr>
            </w:pPr>
          </w:p>
        </w:tc>
        <w:tc>
          <w:tcPr>
            <w:tcW w:w="216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Total Preferred Stocks</w:t>
            </w:r>
          </w:p>
        </w:tc>
        <w:tc>
          <w:tcPr>
            <w:tcW w:w="300" w:type="dxa"/>
            <w:vAlign w:val="bottom"/>
            <w:tcBorders>
              <w:bottom w:val="single" w:sz="8" w:color="CCEEFF"/>
            </w:tcBorders>
          </w:tcPr>
          <w:p>
            <w:pPr>
              <w:spacing w:after="0"/>
              <w:rPr>
                <w:sz w:val="11"/>
                <w:szCs w:val="11"/>
                <w:color w:val="auto"/>
              </w:rPr>
            </w:pPr>
          </w:p>
        </w:tc>
        <w:tc>
          <w:tcPr>
            <w:tcW w:w="17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884,774</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center"/>
              <w:ind w:left="337"/>
              <w:spacing w:after="0" w:line="129" w:lineRule="exact"/>
              <w:rPr>
                <w:sz w:val="20"/>
                <w:szCs w:val="20"/>
                <w:color w:val="auto"/>
              </w:rPr>
            </w:pPr>
            <w:r>
              <w:rPr>
                <w:rFonts w:ascii="Arial" w:cs="Arial" w:eastAsia="Arial" w:hAnsi="Arial"/>
                <w:sz w:val="13"/>
                <w:szCs w:val="13"/>
                <w:color w:val="auto"/>
                <w:w w:val="91"/>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(14,379)</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870,395</w:t>
            </w:r>
          </w:p>
        </w:tc>
      </w:tr>
      <w:tr>
        <w:trPr>
          <w:trHeight w:val="128"/>
        </w:trPr>
        <w:tc>
          <w:tcPr>
            <w:tcW w:w="20" w:type="dxa"/>
            <w:vAlign w:val="bottom"/>
          </w:tcPr>
          <w:p>
            <w:pPr>
              <w:spacing w:after="0"/>
              <w:rPr>
                <w:sz w:val="11"/>
                <w:szCs w:val="11"/>
                <w:color w:val="auto"/>
              </w:rPr>
            </w:pPr>
          </w:p>
        </w:tc>
        <w:tc>
          <w:tcPr>
            <w:tcW w:w="216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Warrants</w:t>
            </w:r>
          </w:p>
        </w:tc>
        <w:tc>
          <w:tcPr>
            <w:tcW w:w="3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21"/>
        </w:trPr>
        <w:tc>
          <w:tcPr>
            <w:tcW w:w="20" w:type="dxa"/>
            <w:vAlign w:val="bottom"/>
          </w:tcPr>
          <w:p>
            <w:pPr>
              <w:spacing w:after="0"/>
              <w:rPr>
                <w:sz w:val="10"/>
                <w:szCs w:val="10"/>
                <w:color w:val="auto"/>
              </w:rPr>
            </w:pPr>
          </w:p>
        </w:tc>
        <w:tc>
          <w:tcPr>
            <w:tcW w:w="2160" w:type="dxa"/>
            <w:vAlign w:val="bottom"/>
            <w:gridSpan w:val="2"/>
          </w:tcPr>
          <w:p>
            <w:pPr>
              <w:spacing w:after="0" w:line="121" w:lineRule="exact"/>
              <w:rPr>
                <w:sz w:val="20"/>
                <w:szCs w:val="20"/>
                <w:color w:val="auto"/>
              </w:rPr>
            </w:pPr>
            <w:r>
              <w:rPr>
                <w:rFonts w:ascii="Arial" w:cs="Arial" w:eastAsia="Arial" w:hAnsi="Arial"/>
                <w:sz w:val="13"/>
                <w:szCs w:val="13"/>
                <w:color w:val="auto"/>
              </w:rPr>
              <w:t>Mojix, Inc.</w:t>
            </w:r>
          </w:p>
        </w:tc>
        <w:tc>
          <w:tcPr>
            <w:tcW w:w="2080" w:type="dxa"/>
            <w:vAlign w:val="bottom"/>
            <w:gridSpan w:val="2"/>
          </w:tcPr>
          <w:p>
            <w:pPr>
              <w:spacing w:after="0" w:line="121" w:lineRule="exact"/>
              <w:rPr>
                <w:sz w:val="20"/>
                <w:szCs w:val="20"/>
                <w:color w:val="auto"/>
              </w:rPr>
            </w:pPr>
            <w:r>
              <w:rPr>
                <w:rFonts w:ascii="Arial" w:cs="Arial" w:eastAsia="Arial" w:hAnsi="Arial"/>
                <w:sz w:val="13"/>
                <w:szCs w:val="13"/>
                <w:color w:val="auto"/>
                <w:w w:val="96"/>
              </w:rPr>
              <w:t>Warrant for Common Stock, exercise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w w:val="91"/>
              </w:rPr>
              <w:t>price $1.286/share, expires 12/13/2030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 w:type="dxa"/>
            <w:vAlign w:val="bottom"/>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Warrant for Common Stock, exercise</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88"/>
              </w:rPr>
              <w:t>price $2.1286/share, expires 12/13/2030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2"/>
          </w:tcPr>
          <w:p>
            <w:pPr>
              <w:spacing w:after="0" w:line="121" w:lineRule="exact"/>
              <w:rPr>
                <w:sz w:val="20"/>
                <w:szCs w:val="20"/>
                <w:color w:val="auto"/>
              </w:rPr>
            </w:pPr>
            <w:r>
              <w:rPr>
                <w:rFonts w:ascii="Arial" w:cs="Arial" w:eastAsia="Arial" w:hAnsi="Arial"/>
                <w:sz w:val="13"/>
                <w:szCs w:val="13"/>
                <w:color w:val="auto"/>
                <w:w w:val="96"/>
              </w:rPr>
              <w:t>Warrant for Common Stock, exercise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2"/>
          </w:tcPr>
          <w:p>
            <w:pPr>
              <w:spacing w:after="0" w:line="135" w:lineRule="exact"/>
              <w:rPr>
                <w:sz w:val="20"/>
                <w:szCs w:val="20"/>
                <w:color w:val="auto"/>
              </w:rPr>
            </w:pPr>
            <w:r>
              <w:rPr>
                <w:rFonts w:ascii="Arial" w:cs="Arial" w:eastAsia="Arial" w:hAnsi="Arial"/>
                <w:sz w:val="13"/>
                <w:szCs w:val="13"/>
                <w:color w:val="auto"/>
              </w:rPr>
              <w:t>price $5.57338/share, expires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12/13/2030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8"/>
        </w:trPr>
        <w:tc>
          <w:tcPr>
            <w:tcW w:w="20" w:type="dxa"/>
            <w:vAlign w:val="bottom"/>
          </w:tcPr>
          <w:p>
            <w:pPr>
              <w:spacing w:after="0"/>
              <w:rPr>
                <w:sz w:val="11"/>
                <w:szCs w:val="11"/>
                <w:color w:val="auto"/>
              </w:rPr>
            </w:pPr>
          </w:p>
        </w:tc>
        <w:tc>
          <w:tcPr>
            <w:tcW w:w="216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Warrants</w:t>
            </w:r>
          </w:p>
        </w:tc>
        <w:tc>
          <w:tcPr>
            <w:tcW w:w="300" w:type="dxa"/>
            <w:vAlign w:val="bottom"/>
            <w:tcBorders>
              <w:top w:val="single" w:sz="8" w:color="CCEEFF"/>
            </w:tcBorders>
            <w:shd w:val="clear" w:color="auto" w:fill="CCEEFF"/>
          </w:tcPr>
          <w:p>
            <w:pPr>
              <w:spacing w:after="0"/>
              <w:rPr>
                <w:sz w:val="11"/>
                <w:szCs w:val="11"/>
                <w:color w:val="auto"/>
              </w:rPr>
            </w:pPr>
          </w:p>
        </w:tc>
        <w:tc>
          <w:tcPr>
            <w:tcW w:w="17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center"/>
              <w:ind w:left="337"/>
              <w:spacing w:after="0" w:line="129" w:lineRule="exact"/>
              <w:rPr>
                <w:sz w:val="20"/>
                <w:szCs w:val="20"/>
                <w:color w:val="auto"/>
              </w:rPr>
            </w:pPr>
            <w:r>
              <w:rPr>
                <w:rFonts w:ascii="Arial" w:cs="Arial" w:eastAsia="Arial" w:hAnsi="Arial"/>
                <w:sz w:val="13"/>
                <w:szCs w:val="13"/>
                <w:color w:val="auto"/>
                <w:w w:val="91"/>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r>
      <w:tr>
        <w:trPr>
          <w:trHeight w:val="129"/>
        </w:trPr>
        <w:tc>
          <w:tcPr>
            <w:tcW w:w="20" w:type="dxa"/>
            <w:vAlign w:val="bottom"/>
          </w:tcPr>
          <w:p>
            <w:pPr>
              <w:spacing w:after="0"/>
              <w:rPr>
                <w:sz w:val="11"/>
                <w:szCs w:val="11"/>
                <w:color w:val="auto"/>
              </w:rPr>
            </w:pPr>
          </w:p>
        </w:tc>
        <w:tc>
          <w:tcPr>
            <w:tcW w:w="21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Control investments</w:t>
            </w:r>
          </w:p>
        </w:tc>
        <w:tc>
          <w:tcPr>
            <w:tcW w:w="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9,845,854</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14,415,551</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(8,316,909)</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center"/>
              <w:ind w:left="337"/>
              <w:spacing w:after="0" w:line="129"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13,185,875</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29,130,371</w:t>
            </w: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r>
    </w:tbl>
    <w:p>
      <w:pPr>
        <w:spacing w:after="0" w:line="76" w:lineRule="exact"/>
        <w:rPr>
          <w:sz w:val="20"/>
          <w:szCs w:val="20"/>
          <w:color w:val="auto"/>
        </w:rPr>
      </w:pPr>
    </w:p>
    <w:p>
      <w:pPr>
        <w:jc w:val="both"/>
        <w:ind w:left="340" w:hanging="332"/>
        <w:spacing w:after="0" w:line="238" w:lineRule="auto"/>
        <w:tabs>
          <w:tab w:leader="none" w:pos="340" w:val="left"/>
        </w:tabs>
        <w:numPr>
          <w:ilvl w:val="0"/>
          <w:numId w:val="8"/>
        </w:numPr>
        <w:rPr>
          <w:rFonts w:ascii="Arial" w:cs="Arial" w:eastAsia="Arial" w:hAnsi="Arial"/>
          <w:sz w:val="11"/>
          <w:szCs w:val="11"/>
          <w:color w:val="auto"/>
        </w:rPr>
      </w:pPr>
      <w:r>
        <w:rPr>
          <w:rFonts w:ascii="Arial" w:cs="Arial" w:eastAsia="Arial" w:hAnsi="Arial"/>
          <w:sz w:val="14"/>
          <w:szCs w:val="14"/>
          <w:color w:val="auto"/>
        </w:rPr>
        <w:t>Gross additions includes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ind w:left="340" w:hanging="332"/>
        <w:spacing w:after="0" w:line="265" w:lineRule="auto"/>
        <w:tabs>
          <w:tab w:leader="none" w:pos="340" w:val="left"/>
        </w:tabs>
        <w:numPr>
          <w:ilvl w:val="0"/>
          <w:numId w:val="8"/>
        </w:numPr>
        <w:rPr>
          <w:rFonts w:ascii="Arial" w:cs="Arial" w:eastAsia="Arial" w:hAnsi="Arial"/>
          <w:sz w:val="10"/>
          <w:szCs w:val="10"/>
          <w:color w:val="auto"/>
        </w:rPr>
      </w:pPr>
      <w:r>
        <w:rPr>
          <w:rFonts w:ascii="Arial" w:cs="Arial" w:eastAsia="Arial" w:hAnsi="Arial"/>
          <w:sz w:val="13"/>
          <w:szCs w:val="13"/>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ind w:left="340" w:right="20" w:hanging="332"/>
        <w:spacing w:after="0" w:line="251" w:lineRule="auto"/>
        <w:tabs>
          <w:tab w:leader="none" w:pos="340" w:val="left"/>
        </w:tabs>
        <w:numPr>
          <w:ilvl w:val="0"/>
          <w:numId w:val="8"/>
        </w:numPr>
        <w:rPr>
          <w:rFonts w:ascii="Arial" w:cs="Arial" w:eastAsia="Arial" w:hAnsi="Arial"/>
          <w:sz w:val="11"/>
          <w:szCs w:val="11"/>
          <w:color w:val="auto"/>
        </w:rPr>
      </w:pPr>
      <w:r>
        <w:rPr>
          <w:rFonts w:ascii="Arial" w:cs="Arial" w:eastAsia="Arial" w:hAnsi="Arial"/>
          <w:sz w:val="14"/>
          <w:szCs w:val="14"/>
          <w:color w:val="auto"/>
        </w:rPr>
        <w:t>All investments in the portfolio company, which as of December 31, 2021 represented 4.81% of the Company’s net assets, are restricted as to resale and were valued at fair value as determined in good faith by the Company’s Board of Directors.</w:t>
      </w:r>
    </w:p>
    <w:p>
      <w:pPr>
        <w:ind w:left="340" w:hanging="332"/>
        <w:spacing w:after="0"/>
        <w:tabs>
          <w:tab w:leader="none" w:pos="340" w:val="left"/>
        </w:tabs>
        <w:numPr>
          <w:ilvl w:val="0"/>
          <w:numId w:val="8"/>
        </w:numPr>
        <w:rPr>
          <w:rFonts w:ascii="Arial" w:cs="Arial" w:eastAsia="Arial" w:hAnsi="Arial"/>
          <w:sz w:val="10"/>
          <w:szCs w:val="10"/>
          <w:color w:val="auto"/>
        </w:rPr>
      </w:pPr>
      <w:r>
        <w:rPr>
          <w:rFonts w:ascii="Arial" w:cs="Arial" w:eastAsia="Arial" w:hAnsi="Arial"/>
          <w:sz w:val="13"/>
          <w:szCs w:val="13"/>
          <w:color w:val="auto"/>
        </w:rPr>
        <w:t>For the year ended December 31, 2021, the Company earned no investment income from control investments, except for $117,340 from Pivot3 Holdings, Inc.</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0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December 31,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Geographic Region</w:t>
            </w:r>
          </w:p>
        </w:tc>
        <w:tc>
          <w:tcPr>
            <w:tcW w:w="100" w:type="dxa"/>
            <w:vAlign w:val="bottom"/>
          </w:tcPr>
          <w:p>
            <w:pPr>
              <w:spacing w:after="0"/>
              <w:rPr>
                <w:sz w:val="10"/>
                <w:szCs w:val="10"/>
                <w:color w:val="auto"/>
              </w:rPr>
            </w:pPr>
          </w:p>
        </w:tc>
        <w:tc>
          <w:tcPr>
            <w:tcW w:w="12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226,578,920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Northeastern United States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170,983,403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Central United States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75,155,555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Southeastern United States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66,823,245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Northwestern United States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41,659,696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35,687,298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34,080,598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Midwestern United States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20,098,640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13,447,419</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684,514,774</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0"/>
                <w:szCs w:val="10"/>
                <w:color w:val="auto"/>
              </w:rPr>
            </w:pPr>
          </w:p>
        </w:tc>
        <w:tc>
          <w:tcPr>
            <w:tcW w:w="12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182,660,314</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Healthcare Technology</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146,756,439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Retail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109,560,343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Internet Software &amp;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76,238,876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Human Resource &amp; Employment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72,869,269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Data Processing &amp; Outsourced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38,925,165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20,100,640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Electronic Equipment &amp; Instruments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18,755,837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 Software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13,447,419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Technology Hardware, Storage &amp; Peripherals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2,537,654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Specialized Consumer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2,477,351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Computer &amp; Electronics Retail</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185,467</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684,514,774</w:t>
            </w: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Runway Growth Finance Corp. (formerly known as Runway Growth Credit Fund Inc.)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has qualified, and intends to continue to qualify annually as a regulated investment company (“RIC”) under Subchapter M of the Internal Revenue Code of 1986, as amended (the “Code”).</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was formed primarily to lend to, and selectively invest in, high growth-potential companies in technology, life sciences, healthcare information and services, business services, select consumer services and products in other high-growth industries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October 2015, in connection with the Company’s formation, the Company issued and sold 1,667 shares of common stock to R. David Spreng, the President and Chief Executive Officer of the Company and Chairman of the Company’s Board of Directors, for an aggregate purchase price of $25,000. The sale of shares of common stock was approved by the unanimous consent of the Company’s sole director at the time. On December 1, 2017, the Company completed its initial private offering (“Initial Private Offering”), in which the Company issued 18,241,157 shares of its common stock to stockholders for a total purchase price of $275,000,000 in reliance on exemptions from the registration requirements of the Securities Act, and other applicable securities laws.</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March 31, 2022, the Company had completed multiple closings under its second private offering (the “Second Private Offering”) and had accepted aggregate capital commitments of $181,673,500. As of March 31, 2022, in connection with the Second Private Offering the Company has issued 9,617,379 shares of its common stock for a total purchase price of $144,260,683. Concurrent with the IPO (as defined below), all undrawn commitments under the Second Private Offering were cancelled.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25, 2021, the Company closed its initial public offering ("IPO"), issuing 6,850,000 shares of its common stock at a public offering price of $14.60 per share. Net of underwriting fees and offering costs, the Company received net cash proceeds of $93.0 million. The Company’s common stock began trading on the Nasdaq Global Select Market under the symbol “RWAY” on October 21, 2021.</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2022, the Company has issued 22,564 shares as an additional direct investment by Runway Growth Holdings LLC, an affiliate of RGC, at a per-share price of $15.00 for total proceeds of $338,453 in a private offering pursuant to an exemption from registration under Regulation D of the Securities Act.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2022, the Company has issued an additional 6,647,847 shares as part of the dividend reinvestment plan. For more information, see “Note 6 – Net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accompanying interim unaudited financial statements of the Company are prepared on the accrual basis of accounting in conformity with U.S. Generally Accepted Accounting Principles (“U.S.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w:t>
      </w:r>
    </w:p>
    <w:p>
      <w:pPr>
        <w:sectPr>
          <w:pgSz w:w="11900" w:h="16838" w:orient="portrait"/>
          <w:cols w:equalWidth="0" w:num="1">
            <w:col w:w="9920"/>
          </w:cols>
          <w:pgMar w:left="980" w:top="517"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 31, 2022, including the impact of the coronavirus (“COVID 19”) pandemic thereon. The interim unaudited financial statements and notes hereto should be read in conjunction with the audited financial statements and notes thereto contained in the Company’s annual report on Form 10 K, as modified by the annual report on Form 10-K/A for the year ended December 31, 2021, filed with the SEC on March 2, 2022 and March 14, 2022, respectively.</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items in the March 31, 2021 financial statements have been reclassified to conform to the March 31, 2022 presentation with no net effect on the net increase in net assets resulting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represents deposits held at financial institutions, while cash equivalents are highly liquid investments held at financial institutions with an original maturity of three months or less at the date of acquisition. From time to time, the Company’s cash and cash equivalents exceed federally insured limits, subjecting the Company to risks related to the uninsured balance. Cash and cash equivalents are held at large, established, high credit-quality financial institutions, and management believes that risk of loss associated with any uninsured balance is remote.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Debt Costs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fees and expenses associated with opening the KeyBank credit facilities, including entering into the Credit Agreement (as defined below) (see “Note 10 – Borrowings”), and the issuance of the 2026 Senior Notes (as defined below) pursuant to the Note Purchase Agreement (as defined below) (See “Note 10 –Borrowings”) are being deferred and amortized as part of interest expense using the effective interest method over the term of the Credit Agreement and the Note Purchase Agreement in accordance with ASC 470, </w:t>
      </w:r>
      <w:r>
        <w:rPr>
          <w:rFonts w:ascii="Arial" w:cs="Arial" w:eastAsia="Arial" w:hAnsi="Arial"/>
          <w:sz w:val="17"/>
          <w:szCs w:val="17"/>
          <w:i w:val="1"/>
          <w:iCs w:val="1"/>
          <w:color w:val="auto"/>
        </w:rPr>
        <w:t>Debt</w:t>
      </w:r>
      <w:r>
        <w:rPr>
          <w:rFonts w:ascii="Arial" w:cs="Arial" w:eastAsia="Arial" w:hAnsi="Arial"/>
          <w:sz w:val="17"/>
          <w:szCs w:val="17"/>
          <w:color w:val="auto"/>
        </w:rPr>
        <w:t>. Debt issuance costs associated with the Credit Agreement and the Note Purchase Agreement are classified as a direct reduction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carrying amount of borrowings with the Credit Agreement and the Note Purchase Agreement, unless there are no outstanding borrowings, in which case the debt issuance costs are presented as an asset.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has, and may in the future, enter into reverse repurchase agreements, under the terms of a Master Repurchase Agreement (the “Master Repurchase Agreement”), with selected commercial banks and broker-dealers, under which the Company acquires securities as collateral (debt obligation) subject to an obligation of the counterparty to repurchase and the Company to resell the securities (obligation) at an agreed upon time and price. The Company, through the custodian or a sub-custodian, receives delivery of the underlying securities collateralizing reverse repurchase agreements. The Company requires the custodian to take possession, to have legally segregated in the Federal Reserve Book Entry System, or to have segregated within the custodian’s vault, all securities held as collateral for reverse repurchase agreements. The Company and the counterparties are permitted to sell, re-pledge, or use the collateral associated with the transaction. It is the Company’s policy that the market value of the collateral be at least equal to 100 percent of the repurchase price in the case of a reverse repurchase agreement of one-day duration and 102 percent of the repurchase price in the case of all other reverse repurchase agreements. Upon an event of default under the terms of the Master Repurchase Agreement, both parties have the right to set-off. If the seller defaults or enters an insolvency proceeding, realization of the collateral by the Company may be delayed, limited or wholly denied.</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had no outstanding reverse repurchase agreements at March 31, 2022. Pursuant to a reverse repurchase agreement with Goldman Sachs which expired on January 6, 2022, the Company purchased a U.S. Treasury Bill, due January 11, 2022. The value of the related collateral that the Company received for this agreement was $45,001,500 at December 31, 2021. At</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December 31, 2021, the repurchase liability was $44,774,963, which is reflected as “Reverse repurchase agreement” on the Statement of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Security transactions, if any, are recorded on a trade-date basis. Realized gains or losses from the repayment or sale of investments are measured using the specific identification method. The amortized cost basis of investments represents the original cost adjusted for the accretion/amortization of discounts and premiums and upfront loan origination fees. The Company reports changes from the prior period in fair value of investments that are measured at fair value as a component of net change in unrealized appreciation (depreciation) on investments on the Statements of Operations.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Dividends are recorded on the applicable ex-dividend date. Interest income, if any, adjusted for amortization of market premium and accretion of market discount, is recorded on an accrual basis to the extent that the Company expects to collect such amounts. Original issue discount (“OID”), principally representing the estimated fair value of detachable equity, warrants or contractual success fees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loan or debt security, any prepayment penalties, unamortized loan origination fees, end-of-term payments, and unamortized market discounts are recorded as interest income.</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of income the Company is required to distribute to stockholders to maintain its qualification as a RIC for U.S. federal income tax purposes, even though the Company has not yet collected the cash.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Non-Accrual of Investments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Debt investments are placed on non-accrual status when principal, interest, and other obligations become materially past due or when there is reasonble doubt that principal, interest, and other obligations will be collected in full. At the point of non-accrual, the Company will generally cease recognizing interest income on the debt investment until all principal and interest due have been paid or the Company believes the borrower has demonstrated the ability to repay its current and future contractual obligations. Additionally, any OID associated with the debt investment is no longer accreted to interest income as of the date the loan is placed on non-accrual status. Any payments received on non-accrual loans are first applied to principal prior to recovery of any foregone interest or end of term payment fees.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end of term payment fees.</w:t>
      </w:r>
    </w:p>
    <w:p>
      <w:pPr>
        <w:spacing w:after="0" w:line="1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March 31, 2022, and December 31, 2021, the Company has not written off any accrued and uncollected PIK interest and dividends. As of March 31, 2022, the Company had one loan to Pivot3 Holdings, Inc., representing an aggregate principal funded of $18,598,265 at a fair value of $14,649,788, on non-accrual status, which represents 2.45% of the Company’s net assets. The non-accrual loan as of March 31, 2022 had total interest of $1,870,522 that would have been accrued into income. Had the loan not been on non-accrual status, $1,691,927 would be payable, and $178,595 would be OID. As of December 31, 2021, the Company had six loans to Mojix, Inc. and one loan to Pivot3 Holdings, Inc., representing an aggregate principal funded of $30,278,707 at a fair market value of $28,259,976, on non-accrual status, which represents 4.66% of the Company’s net assets. The non-accrual loans as of December 31, 2021 had total interest of $4,760,387 that would have been accrued into income. Had the loans not been on non-accrual status, $4,064,620 would be payable, and $695,767 would be original issue discount. For the three months ended March 31, 2022, approximately 7.4%, of the Company’s total investment income was attributable to non-cash PIK interest and dividend income. For the three months ended March 31, 2021, approximately 5.8%, of the Company’s total investment income was attributable to non-cash PIK interest and dividend income.</w:t>
      </w:r>
    </w:p>
    <w:p>
      <w:pPr>
        <w:sectPr>
          <w:pgSz w:w="11900" w:h="16838" w:orient="portrait"/>
          <w:cols w:equalWidth="0" w:num="1">
            <w:col w:w="9920"/>
          </w:cols>
          <w:pgMar w:left="980" w:top="517" w:right="99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Company measures the value of its investments at fair value in accordance with ASC </w:t>
      </w:r>
      <w:r>
        <w:rPr>
          <w:rFonts w:ascii="Arial" w:cs="Arial" w:eastAsia="Arial" w:hAnsi="Arial"/>
          <w:sz w:val="18"/>
          <w:szCs w:val="18"/>
          <w:i w:val="1"/>
          <w:iCs w:val="1"/>
          <w:color w:val="auto"/>
        </w:rPr>
        <w:t>Topic 820, Fair Value Measurements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Disclosure </w:t>
      </w:r>
      <w:r>
        <w:rPr>
          <w:rFonts w:ascii="Arial" w:cs="Arial" w:eastAsia="Arial" w:hAnsi="Arial"/>
          <w:sz w:val="18"/>
          <w:szCs w:val="18"/>
          <w:color w:val="auto"/>
        </w:rPr>
        <w:t>(“ASC Topic 820”), issued by the FASB. Fair value is the price that would be received to sell an asset or paid to transfer a</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in an orderly transaction between market participants at the measurement date.</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audit committee of the Company’s Board of Directors (the “Audit Committee”)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of such investments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16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8" w:lineRule="exact"/>
        <w:rPr>
          <w:sz w:val="20"/>
          <w:szCs w:val="20"/>
          <w:color w:val="auto"/>
        </w:rPr>
      </w:pPr>
    </w:p>
    <w:p>
      <w:pPr>
        <w:ind w:left="580" w:hanging="315"/>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1—Valuations are based on quoted prices in active markets for identical assets or liabilities that are accessible at the measurement date.</w:t>
      </w:r>
    </w:p>
    <w:p>
      <w:pPr>
        <w:spacing w:after="0" w:line="143" w:lineRule="exact"/>
        <w:rPr>
          <w:rFonts w:ascii="Arial" w:cs="Arial" w:eastAsia="Arial" w:hAnsi="Arial"/>
          <w:sz w:val="18"/>
          <w:szCs w:val="18"/>
          <w:color w:val="auto"/>
        </w:rPr>
      </w:pPr>
    </w:p>
    <w:p>
      <w:pPr>
        <w:ind w:left="580" w:hanging="315"/>
        <w:spacing w:after="0" w:line="308"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05" w:lineRule="exact"/>
        <w:rPr>
          <w:rFonts w:ascii="Arial" w:cs="Arial" w:eastAsia="Arial" w:hAnsi="Arial"/>
          <w:sz w:val="17"/>
          <w:szCs w:val="17"/>
          <w:color w:val="auto"/>
        </w:rPr>
      </w:pPr>
    </w:p>
    <w:p>
      <w:pPr>
        <w:jc w:val="both"/>
        <w:ind w:left="580" w:hanging="315"/>
        <w:spacing w:after="0" w:line="279"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Company undertakes a multi-step valuation process each quarter, as described below:</w:t>
      </w:r>
    </w:p>
    <w:p>
      <w:pPr>
        <w:spacing w:after="0" w:line="170" w:lineRule="exact"/>
        <w:rPr>
          <w:sz w:val="20"/>
          <w:szCs w:val="20"/>
          <w:color w:val="auto"/>
        </w:rPr>
      </w:pPr>
    </w:p>
    <w:p>
      <w:pPr>
        <w:ind w:left="580" w:hanging="315"/>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investment being initially valued by RGC’s investment professionals that are responsible for the portfolio investment;</w:t>
      </w:r>
    </w:p>
    <w:p>
      <w:pPr>
        <w:spacing w:after="0" w:line="143" w:lineRule="exact"/>
        <w:rPr>
          <w:rFonts w:ascii="Arial" w:cs="Arial" w:eastAsia="Arial" w:hAnsi="Arial"/>
          <w:sz w:val="18"/>
          <w:szCs w:val="18"/>
          <w:color w:val="auto"/>
        </w:rPr>
      </w:pPr>
    </w:p>
    <w:p>
      <w:pPr>
        <w:ind w:left="580" w:hanging="315"/>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184" w:lineRule="exact"/>
        <w:rPr>
          <w:rFonts w:ascii="Arial" w:cs="Arial" w:eastAsia="Arial" w:hAnsi="Arial"/>
          <w:sz w:val="18"/>
          <w:szCs w:val="18"/>
          <w:color w:val="auto"/>
        </w:rPr>
      </w:pPr>
    </w:p>
    <w:p>
      <w:pPr>
        <w:jc w:val="both"/>
        <w:ind w:left="580" w:hanging="315"/>
        <w:spacing w:after="0" w:line="263"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43" w:lineRule="exact"/>
        <w:rPr>
          <w:rFonts w:ascii="Arial" w:cs="Arial" w:eastAsia="Arial" w:hAnsi="Arial"/>
          <w:sz w:val="18"/>
          <w:szCs w:val="18"/>
          <w:color w:val="auto"/>
        </w:rPr>
      </w:pPr>
    </w:p>
    <w:p>
      <w:pPr>
        <w:ind w:left="580" w:right="20" w:hanging="315"/>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the Company’s Board of Directors regarding such valuations; and</w:t>
      </w:r>
    </w:p>
    <w:p>
      <w:pPr>
        <w:spacing w:after="0" w:line="143" w:lineRule="exact"/>
        <w:rPr>
          <w:rFonts w:ascii="Arial" w:cs="Arial" w:eastAsia="Arial" w:hAnsi="Arial"/>
          <w:sz w:val="18"/>
          <w:szCs w:val="18"/>
          <w:color w:val="auto"/>
        </w:rPr>
      </w:pPr>
    </w:p>
    <w:p>
      <w:pPr>
        <w:jc w:val="both"/>
        <w:ind w:left="580" w:right="20" w:hanging="315"/>
        <w:spacing w:after="0" w:line="263"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The Company’s Board of Directors reviews the recommended preliminary valuations and determines the fair value of each investment in the Company’s portfolio, in good faith, based on the input of RGC, the independent valuation firm and the Audit Committee.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231F20"/>
        </w:rPr>
        <w:t>The Company’s investments are primarily loans made to and equity and warrants of high growth-potential companies focused in technology, life sciences, healthcare information and services, business services, select consumer services and products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Rule 2a-5 under the 1940 Act was adopted by the SEC in December 2020 and establishes a framework for determining fair value in good faith for purposes of the 1940 Act. The Company is evaluating the impact of adopting Rule 2a-5 on the financial statements and intends to comply with the new rule’s requirements on or before the compliance date in September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right="60" w:firstLine="648"/>
        <w:spacing w:after="0" w:line="296" w:lineRule="auto"/>
        <w:rPr>
          <w:sz w:val="20"/>
          <w:szCs w:val="20"/>
          <w:color w:val="auto"/>
        </w:rPr>
      </w:pPr>
      <w:r>
        <w:rPr>
          <w:rFonts w:ascii="Arial" w:cs="Arial" w:eastAsia="Arial" w:hAnsi="Arial"/>
          <w:sz w:val="16"/>
          <w:szCs w:val="16"/>
          <w:color w:val="auto"/>
        </w:rPr>
        <w:t>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Debt Investments: </w:t>
      </w:r>
      <w:r>
        <w:rPr>
          <w:rFonts w:ascii="Arial" w:cs="Arial" w:eastAsia="Arial" w:hAnsi="Arial"/>
          <w:sz w:val="17"/>
          <w:szCs w:val="17"/>
          <w:color w:val="auto"/>
        </w:rPr>
        <w:t>To determine the fair value of the Company’s debt investments, the Company compares the cost basis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debt investment, which includes original issue discount, if any,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signficiant increase or decrease in these unobservable inputs.</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4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Fair value of warrants is primarily determined using a Black Scholes option-pricing model. Privately held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and equity-related securities are valued based on an analysis of various factors including, but not limited to, the following:</w:t>
      </w:r>
    </w:p>
    <w:p>
      <w:pPr>
        <w:spacing w:after="0" w:line="146" w:lineRule="exact"/>
        <w:rPr>
          <w:sz w:val="20"/>
          <w:szCs w:val="20"/>
          <w:color w:val="auto"/>
        </w:rPr>
      </w:pPr>
    </w:p>
    <w:p>
      <w:pPr>
        <w:jc w:val="both"/>
        <w:ind w:left="580" w:hanging="315"/>
        <w:spacing w:after="0" w:line="253"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69" w:lineRule="exact"/>
        <w:rPr>
          <w:rFonts w:ascii="Arial" w:cs="Arial" w:eastAsia="Arial" w:hAnsi="Arial"/>
          <w:sz w:val="18"/>
          <w:szCs w:val="18"/>
          <w:color w:val="auto"/>
        </w:rPr>
      </w:pPr>
    </w:p>
    <w:p>
      <w:pPr>
        <w:jc w:val="both"/>
        <w:ind w:left="580" w:hanging="315"/>
        <w:spacing w:after="0" w:line="25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47" w:lineRule="exact"/>
        <w:rPr>
          <w:rFonts w:ascii="Arial" w:cs="Arial" w:eastAsia="Arial" w:hAnsi="Arial"/>
          <w:sz w:val="18"/>
          <w:szCs w:val="18"/>
          <w:color w:val="auto"/>
        </w:rPr>
      </w:pPr>
    </w:p>
    <w:p>
      <w:pPr>
        <w:jc w:val="both"/>
        <w:ind w:left="580" w:hanging="315"/>
        <w:spacing w:after="0" w:line="25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47" w:lineRule="exact"/>
        <w:rPr>
          <w:rFonts w:ascii="Arial" w:cs="Arial" w:eastAsia="Arial" w:hAnsi="Arial"/>
          <w:sz w:val="18"/>
          <w:szCs w:val="18"/>
          <w:color w:val="auto"/>
        </w:rPr>
      </w:pPr>
    </w:p>
    <w:p>
      <w:pPr>
        <w:jc w:val="both"/>
        <w:ind w:left="580" w:hanging="315"/>
        <w:spacing w:after="0" w:line="279"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44" w:lineRule="exact"/>
        <w:rPr>
          <w:rFonts w:ascii="Arial" w:cs="Arial" w:eastAsia="Arial" w:hAnsi="Arial"/>
          <w:sz w:val="17"/>
          <w:szCs w:val="17"/>
          <w:color w:val="auto"/>
        </w:rPr>
      </w:pPr>
    </w:p>
    <w:p>
      <w:pPr>
        <w:jc w:val="both"/>
        <w:ind w:left="580" w:hanging="315"/>
        <w:spacing w:after="0" w:line="272"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Equity Investments. </w:t>
      </w:r>
      <w:r>
        <w:rPr>
          <w:rFonts w:ascii="Arial" w:cs="Arial" w:eastAsia="Arial" w:hAnsi="Arial"/>
          <w:sz w:val="17"/>
          <w:szCs w:val="17"/>
          <w:color w:val="auto"/>
        </w:rPr>
        <w:t>The fair value of an equity investment in a privately held company is initially the face value of the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w:t>
      </w:r>
    </w:p>
    <w:p>
      <w:pPr>
        <w:sectPr>
          <w:pgSz w:w="11900" w:h="16838" w:orient="portrait"/>
          <w:cols w:equalWidth="0" w:num="1">
            <w:col w:w="9920"/>
          </w:cols>
          <w:pgMar w:left="980" w:top="517" w:right="9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carrying amounts of the Company’s financial instruments, including cash and accrued liabilities, approximate fair value due to their short-term nature. Fair value of the Company’s Credit Agreement is estimated by discounting remaining payments using applicable market rates or market quotes for similar instruments at the measurement date, if applicable. As of both March 31, 2022 and December 31, 2021, the Company believes that the carrying value of its Credit Agreement approximates fair value. The 2026 Senior Notes are carried at cost and with their longer maturity dates, fair value is estimated by discounting remaining payments using current market rates for similar instruments and considering such factors as the legal maturity date and the ability of market participants to prepay the notes. As of March 31, 2022, the Company believes that the carrying value of the 2026 Senior Notes approximates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Classification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 investor has the ability or power to exercise a controlling influence over the management or policies of a company. Control is generally deemed to exist when a company or individual possesses, or has the right to acquire within 60 days or less, beneficial ownership of more than 25.0% of the voting securities of a company or maintains greater than 50% of the board representation. Affiliated investments and affiliated companies are defined by a lesser degree of influence and are deemed to exist through the possession outright, or via the right to acquire within 60 days or less, beneficial ownership between 5% and 25% (inclusive) of the voting securities and does not have rights to maintain greater than 50% of the board representation.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Statements of Assets and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elected to be treated as a RIC under Subchapter M of the Code beginning with its taxable year ended December 31, 2016, and has qualified and intends to continue to qualify for the tax treatment applicable to RICs. Generally, a RIC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pay corporate-level U.S. federal income taxes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U.S. federal income taxes in the future.</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accounts for income taxes in conformity with ASC Topic 740, Income Taxes ("ASC 740"). ASC 740 provides guidelines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Statements of Operations. There were no material uncertain income tax positions at March 31, 2022 or December 31, 2021. Although we file federal and state tax returns, our major tax jurisdiction is federal. The previous three tax year-ends and the interim tax period since then remain subject to examination by the Internal Revenue Service.</w:t>
      </w:r>
    </w:p>
    <w:p>
      <w:pPr>
        <w:spacing w:after="0" w:line="18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the Company does not timely distribute (or is not deemed to have distributed) each calendar year the sum of (1) at least 98% of its net ordinary income (not taking into account any capital gains or losses) for each calendar year, (2) at least 98.2% of the amount by which the Company’s capital gains exceed its capital losses (adjusted for certain ordinary losses) for a one-year period generally</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ending on October 31 in that calendar year (unless the Company makes an election to use its taxable year) and (3) any net ordinary income and net capital gain recognized in preceding years on which the Company paid no U.S. federal income tax (the “Minimum Distribution Amount”), the Company will generally be required to pay a nondeductible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the Company does not qualify to be treated as a RIC for any taxable year, the Company will be taxed as a regular corporation (a “C corporation”) under subchapter C of the Code for such taxable year. If the Company has previously qualified to be treated as a RIC but is subsequently unable to qualify for treatment as a RIC,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corporate-level U.S. federal income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and diluted earnings per common share is calculated using the weighted-average number of common shares outstanding for the period presented. For the three months ended March 31, 2022 and 2021, basic and diluted earnings per share of common stock were the same because there were no potentially dilutive securities outstanding. Per share data is based on the weighted-average shares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generally intends to distribute, out of assets legally available for distribution, substantially all of its available earnings, on a quarterly basis, subject to the discretion of the Board of Directors. For the three months ended March 31, 2022, the Company declared and paid dividends in the amount of $11,172,667, of which $3,753,085 was distributed in cash and the remainder distributed in shares to stockholders, purchased in the open market pursuant to the Company’s dividend reinvestment plan. For the three months ended March 31, 2021, the Company declared dividends in the amount of $11,623,199, of which $2,439,979 was distributable in cash and the remainder distributable in shares to stockholders pursuant to the Company’s dividend reinvestment plan.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Organization costs include, among other things, the cost of organizing as a Maryland corporation, including the cost of legal services and other fees pertaining to the Company’s organization, all of which are expensed as incurred. Offering costs include, among other things, legal fees and other costs pertaining to the preparation of the Company’s public and private offering materials as well as travel-related expenses related to the Company’s public and private offerings. Pursuant to the investment advisory agreement in place between the Company and RGC at the time of the Initial Private Offering, the Company and RGC agreed that organization and offering costs incurred in connection with the Initial Private Offering would be borne by the Company up to a maximum amount of $1,000,000, provided that the amount of such costs in excess of $1,000,000 would be paid by RGC. As of December 31, 2016, the Company had already incurred the maximum amount of $1,000,000 in organization and offering costs incurred in connection with the Initial Private Offering. </w:t>
      </w:r>
      <w:r>
        <w:rPr>
          <w:rFonts w:ascii="Arial" w:cs="Arial" w:eastAsia="Arial" w:hAnsi="Arial"/>
          <w:sz w:val="17"/>
          <w:szCs w:val="17"/>
          <w:color w:val="231F20"/>
        </w:rPr>
        <w:t>As a result, for the three months ended March 31, 2022 and 2021, the Company did not incur any organization or offering</w:t>
      </w:r>
      <w:r>
        <w:rPr>
          <w:rFonts w:ascii="Arial" w:cs="Arial" w:eastAsia="Arial" w:hAnsi="Arial"/>
          <w:sz w:val="17"/>
          <w:szCs w:val="17"/>
          <w:color w:val="auto"/>
        </w:rPr>
        <w:t xml:space="preserve"> </w:t>
      </w:r>
      <w:r>
        <w:rPr>
          <w:rFonts w:ascii="Arial" w:cs="Arial" w:eastAsia="Arial" w:hAnsi="Arial"/>
          <w:sz w:val="17"/>
          <w:szCs w:val="17"/>
          <w:color w:val="231F20"/>
        </w:rPr>
        <w:t>expenses in connection with the Initial Private Offering.</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Offering costs related to the Second Private Offering were accumulated and charged to additional paid in capital at the time of closing beginning in 2019. These offering costs related to the Second Private Offering are subject to a cap of $600,000, excluding placement agent fees which have no cap, of which the Company will bear the cost. As of each of March 31, 2022 and December 31, 2021, the Company had accumulated and recorded $651,991 of offering costs related to the Second Private Offering. As of each of</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March 31, 2022 and December 31, 2021, $186,198 in placement agent fees had been incurred. Under the terms of the Second Private Offering, offering costs in excess of $600,000, excluding placement agent fees, will be reimbursed by RGC.</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Offering costs related to the IPO were accumulated and charged to additional paid in capital at the time of closing in October 2021. As of each of March 31, 2022 and December 31, 2021, we had accumulated and recorded $6,970,599 of offering costs related to the Company’s IPO. The offering costs are fully born by the Company and include underwriting fees, legal fees, and other costs pertaining to the preparation of the Company’s offering materials as well as travel-related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March 2020, the FASB issued ASU No. 2020-04, “Reference Rate Reform (Topic 848),” which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London Interbank Offered Rate (“LIBOR”) or another reference rate expected to be discontinued because of reference rate reform. In January 2021, the FASB issued ASU No. 2021-01, “Reference Rate Reform (Topic 848),” which expanded the scope of Topic 848 to include derivative instruments impacted by discounting transition. ASU 2020-04 and ASU 2021-01 are effective for all entities through December 31, 2022. ASU No. 2021-01 provides increased clarity as the Company continues to evaluate the transition of reference rates and is currently evaluating the impact of adopting ASU No. 2020-04 and 2021-01 on the financial statements. The Company did not utilize the optional expedients and exceptions provided in this guidance during the three months ended March 31, 2022 and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Commitments and Contingencies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March 31, 2022, the Company had $230,984,615 in unfunded loan commitments to provide debt financing to its portfolio companies. The balance of unfunded commitments to extend financing as of March 31, 2022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280" w:type="dxa"/>
            <w:vAlign w:val="bottom"/>
            <w:tcBorders>
              <w:bottom w:val="single" w:sz="8" w:color="CCEEFF"/>
            </w:tcBorders>
          </w:tcPr>
          <w:p>
            <w:pPr>
              <w:spacing w:after="0"/>
              <w:rPr>
                <w:sz w:val="14"/>
                <w:szCs w:val="14"/>
                <w:color w:val="auto"/>
              </w:rPr>
            </w:pPr>
          </w:p>
        </w:tc>
        <w:tc>
          <w:tcPr>
            <w:tcW w:w="272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Investment Type</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Allurion Technologies, Inc.</w:t>
            </w:r>
          </w:p>
        </w:tc>
        <w:tc>
          <w:tcPr>
            <w:tcW w:w="2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CloudPay, Inc.</w:t>
            </w:r>
          </w:p>
        </w:tc>
        <w:tc>
          <w:tcPr>
            <w:tcW w:w="2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Dtex Systems, Inc.</w:t>
            </w:r>
          </w:p>
        </w:tc>
        <w:tc>
          <w:tcPr>
            <w:tcW w:w="2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Gynesonics, Inc.</w:t>
            </w:r>
          </w:p>
        </w:tc>
        <w:tc>
          <w:tcPr>
            <w:tcW w:w="2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INRIX, Inc.</w:t>
            </w:r>
          </w:p>
        </w:tc>
        <w:tc>
          <w:tcPr>
            <w:tcW w:w="2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Intellisite Holdings, Inc. (dba Epic IO Technologies, Inc.)</w:t>
            </w:r>
          </w:p>
        </w:tc>
        <w:tc>
          <w:tcPr>
            <w:tcW w:w="2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Marley Spoon AG</w:t>
            </w:r>
          </w:p>
        </w:tc>
        <w:tc>
          <w:tcPr>
            <w:tcW w:w="2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Mustang Bio, Inc.</w:t>
            </w:r>
          </w:p>
        </w:tc>
        <w:tc>
          <w:tcPr>
            <w:tcW w:w="2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Revelle Aesthetics, Inc.</w:t>
            </w:r>
          </w:p>
        </w:tc>
        <w:tc>
          <w:tcPr>
            <w:tcW w:w="2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Route 92 Medical, Inc.</w:t>
            </w:r>
          </w:p>
        </w:tc>
        <w:tc>
          <w:tcPr>
            <w:tcW w:w="2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42,000,000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SetPoint Medical Corporation</w:t>
            </w:r>
          </w:p>
        </w:tc>
        <w:tc>
          <w:tcPr>
            <w:tcW w:w="2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ShareThis, Inc.</w:t>
            </w:r>
          </w:p>
        </w:tc>
        <w:tc>
          <w:tcPr>
            <w:tcW w:w="2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Snagajob.com, Inc.</w:t>
            </w:r>
          </w:p>
        </w:tc>
        <w:tc>
          <w:tcPr>
            <w:tcW w:w="2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6,784,615</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VERO Biotech LLC</w:t>
            </w:r>
          </w:p>
        </w:tc>
        <w:tc>
          <w:tcPr>
            <w:tcW w:w="280" w:type="dxa"/>
            <w:vAlign w:val="bottom"/>
            <w:tcBorders>
              <w:bottom w:val="single" w:sz="8" w:color="CCEEFF"/>
            </w:tcBorders>
          </w:tcPr>
          <w:p>
            <w:pPr>
              <w:spacing w:after="0"/>
              <w:rPr>
                <w:sz w:val="18"/>
                <w:szCs w:val="18"/>
                <w:color w:val="auto"/>
              </w:rPr>
            </w:pPr>
          </w:p>
        </w:tc>
        <w:tc>
          <w:tcPr>
            <w:tcW w:w="2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280" w:type="dxa"/>
            <w:vAlign w:val="bottom"/>
            <w:tcBorders>
              <w:bottom w:val="single" w:sz="8" w:color="CCEEFF"/>
            </w:tcBorders>
            <w:shd w:val="clear" w:color="auto" w:fill="CCEEFF"/>
          </w:tcPr>
          <w:p>
            <w:pPr>
              <w:spacing w:after="0"/>
              <w:rPr>
                <w:sz w:val="18"/>
                <w:szCs w:val="18"/>
                <w:color w:val="auto"/>
              </w:rPr>
            </w:pPr>
          </w:p>
        </w:tc>
        <w:tc>
          <w:tcPr>
            <w:tcW w:w="27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230,984,615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82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2021, the Company had $186,984,615 in unfunded loan commitments to provide debt financing to its portfolio companies. The balance of unfunded commitments to extend financing as of December 31, 2021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2980" w:type="dxa"/>
            <w:vAlign w:val="bottom"/>
            <w:gridSpan w:val="2"/>
          </w:tcPr>
          <w:p>
            <w:pPr>
              <w:ind w:left="840"/>
              <w:spacing w:after="0"/>
              <w:rPr>
                <w:sz w:val="20"/>
                <w:szCs w:val="20"/>
                <w:color w:val="auto"/>
              </w:rPr>
            </w:pPr>
            <w:r>
              <w:rPr>
                <w:rFonts w:ascii="Arial" w:cs="Arial" w:eastAsia="Arial" w:hAnsi="Arial"/>
                <w:sz w:val="14"/>
                <w:szCs w:val="14"/>
                <w:b w:val="1"/>
                <w:bCs w:val="1"/>
                <w:color w:val="auto"/>
              </w:rPr>
              <w:t>Investment Type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251"/>
              <w:spacing w:after="0"/>
              <w:rPr>
                <w:sz w:val="20"/>
                <w:szCs w:val="20"/>
                <w:color w:val="auto"/>
              </w:rPr>
            </w:pPr>
            <w:r>
              <w:rPr>
                <w:rFonts w:ascii="Arial" w:cs="Arial" w:eastAsia="Arial" w:hAnsi="Arial"/>
                <w:sz w:val="14"/>
                <w:szCs w:val="14"/>
                <w:b w:val="1"/>
                <w:bCs w:val="1"/>
                <w:color w:val="auto"/>
                <w:w w:val="99"/>
              </w:rPr>
              <w:t>December 31, 2021</w:t>
            </w:r>
          </w:p>
        </w:tc>
      </w:tr>
      <w:tr>
        <w:trPr>
          <w:trHeight w:val="209"/>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Allurion Technologies, Inc.</w:t>
            </w:r>
          </w:p>
        </w:tc>
        <w:tc>
          <w:tcPr>
            <w:tcW w:w="28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CloudPay, Inc.</w:t>
            </w:r>
          </w:p>
        </w:tc>
        <w:tc>
          <w:tcPr>
            <w:tcW w:w="2980" w:type="dxa"/>
            <w:vAlign w:val="bottom"/>
            <w:gridSpan w:val="2"/>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10,000,000</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CrossRoads Extremity Systems, LLC</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Dtex Systems, Inc.</w:t>
            </w:r>
          </w:p>
        </w:tc>
        <w:tc>
          <w:tcPr>
            <w:tcW w:w="2980" w:type="dxa"/>
            <w:vAlign w:val="bottom"/>
            <w:gridSpan w:val="2"/>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15,000,000</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Gynesonics, Inc.</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INRIX, Inc.</w:t>
            </w:r>
          </w:p>
        </w:tc>
        <w:tc>
          <w:tcPr>
            <w:tcW w:w="2980" w:type="dxa"/>
            <w:vAlign w:val="bottom"/>
            <w:gridSpan w:val="2"/>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10,000,000</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Intellisite Holdings, Inc. (dba Epic IO Technologies, Inc.)</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Marley Spoon AG</w:t>
            </w:r>
          </w:p>
        </w:tc>
        <w:tc>
          <w:tcPr>
            <w:tcW w:w="2980" w:type="dxa"/>
            <w:vAlign w:val="bottom"/>
            <w:gridSpan w:val="2"/>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11,700,000</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Route 92 Medical, Inc.</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42,000,000</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SetPoint Medical Corporation</w:t>
            </w:r>
          </w:p>
        </w:tc>
        <w:tc>
          <w:tcPr>
            <w:tcW w:w="2980" w:type="dxa"/>
            <w:vAlign w:val="bottom"/>
            <w:gridSpan w:val="2"/>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25,000,000</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ShareThis, Inc.</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Snagajob.com, Inc.</w:t>
            </w:r>
          </w:p>
        </w:tc>
        <w:tc>
          <w:tcPr>
            <w:tcW w:w="2980" w:type="dxa"/>
            <w:vAlign w:val="bottom"/>
            <w:gridSpan w:val="2"/>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6,784,615</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VERO Biotech LLC</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r>
      <w:tr>
        <w:trPr>
          <w:trHeight w:val="210"/>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186,984,615</w:t>
            </w:r>
          </w:p>
        </w:tc>
      </w:tr>
      <w:tr>
        <w:trPr>
          <w:trHeight w:val="20"/>
        </w:trPr>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Company’s management believes that its available cash balances, availability under the Credit Agreement provides sufficient funds to cover its unfunded commitments as of March 31, 2022. The Company has evaluated the expected net future cash flows related to unfunded commitments and determined the fair value to be zero as of March 31, 2022 and December 31, 2021.</w:t>
      </w:r>
    </w:p>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is currently not subject to any material legal proceedings, nor, to its knowledge, is any material proceeding threatened against the Company. From time to time, the Company may be a party to certain legal proceedings in the ordinary course of business, including proceedings relating to the enforcement of its rights under contracts with its portfolio companies. While the outcome of any such legal proceedings cannot be predicted with certainty, the Company does not expect that any such proceedings will have a material effect upon its business, financial condition or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24, 2022, the Board of Directors approved a repurchase program (the “Repurchase Program”) under which the Company may repurchase up to $25 million of its outstanding common stock. Under the Repurchase Program, purchases may be made at management’s discretion from time to time in open-market transactions, in accordance with all applicable securities laws and regulations. Unless extended by the Board of Directors, the repurchase program will terminate 12-months from the date it was approved. As of March 31, 2022, 31,782 shares of our common stock were repurchased under the Repurchase Program for an aggregate repurchase price of $409,223.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Concentration of Credit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normal course of business, the Company maintains its cash balances in financial institutions, which at times may exceed federally insured limits. The Company is subject to credit risk to the extent that any financial institution with which it conducts business is unable to fulfill contractual obligations on its behalf. The Company’s management monitors the financial condition of those financial institutions and does not currently anticipate any losses from these counterparties.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Increase in Net Assets Resulting from Operations per Common Share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information sets forth the computation of basic income per common share for the three months ended March 31, 2022 and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March 31, 2022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2,853,091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9,371,328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Weighted-average shares outstanding for the period</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41,375,187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31,505,254</w:t>
            </w:r>
          </w:p>
        </w:tc>
        <w:tc>
          <w:tcPr>
            <w:tcW w:w="200" w:type="dxa"/>
            <w:vAlign w:val="bottom"/>
            <w:shd w:val="clear" w:color="auto" w:fill="CCEEFF"/>
          </w:tcPr>
          <w:p>
            <w:pPr>
              <w:spacing w:after="0"/>
              <w:rPr>
                <w:sz w:val="18"/>
                <w:szCs w:val="18"/>
                <w:color w:val="auto"/>
              </w:rPr>
            </w:pPr>
          </w:p>
        </w:tc>
      </w:tr>
      <w:tr>
        <w:trPr>
          <w:trHeight w:val="216"/>
        </w:trPr>
        <w:tc>
          <w:tcPr>
            <w:tcW w:w="5300" w:type="dxa"/>
            <w:vAlign w:val="bottom"/>
          </w:tcPr>
          <w:p>
            <w:pPr>
              <w:ind w:left="12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41,375,187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31,505,254</w:t>
            </w:r>
          </w:p>
        </w:tc>
        <w:tc>
          <w:tcPr>
            <w:tcW w:w="2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Per Share Data</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Basic and diluted income per common share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CCEEFF"/>
          </w:tcPr>
          <w:p>
            <w:pPr>
              <w:spacing w:after="0"/>
              <w:rPr>
                <w:sz w:val="18"/>
                <w:szCs w:val="18"/>
                <w:color w:val="auto"/>
              </w:rPr>
            </w:pPr>
          </w:p>
        </w:tc>
      </w:tr>
      <w:tr>
        <w:trPr>
          <w:trHeight w:val="230"/>
        </w:trPr>
        <w:tc>
          <w:tcPr>
            <w:tcW w:w="5300" w:type="dxa"/>
            <w:vAlign w:val="bottom"/>
          </w:tcPr>
          <w:p>
            <w:pPr>
              <w:ind w:left="120"/>
              <w:spacing w:after="0"/>
              <w:rPr>
                <w:sz w:val="20"/>
                <w:szCs w:val="20"/>
                <w:color w:val="auto"/>
              </w:rPr>
            </w:pPr>
            <w:r>
              <w:rPr>
                <w:rFonts w:ascii="Arial" w:cs="Arial" w:eastAsia="Arial" w:hAnsi="Arial"/>
                <w:sz w:val="18"/>
                <w:szCs w:val="18"/>
                <w:color w:val="auto"/>
              </w:rPr>
              <w:t>Diluted</w:t>
            </w:r>
          </w:p>
        </w:tc>
        <w:tc>
          <w:tcPr>
            <w:tcW w:w="170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0.07</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7"/>
          <w:szCs w:val="27"/>
          <w:color w:val="auto"/>
          <w:vertAlign w:val="superscript"/>
        </w:rPr>
      </w:pPr>
      <w:r>
        <w:rPr>
          <w:rFonts w:ascii="Arial" w:cs="Arial" w:eastAsia="Arial" w:hAnsi="Arial"/>
          <w:sz w:val="14"/>
          <w:szCs w:val="14"/>
          <w:color w:val="auto"/>
        </w:rPr>
        <w:t>Per share data is based on average weighted shares outstanding</w:t>
      </w:r>
      <w:r>
        <w:rPr>
          <w:rFonts w:ascii="Arial" w:cs="Arial" w:eastAsia="Arial" w:hAnsi="Arial"/>
          <w:sz w:val="17"/>
          <w:szCs w:val="17"/>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Net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the authority to issue 100,000,000 shares of common stock, $0.01 par value per share.</w:t>
      </w:r>
    </w:p>
    <w:p>
      <w:pPr>
        <w:spacing w:after="0" w:line="225" w:lineRule="exact"/>
        <w:rPr>
          <w:sz w:val="20"/>
          <w:szCs w:val="20"/>
          <w:color w:val="auto"/>
        </w:rPr>
      </w:pPr>
    </w:p>
    <w:p>
      <w:pPr>
        <w:jc w:val="both"/>
        <w:ind w:right="260" w:firstLine="648"/>
        <w:spacing w:after="0" w:line="311" w:lineRule="auto"/>
        <w:rPr>
          <w:sz w:val="20"/>
          <w:szCs w:val="20"/>
          <w:color w:val="auto"/>
        </w:rPr>
      </w:pPr>
      <w:r>
        <w:rPr>
          <w:rFonts w:ascii="Arial" w:cs="Arial" w:eastAsia="Arial" w:hAnsi="Arial"/>
          <w:sz w:val="16"/>
          <w:szCs w:val="16"/>
          <w:color w:val="auto"/>
        </w:rPr>
        <w:t>On October 25, 2021, the Company closed its IPO, issuing 6,850,000 shares of its common stock at a public offering price of $14.60 per share. Net of underwriting fees and offering costs, the Company received net cash proceeds of approximately $93 million. The Company’s common stock began trading on the Nasdaq Global Select Market under the symbol “RWAY” on October 21, 2021.</w:t>
      </w:r>
    </w:p>
    <w:p>
      <w:pPr>
        <w:spacing w:after="0" w:line="1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October 25, 2021, the Company entered into subscription agreements (the “Subscription Agreements”) with investors providing for the private placement of the Company’s common shares. Under the terms of the Subscription Agreements, investors were required to fund drawdowns to purchase the Company’s common shares up to the amount of their respective capital commitment on an as-needed basis each time the Company delivered a drawdown notice to its investors.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connection with the Initial Private Offering, the Company issued 18,241,157 shares of our common stock to stockholders for a total purchase price of $275,000,000. Between June 14, 2019 and March 31, 2022, the Company accepted $181,673,500 in capital commitments under its Second Private Offering. As of March 31, 2022 and December 31, 2021, the Company had issued 9,617,379 shares of common stock for aggregate proceeds of $144,260,683 under the Second Private Offering. Concurrent with the IPO, all undrawn commitments under the Second Private Offering were cancelled.</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2022, the Company has issued 22,564 shares as an additional direct investment by Runway Growth Holdings LLC, an affiliate of RGC, at $15.00 per share for total proceeds of $338,453 in a private offering pursuant to an exemption from registration under Regulation D of the Securities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2022, the Company repurchased 31,782 shares for an aggregate purchase price of $409,223 in connection with its Repurchase Program and no shares were issued in connection with the reinvestment of dividends. The following table summarizes capital activity during the three months ended March 31,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9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Distributable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980" w:type="dxa"/>
            <w:vAlign w:val="bottom"/>
            <w:gridSpan w:val="4"/>
            <w:vMerge w:val="continue"/>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(Losses)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56"/>
        </w:trPr>
        <w:tc>
          <w:tcPr>
            <w:tcW w:w="4420" w:type="dxa"/>
            <w:vAlign w:val="bottom"/>
          </w:tcPr>
          <w:p>
            <w:pPr>
              <w:spacing w:after="0"/>
              <w:rPr>
                <w:sz w:val="13"/>
                <w:szCs w:val="13"/>
                <w:color w:val="auto"/>
              </w:rPr>
            </w:pPr>
          </w:p>
        </w:tc>
        <w:tc>
          <w:tcPr>
            <w:tcW w:w="106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80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24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06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3"/>
              </w:rPr>
              <w:t>Earnings</w:t>
            </w:r>
          </w:p>
        </w:tc>
        <w:tc>
          <w:tcPr>
            <w:tcW w:w="11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41,380,614</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$ 413,806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$ 606,047,671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(266,986)</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$ 606,194,491</w:t>
            </w: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Acquisition of treasury shares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(31,782)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(408,905)</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(409,223)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Reinvestment of dividends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Offering costs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Net investment income</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12,459,893</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12,459,893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realized gain (loss) on investments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(371,262)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(371,262)</w:t>
            </w: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on investments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(9,235,540)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(9,235,540)</w:t>
            </w: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Dividends declared</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(11,172,667)</w:t>
            </w:r>
          </w:p>
        </w:tc>
        <w:tc>
          <w:tcPr>
            <w:tcW w:w="1120" w:type="dxa"/>
            <w:vAlign w:val="bottom"/>
          </w:tcPr>
          <w:p>
            <w:pPr>
              <w:jc w:val="right"/>
              <w:spacing w:after="0"/>
              <w:rPr>
                <w:sz w:val="20"/>
                <w:szCs w:val="20"/>
                <w:color w:val="auto"/>
              </w:rPr>
            </w:pPr>
            <w:r>
              <w:rPr>
                <w:rFonts w:ascii="Arial" w:cs="Arial" w:eastAsia="Arial" w:hAnsi="Arial"/>
                <w:sz w:val="18"/>
                <w:szCs w:val="18"/>
                <w:color w:val="auto"/>
              </w:rPr>
              <w:t>(11,172,667)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reconciliation of stockholders'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equity in accordance with U.S. GAAP</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41,348,832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$ 413,488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$ 605,638,766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(8,586,562)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$ 597,465,692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three months ended March 31, 2021, the Company issued 618,815 shares for $9,183,220 in connection with the reinvestment of dividends. The following table summarizes capital activity during the three months ended March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860" w:type="dxa"/>
            <w:vAlign w:val="bottom"/>
            <w:gridSpan w:val="3"/>
            <w:vMerge w:val="restart"/>
          </w:tcPr>
          <w:p>
            <w:pPr>
              <w:jc w:val="right"/>
              <w:ind w:right="37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Distributable</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255"/>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4"/>
              <w:spacing w:after="0"/>
              <w:rPr>
                <w:sz w:val="20"/>
                <w:szCs w:val="20"/>
                <w:color w:val="auto"/>
              </w:rPr>
            </w:pPr>
            <w:r>
              <w:rPr>
                <w:rFonts w:ascii="Arial" w:cs="Arial" w:eastAsia="Arial" w:hAnsi="Arial"/>
                <w:sz w:val="14"/>
                <w:szCs w:val="14"/>
                <w:b w:val="1"/>
                <w:bCs w:val="1"/>
                <w:color w:val="auto"/>
                <w:w w:val="86"/>
              </w:rPr>
              <w:t>(Losses)</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55"/>
        </w:trPr>
        <w:tc>
          <w:tcPr>
            <w:tcW w:w="43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31,414,051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$ 314,140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$ 466,872,304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(942,759)</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$ 466,243,685</w:t>
            </w: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20,461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306,706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306,911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Reinvestment of dividends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9,177,032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9,183,220</w:t>
            </w: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11,481,732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11,481,732</w:t>
            </w: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Net realized gain (loss)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(199,223)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(199,223)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(depreciation)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(1,911,181)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(1,911,181)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(11,623,199)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(11,623,199)</w:t>
            </w: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Tax reconciliation of stockholders'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accordance with U.S. GAAP</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Balance, end of period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32,053,327</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$ 320,533</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$ 476,351,521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(3,194,630)</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$ 473,477,424</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80" w:type="dxa"/>
            <w:vAlign w:val="bottom"/>
          </w:tcPr>
          <w:p>
            <w:pPr>
              <w:spacing w:after="0"/>
              <w:rPr>
                <w:sz w:val="24"/>
                <w:szCs w:val="24"/>
                <w:color w:val="auto"/>
              </w:rPr>
            </w:pPr>
          </w:p>
        </w:tc>
        <w:tc>
          <w:tcPr>
            <w:tcW w:w="940" w:type="dxa"/>
            <w:vAlign w:val="bottom"/>
          </w:tcPr>
          <w:p>
            <w:pPr>
              <w:jc w:val="right"/>
              <w:ind w:right="17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shares of common stock issued, the price per share and the proceeds raised, from inception through March 31, 2022, are detailed in the following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Price Per</w:t>
            </w:r>
          </w:p>
        </w:tc>
        <w:tc>
          <w:tcPr>
            <w:tcW w:w="120" w:type="dxa"/>
            <w:vAlign w:val="bottom"/>
          </w:tcPr>
          <w:p>
            <w:pPr>
              <w:spacing w:after="0"/>
              <w:rPr>
                <w:sz w:val="14"/>
                <w:szCs w:val="14"/>
                <w:color w:val="auto"/>
              </w:rPr>
            </w:pPr>
          </w:p>
        </w:tc>
        <w:tc>
          <w:tcPr>
            <w:tcW w:w="1020" w:type="dxa"/>
            <w:vAlign w:val="bottom"/>
          </w:tcPr>
          <w:p>
            <w:pPr>
              <w:jc w:val="right"/>
              <w:ind w:right="331"/>
              <w:spacing w:after="0"/>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71"/>
        </w:trPr>
        <w:tc>
          <w:tcPr>
            <w:tcW w:w="6620" w:type="dxa"/>
            <w:vAlign w:val="bottom"/>
            <w:gridSpan w:val="2"/>
            <w:vMerge w:val="continue"/>
          </w:tcPr>
          <w:p>
            <w:pPr>
              <w:spacing w:after="0"/>
              <w:rPr>
                <w:sz w:val="14"/>
                <w:szCs w:val="14"/>
                <w:color w:val="auto"/>
              </w:rPr>
            </w:pP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Issued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4"/>
                <w:szCs w:val="14"/>
                <w:color w:val="auto"/>
              </w:rPr>
            </w:pPr>
          </w:p>
        </w:tc>
        <w:tc>
          <w:tcPr>
            <w:tcW w:w="1020" w:type="dxa"/>
            <w:vAlign w:val="bottom"/>
          </w:tcPr>
          <w:p>
            <w:pPr>
              <w:jc w:val="right"/>
              <w:ind w:right="211"/>
              <w:spacing w:after="0"/>
              <w:rPr>
                <w:sz w:val="20"/>
                <w:szCs w:val="20"/>
                <w:color w:val="auto"/>
              </w:rPr>
            </w:pPr>
            <w:r>
              <w:rPr>
                <w:rFonts w:ascii="Arial" w:cs="Arial" w:eastAsia="Arial" w:hAnsi="Arial"/>
                <w:sz w:val="14"/>
                <w:szCs w:val="14"/>
                <w:b w:val="1"/>
                <w:bCs w:val="1"/>
                <w:color w:val="auto"/>
              </w:rPr>
              <w:t>Proceeds</w:t>
            </w:r>
          </w:p>
        </w:tc>
        <w:tc>
          <w:tcPr>
            <w:tcW w:w="0" w:type="dxa"/>
            <w:vAlign w:val="bottom"/>
          </w:tcPr>
          <w:p>
            <w:pPr>
              <w:spacing w:after="0"/>
              <w:rPr>
                <w:sz w:val="1"/>
                <w:szCs w:val="1"/>
                <w:color w:val="auto"/>
              </w:rPr>
            </w:pPr>
          </w:p>
        </w:tc>
      </w:tr>
      <w:tr>
        <w:trPr>
          <w:trHeight w:val="209"/>
        </w:trPr>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8, 2015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December 22, 2016</w:t>
            </w:r>
          </w:p>
        </w:tc>
        <w:tc>
          <w:tcPr>
            <w:tcW w:w="940" w:type="dxa"/>
            <w:vAlign w:val="bottom"/>
          </w:tcPr>
          <w:p>
            <w:pPr>
              <w:jc w:val="right"/>
              <w:spacing w:after="0"/>
              <w:rPr>
                <w:sz w:val="20"/>
                <w:szCs w:val="20"/>
                <w:color w:val="auto"/>
              </w:rPr>
            </w:pPr>
            <w:r>
              <w:rPr>
                <w:rFonts w:ascii="Arial" w:cs="Arial" w:eastAsia="Arial" w:hAnsi="Arial"/>
                <w:sz w:val="18"/>
                <w:szCs w:val="18"/>
                <w:color w:val="auto"/>
              </w:rPr>
              <w:t>333,333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19,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June 26, 2017</w:t>
            </w:r>
          </w:p>
        </w:tc>
        <w:tc>
          <w:tcPr>
            <w:tcW w:w="940" w:type="dxa"/>
            <w:vAlign w:val="bottom"/>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12,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December 22, 2017</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May 31,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August 31,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117,582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1,754,244</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27, 2018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November 15,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202,779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3,055,498</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14,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4,344,964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March 26,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326,431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4,942,168</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May 21,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5,670,467</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May 24, 2019</w:t>
            </w:r>
          </w:p>
        </w:tc>
        <w:tc>
          <w:tcPr>
            <w:tcW w:w="940" w:type="dxa"/>
            <w:vAlign w:val="bottom"/>
          </w:tcPr>
          <w:p>
            <w:pPr>
              <w:jc w:val="right"/>
              <w:spacing w:after="0"/>
              <w:rPr>
                <w:sz w:val="20"/>
                <w:szCs w:val="20"/>
                <w:color w:val="auto"/>
              </w:rPr>
            </w:pPr>
            <w:r>
              <w:rPr>
                <w:rFonts w:ascii="Arial" w:cs="Arial" w:eastAsia="Arial" w:hAnsi="Arial"/>
                <w:sz w:val="18"/>
                <w:szCs w:val="18"/>
                <w:color w:val="auto"/>
              </w:rPr>
              <w:t>3,232,189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49,000,000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July 16,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7,035,236</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August 26,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480,121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7,088,143</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15,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November 12,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43,979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649,123</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December 23,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487,166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7,073,650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March 20,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8,385,423</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March 31, 2020</w:t>
            </w:r>
          </w:p>
        </w:tc>
        <w:tc>
          <w:tcPr>
            <w:tcW w:w="940" w:type="dxa"/>
            <w:vAlign w:val="bottom"/>
          </w:tcPr>
          <w:p>
            <w:pPr>
              <w:jc w:val="right"/>
              <w:spacing w:after="0"/>
              <w:rPr>
                <w:sz w:val="20"/>
                <w:szCs w:val="20"/>
                <w:color w:val="auto"/>
              </w:rPr>
            </w:pPr>
            <w:r>
              <w:rPr>
                <w:rFonts w:ascii="Arial" w:cs="Arial" w:eastAsia="Arial" w:hAnsi="Arial"/>
                <w:sz w:val="18"/>
                <w:szCs w:val="18"/>
                <w:color w:val="auto"/>
              </w:rPr>
              <w:t>21,021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May 21,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7,538,541</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August 6,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550,639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7,934,712</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15,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November 12,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593,692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8,584,772</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March 19, 2021</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9,183,220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March 24, 2021</w:t>
            </w:r>
          </w:p>
        </w:tc>
        <w:tc>
          <w:tcPr>
            <w:tcW w:w="940" w:type="dxa"/>
            <w:vAlign w:val="bottom"/>
          </w:tcPr>
          <w:p>
            <w:pPr>
              <w:jc w:val="right"/>
              <w:spacing w:after="0"/>
              <w:rPr>
                <w:sz w:val="20"/>
                <w:szCs w:val="20"/>
                <w:color w:val="auto"/>
              </w:rPr>
            </w:pPr>
            <w:r>
              <w:rPr>
                <w:rFonts w:ascii="Arial" w:cs="Arial" w:eastAsia="Arial" w:hAnsi="Arial"/>
                <w:sz w:val="18"/>
                <w:szCs w:val="18"/>
                <w:color w:val="auto"/>
              </w:rPr>
              <w:t>20,461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306,911</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May 13, 2021</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9,410,371</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August 12, 2021</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575,032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8,401,215</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29,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18,976,917</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October 25, 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6,850,000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14.60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100,010,000</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41,380,614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617,386,489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15684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9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4"/>
          <w:szCs w:val="14"/>
          <w:color w:val="auto"/>
        </w:rPr>
        <w:t>Shares were issued as part of the dividend reinvestment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Agreements and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Advisory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(together with a subsequent amendment thereto, the “Prior Agreement”). On August 3, 2017, the Board of Directors approved certain amendments to the Prior Agreement (the “First Amended and Restated Advisory Agreement”) and recommended that the Company’s stockholders approve the First Amended and Restated Advisory Agreement. The First Amended and Restated Advisory Agreement became effective on September 12, 2017 upon approval by the stockholders at a special meeting of stockholders of the Company. On April 7, 2021, the Board of Directors approved certain additional amendments to the advisory agreement (the “Advisory Agreement”) at a virtual meeting and recommended that the Company’s stockholders approve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Advisory Agreement. In reliance upon certain exemptive relief granted by the SEC in connection with the global COVID-19 pandemic, the Board of Directors undertook to ratify the Advisory Agreement at its next in-person meeting which was held in July 2021. The Advisory Agreement became effective on May 27, 2021 upon approval by the stockholders at a special meeting of stockholders of the Company. The Advisory Agreement amended the Prior Advisory Agreement to include certain revisions to the management and incentive fee calculation mechanisms and clarify language relating to liquidity events. Under the terms of the Advisory Agreement, RGC:</w:t>
      </w:r>
    </w:p>
    <w:p>
      <w:pPr>
        <w:spacing w:after="0" w:line="192" w:lineRule="exact"/>
        <w:rPr>
          <w:sz w:val="20"/>
          <w:szCs w:val="20"/>
          <w:color w:val="auto"/>
        </w:rPr>
      </w:pPr>
    </w:p>
    <w:p>
      <w:pPr>
        <w:ind w:left="580" w:right="20" w:hanging="329"/>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determines the composition of the Company’s portfolio, the nature and timing of the changes to the portfolio and the manner of implementing such changes;</w:t>
      </w:r>
    </w:p>
    <w:p>
      <w:pPr>
        <w:spacing w:after="0" w:line="170" w:lineRule="exact"/>
        <w:rPr>
          <w:rFonts w:ascii="Arial" w:cs="Arial" w:eastAsia="Arial" w:hAnsi="Arial"/>
          <w:sz w:val="18"/>
          <w:szCs w:val="18"/>
          <w:color w:val="auto"/>
        </w:rPr>
      </w:pPr>
    </w:p>
    <w:p>
      <w:pPr>
        <w:ind w:left="580" w:hanging="315"/>
        <w:spacing w:after="0"/>
        <w:tabs>
          <w:tab w:leader="none" w:pos="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the Company makes;</w:t>
      </w:r>
    </w:p>
    <w:p>
      <w:pPr>
        <w:spacing w:after="0" w:line="198" w:lineRule="exact"/>
        <w:rPr>
          <w:rFonts w:ascii="Arial" w:cs="Arial" w:eastAsia="Arial" w:hAnsi="Arial"/>
          <w:sz w:val="18"/>
          <w:szCs w:val="18"/>
          <w:color w:val="auto"/>
        </w:rPr>
      </w:pPr>
    </w:p>
    <w:p>
      <w:pPr>
        <w:ind w:left="580" w:hanging="315"/>
        <w:spacing w:after="0"/>
        <w:tabs>
          <w:tab w:leader="none" w:pos="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executes, closes and monitors the investments the Company makes;</w:t>
      </w:r>
    </w:p>
    <w:p>
      <w:pPr>
        <w:spacing w:after="0" w:line="184" w:lineRule="exact"/>
        <w:rPr>
          <w:rFonts w:ascii="Arial" w:cs="Arial" w:eastAsia="Arial" w:hAnsi="Arial"/>
          <w:sz w:val="18"/>
          <w:szCs w:val="18"/>
          <w:color w:val="auto"/>
        </w:rPr>
      </w:pPr>
    </w:p>
    <w:p>
      <w:pPr>
        <w:ind w:left="580" w:hanging="315"/>
        <w:spacing w:after="0"/>
        <w:tabs>
          <w:tab w:leader="none" w:pos="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determines the securities and other assets that the Company will purchase, retain or sell;</w:t>
      </w:r>
    </w:p>
    <w:p>
      <w:pPr>
        <w:spacing w:after="0" w:line="184" w:lineRule="exact"/>
        <w:rPr>
          <w:rFonts w:ascii="Arial" w:cs="Arial" w:eastAsia="Arial" w:hAnsi="Arial"/>
          <w:sz w:val="18"/>
          <w:szCs w:val="18"/>
          <w:color w:val="auto"/>
        </w:rPr>
      </w:pPr>
    </w:p>
    <w:p>
      <w:pPr>
        <w:ind w:left="580" w:hanging="315"/>
        <w:spacing w:after="0"/>
        <w:tabs>
          <w:tab w:leader="none" w:pos="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198" w:lineRule="exact"/>
        <w:rPr>
          <w:rFonts w:ascii="Arial" w:cs="Arial" w:eastAsia="Arial" w:hAnsi="Arial"/>
          <w:sz w:val="18"/>
          <w:szCs w:val="18"/>
          <w:color w:val="auto"/>
        </w:rPr>
      </w:pPr>
    </w:p>
    <w:p>
      <w:pPr>
        <w:ind w:left="580" w:hanging="315"/>
        <w:spacing w:after="0" w:line="277" w:lineRule="auto"/>
        <w:tabs>
          <w:tab w:leader="none" w:pos="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provides the Company with other such investment advisory, research and related services as the Company may, from time to time, reasonably require for the investment of its funds.</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Management Fee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base management fee is payable on the first day of each calendar quarter.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For purposes of the Advisory Agreement, a “Spin-Off transaction” includes either a transaction whereby (a) the Company offers its stockholders the option to elect to either (i) retain their ownership of shares of the Company’s common stock, or (ii) exchange their shares of the Company’s common stock for shares of common stock in a newly formed entity (the “Public Fund”) that will elect to be regulated as a BDC under the 1940 Act and treated as a RIC under Subchapter M of the Code (the “Public Fund Spin Off”); or (b) the Company completes a listing of the Company’s securities on any securities exchange (an “Exchange Listing”). The base management fee will be an amount equal to 0.40% (1.60% annualized) of the Company’s average daily Gross Assets (defined below) during the most recently completed calendar quarter for so long as the aggregate amount of Gross Assets of the Company as of the end of the most recently completed calendar quarter is equal or greater than $500,000,000 but less than $1,000,000,000. For purposes of the Advisory Agreement, “Gross Assets” is defined as the Company’s gross assets, including assets purchased with borrowed funds or other forms of leverage, as well as any PIK interest, as of the end of the most recently completed fiscal quarter. If the aggregate amount of the Company’s Gross Assets as of the end of the most recently completed calendar quarter is less than $500,000,000 the base management fee will be an amount equal to 0.4375% (1.75% annualized) of the Company’s average daily Gross Assets during the most recently completed calendar quarter. If the aggregate amount of the Company’s Gross Assets as of the end of the most recently completed calendar quarter is equal to or greater than $1,000,000,000, the base management fee will be an amount equal to 0.375% (1.50% annualized) of the Company’s average daily Gross Assets during the most recently completed calendar quarter.</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RGC earned base management fees of $2,559,936 for the three months ended March 31, 2022, and $2,069,209 for the three months ended March 31,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Fee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Under the investment-income component (the “Income Incentive Fee”), the Company pays RGC each quarter an incentive fee with respect to the Company’s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amended and restated administration agreement with the Administrator (the “Administration Agreement”), and any dividends paid on any issued and outstanding preferred stock, but excluding the incentive fee). Pre-Incentive Fee net investment income includes, in the case of investments with a deferred interest feature (such as OID,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capital gains, realized capital losses or unrealized capital appreciation or depreciation.</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net investment income in each calendar quarter as follows: (1) no Income Incentive Fee in any calendar quarter in which the Company’s Pre-Incentive Fee net investment income does not exceed the hurdle rate of 2.0%; (2) 80% of the Company’s Pre-Incentive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 20.0% of the Company’s Pre-Incentive Fee net investment income as if a hurdle did not apply if the Company’s Pre-Incentive Fee net investment income exceeds 2.667% in any calendar quarter (10.668% annualized)); and (3) 20.0% of the amount of the Company’s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Prior to the consummation of the IPO, in the event that (a) the sum of the Company’s cumulative net realized losses since the date of the Company’s election to be regulated as a BDC exceeded 2.0% of the total non-control/non-affiliate investments made by the Company since the date of the Company’s election to be regulated as a BDC through the end of the quarter and (b) the Pre-Incentive Fee net investment income adjusted to include any realized capital gains and losses (“Adjusted Pre-Incentive Fee net investment income”), expressed as an annualized rate of return on the value of the Company’s average daily net assets (defined as total assets less liabilities), since the Company’s election to be regulated as a BDC through the end of the quarter was less than 10.0%, no Income Incentive Fee would be payable for such quarter until the first subsequent quarter in which either (x) the sum of the Company’s cumulative net realized losses since the date of the Company’s election to be regulated as a BDC was equal to or less than 2.0% of the total non-control/non-affiliate investments made by the Company since the date of the Company’s election to be regulated as a BDC through the end of such subsequent quarter or (y) the Adjusted Pre-Incentive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would any Income Incentive Fee be payable for any prior quarter after the three-year anniversary of the end of such quarter.</w:t>
      </w:r>
    </w:p>
    <w:p>
      <w:pPr>
        <w:spacing w:after="0" w:line="17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capital-gains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depreciation through the end of such year, less the aggregate amount of any previously paid Capital Gains Fee. For the foregoing purpose, the Company’s “aggregate cumulative realized capital gains” will not include any unrealized appreciation. If such amount is negative, then no Capital Gains Fee will be payable for such year.</w:t>
      </w:r>
    </w:p>
    <w:p>
      <w:pPr>
        <w:spacing w:after="0" w:line="16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RGC earned incentive fees of $1,343,996 for the three months ended March 31, 2022; $1,056,223 of the incentive fees for the three months ended March 31, 2022 were earned, payable in cash, and $287,773 of the incentive fees for the three months ended</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March 31, 2022 were accrued and generated from deferred interest (i.e., PIK interest and certain discount accretion) and are not payable pending receipt of cash by the Company. RGC earned incentive fees for the three months ended March 31, 2021 of $975,704; $739,231 of the incentive fees for the three months ended March 31, 2021 were earned, payable in cash, and $236,473 of the incentive fees for the three months ended March 31, 2021 were accrued and deferred (i.e., PIK interest and certain discount accretion) and are not payable pending receipt of cash by the Company. Both currently payable in cash, $1,142,175 and $2,493,508, and deferred incentive fees, $3,718,563 and $3,516,742, are included in accrued incentive fees on the Statements of Assets and Liabilities as of March 31, 2022 and December 31, 2021, respectively.</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capital gains incentive fee consists of fees related to realized gains, realized capital losses and unrealized capital depreciation. With respect to the incentive fee expense accrual related to the capital gains incentive fee, U.S. GAAP requires that the capital gains invective fee accrual consider the cumulative aggregate unrealized appreciation in the calculation, as a capital gains incentive fee would be payable if such unrealized appreciation were realized even though such unrealized appreciation is not permitted to be considered in calculating the fee actually payable under the Advisory Agreement. As of each of March 31, 2022 and December 31, 2021, there was no capital gains incentive fee accrued, earned or payable to RGC under the Advisory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Spin-Off Incentive Fee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Income Incentive Fee payable in connection with a Public Fund Spin-Off, including the IPO, as follows. The Income Incentive Fee is calculated as of the date of the completion of each Public Fund Spin-Off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the Public Fund Spin-Off (x) include the portion of the Income Incentive Fee attributable to deferred interest features of a particular investment that is not transferred pursuant to the Public Fund Spin-Off until such time as the deferred interest is received in cash, or (y) exceed 20.0% of the Company’s Pre-Incentive Fee net investment income accrued by the Company for the fiscal quarter as of the date of the completion of the Public-Fund Spin-Off. The Company will make the payment of the Income Incentive Fee paid in connection with the completion of the Public Fund Spin-Off in cash on or immediately following the date of the completion of the Public-Fund Spin-Off. After the Public Fund Spin-Off, all calculations relating to the incentive fee payable will be made beginning on the day immediately following the completion of the Public Fund Spin-Off without taking into account the exchanged shares of the Company’s common stock (or contributions, distributions or proceeds relating thereto).</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Capital Gains Fee is payable in respect of the exchanged shares of the Company’s common stock in connection with the Public Fund Spin-Off and is calculated as of the date of the completion of the Public Fund Spin-Off as if such date were a calendar year-end for purposes of calculating and paying the Capital Gains Fee.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Income Incentive Fee or Capital Gains Fee is payable in connection with the Public Fund Spin-Off unless, on the date of the completion of the Public Fund Spin-Off, the sum of the Company’s (i) Pre-Incentive Fee net investment income and (ii) realized capital gains less realized capital losses and unrealized capital depreciation from the date of the Company’s election to be regulated as a BDC through, and including, the date of the completion of the Public Fund Spin-Off, is greater than 8.0% of the cumulative net investments made by the Company since the Company’s election to be regulated as a BDC.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reimburses the Administrator for the allocable portion of overhead and other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reimbursed the Administrator $288,108 during the three months ended March 31, 2022. As of March 31, 2022, the Company had accrued a net payable to the Administrator of $194,748. Of the total amount reimbursed and accrued during the</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three months ended March 31, 2022, $252,283 was related to overhead allocation expense. The Company reimbursed the Administrator $315,540 during the three months ended March 31, 2021. As of March 31, 2021, the Company accrued a net payable to the Administrator of $32,858. Of the total amount reimbursed and accrued during the three months ended March 31, 2021, $285,915 was related to overhead allocation expense. As of December 31, 2021, the Company had accrued a net payable to the Administrator of $221,243. Administration fees, which include fees payable by the Administrator to third-party service providers who provide additional administration services for the Company, were $168,573 for the three months ended March 31, 2022. Administration fees, which include fees payable by the Administrator to third-party service providers who provide additional administration services for the Company, were $148,100 for the three months ended March 31,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for so long as RGC or one of its affiliates remains the Company’s investment adviser. Other than with respect to this limited license, the Company has no legal right to the “Runway Growth Finance” name.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Oaktree Strategic Relationship</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connection with the strategic relationship, OCM purchased an aggregate of 14,571,334 shares of our common stock for an aggregate purchase price of $219.3 million in our Initial Private Offering and our Second Private Offering. As of March 31, 2022, OCM owns 21,129,668 shares of our common stock or approximately 51% of our total issued and outstanding shares. OCM has granted a proxy to us pursuant to which the shares held by OCM will be voted in the same proportion as our other stockholders vote their shares.</w:t>
      </w:r>
    </w:p>
    <w:p>
      <w:pPr>
        <w:spacing w:after="0" w:line="1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connection with OCM’s commitment, the Company entered into a stockholder agreement, dated December 15, 2016, with OCM, pursuant to which OCM has a right to nominate a member of the Company’s Board of Directors for election for so long as OCM holds shares of the Company’s common stock in an amount equal to, in the aggregate, at least one-third (33%) of OCM’s initial $125 million capital commitment. Brian Laibow, Co-Head of North America &amp; Managing Director Opportunities Funds, serves on the Company’s Board of Directors as OCM’s director nominee and is considered an interested director. OCM also holds a minority interest in RGC and has the right to appoint a member of RGC’s board of managers and a member of RGC’s investment committee. Brian Laibow is OCM’s appointee to RGC’s board of managers and investment committee. OCM also purchased additional equity in RGC in connection with its commitment to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assets and liabilities recorded at fair value have been categorized based upon a fair value hierarchy in accordance with ASC Topic 820. See Note 2 for discussion of the Company’s valuation policies.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measured at fair value as of March 31, 2022 and December 31, 2021,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As of March 31, 2022 (Unaudited)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6,474,723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1,348,774</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7,823,497</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Secured Term Loans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698,576,393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698,576,393</w:t>
            </w: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Second Lien Term Loans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13,048,827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13,048,827</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12,064,491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1,441,724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13,506,215</w:t>
            </w:r>
          </w:p>
        </w:tc>
      </w:tr>
      <w:tr>
        <w:trPr>
          <w:trHeight w:val="216"/>
        </w:trPr>
        <w:tc>
          <w:tcPr>
            <w:tcW w:w="3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21,334,438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21,334,438</w:t>
            </w: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18,539,214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735,750,156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754,289,370</w:t>
            </w:r>
          </w:p>
        </w:tc>
      </w:tr>
      <w:tr>
        <w:trPr>
          <w:trHeight w:val="210"/>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1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18,539,214</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735,750,156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754,289,370</w:t>
            </w:r>
          </w:p>
        </w:tc>
      </w:tr>
      <w:tr>
        <w:trPr>
          <w:trHeight w:val="20"/>
        </w:trPr>
        <w:tc>
          <w:tcPr>
            <w:tcW w:w="3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As of December 31, 2021</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02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2,559,932</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8,903,933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11,463,865</w:t>
            </w: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Secured Term Loans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623,053,646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623,053,646</w:t>
            </w: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Second Lien Term Loans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12,872,588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12,872,588</w:t>
            </w: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15,704,705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1,332,420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17,037,125</w:t>
            </w:r>
          </w:p>
        </w:tc>
      </w:tr>
      <w:tr>
        <w:trPr>
          <w:trHeight w:val="216"/>
        </w:trPr>
        <w:tc>
          <w:tcPr>
            <w:tcW w:w="4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20,087,550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20,087,550</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18,264,637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8,903,933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657,346,204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684,514,774</w:t>
            </w:r>
          </w:p>
        </w:tc>
      </w:tr>
      <w:tr>
        <w:trPr>
          <w:trHeight w:val="216"/>
        </w:trPr>
        <w:tc>
          <w:tcPr>
            <w:tcW w:w="4800" w:type="dxa"/>
            <w:vAlign w:val="bottom"/>
          </w:tcPr>
          <w:p>
            <w:pPr>
              <w:spacing w:after="0"/>
              <w:rPr>
                <w:sz w:val="20"/>
                <w:szCs w:val="20"/>
                <w:color w:val="auto"/>
              </w:rPr>
            </w:pPr>
            <w:r>
              <w:rPr>
                <w:rFonts w:ascii="Arial" w:cs="Arial" w:eastAsia="Arial" w:hAnsi="Arial"/>
                <w:sz w:val="18"/>
                <w:szCs w:val="18"/>
                <w:b w:val="1"/>
                <w:bCs w:val="1"/>
                <w:color w:val="auto"/>
              </w:rPr>
              <w:t>U.S. Treasury Bill</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45,001,500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45,001,500</w:t>
            </w:r>
          </w:p>
        </w:tc>
      </w:tr>
      <w:tr>
        <w:trPr>
          <w:trHeight w:val="209"/>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63,266,137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8,903,933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657,346,204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729,516,274</w:t>
            </w:r>
          </w:p>
        </w:tc>
      </w:tr>
      <w:tr>
        <w:trPr>
          <w:trHeight w:val="20"/>
        </w:trPr>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recognizes transfers into and out of the levels indicated above at the end of each reporting period. During the three months ended March 31, 2022, the Company had common stock investments with restrictions lifted, resulting in an asset transfer out of Level 2 and into Level 1 at the fair value of $5,421,235. During the year ended December 31, 2021, the Company had warrant investments converted to common stock investments, resulting in an asset transfer out of Level 3 and into Level 2 at the fair value of $15,305,039.</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Level 3 assets measured at fair value as of March 31, 2022: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Common</w:t>
            </w:r>
          </w:p>
        </w:tc>
        <w:tc>
          <w:tcPr>
            <w:tcW w:w="12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Senior Secured</w:t>
            </w:r>
          </w:p>
        </w:tc>
        <w:tc>
          <w:tcPr>
            <w:tcW w:w="120" w:type="dxa"/>
            <w:vAlign w:val="bottom"/>
          </w:tcPr>
          <w:p>
            <w:pPr>
              <w:spacing w:after="0"/>
              <w:rPr>
                <w:sz w:val="14"/>
                <w:szCs w:val="14"/>
                <w:color w:val="auto"/>
              </w:rPr>
            </w:pPr>
          </w:p>
        </w:tc>
        <w:tc>
          <w:tcPr>
            <w:tcW w:w="92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Second Lien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10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13"/>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Term Loans</w:t>
            </w:r>
          </w:p>
        </w:tc>
        <w:tc>
          <w:tcPr>
            <w:tcW w:w="120" w:type="dxa"/>
            <w:vAlign w:val="bottom"/>
          </w:tcPr>
          <w:p>
            <w:pPr>
              <w:spacing w:after="0"/>
              <w:rPr>
                <w:sz w:val="14"/>
                <w:szCs w:val="14"/>
                <w:color w:val="auto"/>
              </w:rPr>
            </w:pPr>
          </w:p>
        </w:tc>
        <w:tc>
          <w:tcPr>
            <w:tcW w:w="92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Term Loans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2021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1,332,420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623,053,646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12,872,588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20,087,550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657,346,204</w:t>
            </w:r>
          </w:p>
        </w:tc>
        <w:tc>
          <w:tcPr>
            <w:tcW w:w="0" w:type="dxa"/>
            <w:vAlign w:val="bottom"/>
          </w:tcPr>
          <w:p>
            <w:pPr>
              <w:spacing w:after="0"/>
              <w:rPr>
                <w:sz w:val="1"/>
                <w:szCs w:val="1"/>
                <w:color w:val="auto"/>
              </w:rPr>
            </w:pPr>
          </w:p>
        </w:tc>
      </w:tr>
      <w:tr>
        <w:trPr>
          <w:trHeight w:val="202"/>
        </w:trPr>
        <w:tc>
          <w:tcPr>
            <w:tcW w:w="2900" w:type="dxa"/>
            <w:vAlign w:val="bottom"/>
            <w:gridSpan w:val="2"/>
          </w:tcPr>
          <w:p>
            <w:pPr>
              <w:spacing w:after="0" w:line="201" w:lineRule="exact"/>
              <w:rPr>
                <w:sz w:val="20"/>
                <w:szCs w:val="20"/>
                <w:color w:val="auto"/>
              </w:rPr>
            </w:pPr>
            <w:r>
              <w:rPr>
                <w:rFonts w:ascii="Arial" w:cs="Arial" w:eastAsia="Arial" w:hAnsi="Arial"/>
                <w:sz w:val="18"/>
                <w:szCs w:val="18"/>
                <w:color w:val="auto"/>
              </w:rPr>
              <w:t>Amortization of fixed income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premiums or accretion of discounts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2,799,558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25,804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2,825,362</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4,551,235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81,557,042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86,856,674</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line="216" w:lineRule="exact"/>
              <w:rPr>
                <w:sz w:val="20"/>
                <w:szCs w:val="20"/>
                <w:color w:val="auto"/>
              </w:rPr>
            </w:pPr>
            <w:r>
              <w:rPr>
                <w:rFonts w:ascii="Arial" w:cs="Arial" w:eastAsia="Arial" w:hAnsi="Arial"/>
                <w:sz w:val="17"/>
                <w:szCs w:val="17"/>
                <w:color w:val="auto"/>
                <w:w w:val="99"/>
              </w:rPr>
              <w:t>Sales or repayments of investments</w:t>
            </w:r>
            <w:r>
              <w:rPr>
                <w:rFonts w:ascii="Arial" w:cs="Arial" w:eastAsia="Arial" w:hAnsi="Arial"/>
                <w:sz w:val="25"/>
                <w:szCs w:val="25"/>
                <w:color w:val="auto"/>
                <w:w w:val="99"/>
                <w:vertAlign w:val="superscript"/>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(7,986,294)</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(262,497)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(8,248,791)</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Realized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(267,389)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(267,389)</w:t>
            </w:r>
          </w:p>
        </w:tc>
        <w:tc>
          <w:tcPr>
            <w:tcW w:w="0" w:type="dxa"/>
            <w:vAlign w:val="bottom"/>
          </w:tcPr>
          <w:p>
            <w:pPr>
              <w:spacing w:after="0"/>
              <w:rPr>
                <w:sz w:val="1"/>
                <w:szCs w:val="1"/>
                <w:color w:val="auto"/>
              </w:rPr>
            </w:pPr>
          </w:p>
        </w:tc>
      </w:tr>
      <w:tr>
        <w:trPr>
          <w:trHeight w:val="202"/>
        </w:trPr>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Change in unrealized appreciation</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109,304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(3,202,461)</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(847,559)</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1,178,812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(2,761,904)</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Fair value at March 31, 2022</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1,441,724</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1,348,774</w:t>
            </w: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698,576,393</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13,048,827</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21,334,438</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735,750,156</w:t>
            </w:r>
          </w:p>
        </w:tc>
        <w:tc>
          <w:tcPr>
            <w:tcW w:w="0" w:type="dxa"/>
            <w:vAlign w:val="bottom"/>
          </w:tcPr>
          <w:p>
            <w:pPr>
              <w:spacing w:after="0"/>
              <w:rPr>
                <w:sz w:val="1"/>
                <w:szCs w:val="1"/>
                <w:color w:val="auto"/>
              </w:rPr>
            </w:pPr>
          </w:p>
        </w:tc>
      </w:tr>
      <w:tr>
        <w:trPr>
          <w:trHeight w:val="155"/>
        </w:trPr>
        <w:tc>
          <w:tcPr>
            <w:tcW w:w="2900" w:type="dxa"/>
            <w:vAlign w:val="bottom"/>
            <w:gridSpan w:val="2"/>
            <w:shd w:val="clear" w:color="auto" w:fill="CCEEFF"/>
          </w:tcPr>
          <w:p>
            <w:pPr>
              <w:spacing w:after="0" w:line="155" w:lineRule="exact"/>
              <w:rPr>
                <w:sz w:val="20"/>
                <w:szCs w:val="20"/>
                <w:color w:val="auto"/>
              </w:rPr>
            </w:pPr>
            <w:r>
              <w:rPr>
                <w:rFonts w:ascii="Arial" w:cs="Arial" w:eastAsia="Arial" w:hAnsi="Arial"/>
                <w:sz w:val="17"/>
                <w:szCs w:val="17"/>
                <w:color w:val="auto"/>
              </w:rPr>
              <w:t>Change in unrealized appreciation</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(depreciation) on Level 3 investments</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109,304</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1"/>
              </w:rPr>
              <w:t>(3,202,461)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(2,651,472)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858,770</w:t>
            </w:r>
          </w:p>
        </w:tc>
        <w:tc>
          <w:tcPr>
            <w:tcW w:w="16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(4,885,859)</w:t>
            </w:r>
          </w:p>
        </w:tc>
        <w:tc>
          <w:tcPr>
            <w:tcW w:w="0" w:type="dxa"/>
            <w:vAlign w:val="bottom"/>
          </w:tcPr>
          <w:p>
            <w:pPr>
              <w:spacing w:after="0"/>
              <w:rPr>
                <w:sz w:val="1"/>
                <w:szCs w:val="1"/>
                <w:color w:val="auto"/>
              </w:rPr>
            </w:pPr>
          </w:p>
        </w:tc>
      </w:tr>
      <w:tr>
        <w:trPr>
          <w:trHeight w:val="217"/>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still held as of March 31, 2022</w:t>
            </w:r>
          </w:p>
        </w:tc>
        <w:tc>
          <w:tcPr>
            <w:tcW w:w="2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1"/>
          <w:szCs w:val="11"/>
          <w:color w:val="auto"/>
        </w:rPr>
      </w:pPr>
      <w:r>
        <w:rPr>
          <w:rFonts w:ascii="Arial" w:cs="Arial" w:eastAsia="Arial" w:hAnsi="Arial"/>
          <w:sz w:val="14"/>
          <w:szCs w:val="14"/>
          <w:color w:val="auto"/>
        </w:rPr>
        <w:t>Includes PIK interest, net of reorganization and restructuring of investments.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Level 3 assets measured at fair value as of March 31,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Preferred</w:t>
            </w:r>
          </w:p>
        </w:tc>
        <w:tc>
          <w:tcPr>
            <w:tcW w:w="12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Senior Secured</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1"/>
              </w:rPr>
              <w:t>Second Lien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10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Term Loans</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Term Loans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1,336,268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501,964,657</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33,008,672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536,309,597</w:t>
            </w:r>
          </w:p>
        </w:tc>
        <w:tc>
          <w:tcPr>
            <w:tcW w:w="0" w:type="dxa"/>
            <w:vAlign w:val="bottom"/>
          </w:tcPr>
          <w:p>
            <w:pPr>
              <w:spacing w:after="0"/>
              <w:rPr>
                <w:sz w:val="1"/>
                <w:szCs w:val="1"/>
                <w:color w:val="auto"/>
              </w:rPr>
            </w:pPr>
          </w:p>
        </w:tc>
      </w:tr>
      <w:tr>
        <w:trPr>
          <w:trHeight w:val="202"/>
        </w:trPr>
        <w:tc>
          <w:tcPr>
            <w:tcW w:w="4340" w:type="dxa"/>
            <w:vAlign w:val="bottom"/>
            <w:gridSpan w:val="2"/>
          </w:tcPr>
          <w:p>
            <w:pPr>
              <w:spacing w:after="0" w:line="201" w:lineRule="exact"/>
              <w:rPr>
                <w:sz w:val="20"/>
                <w:szCs w:val="20"/>
                <w:color w:val="auto"/>
              </w:rPr>
            </w:pPr>
            <w:r>
              <w:rPr>
                <w:rFonts w:ascii="Arial" w:cs="Arial" w:eastAsia="Arial" w:hAnsi="Arial"/>
                <w:sz w:val="18"/>
                <w:szCs w:val="18"/>
                <w:color w:val="auto"/>
              </w:rPr>
              <w:t>Amortization of fixed income premiums or accretion of</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discounts</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2,172,634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2,172,634</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52,195,287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54,741,021</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line="216" w:lineRule="exact"/>
              <w:rPr>
                <w:sz w:val="20"/>
                <w:szCs w:val="20"/>
                <w:color w:val="auto"/>
              </w:rPr>
            </w:pPr>
            <w:r>
              <w:rPr>
                <w:rFonts w:ascii="Arial" w:cs="Arial" w:eastAsia="Arial" w:hAnsi="Arial"/>
                <w:sz w:val="17"/>
                <w:szCs w:val="17"/>
                <w:color w:val="auto"/>
              </w:rPr>
              <w:t>Sales or repayments of investments</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(16,566,437)</w:t>
            </w:r>
          </w:p>
        </w:tc>
        <w:tc>
          <w:tcPr>
            <w:tcW w:w="30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(16,566,437)</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(9,492,345)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(9,492,345)</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Realized gain (loss)</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(216,610)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(216,610)</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unrealized appreciation (depreciation)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(279,568)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(437,128)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(2,262,612)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(2,979,308)</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Fair value at March 31,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3,056,700</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539,329,013</w:t>
            </w:r>
          </w:p>
        </w:tc>
        <w:tc>
          <w:tcPr>
            <w:tcW w:w="1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21,582,839</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563,968,552</w:t>
            </w:r>
          </w:p>
        </w:tc>
        <w:tc>
          <w:tcPr>
            <w:tcW w:w="0" w:type="dxa"/>
            <w:vAlign w:val="bottom"/>
          </w:tcPr>
          <w:p>
            <w:pPr>
              <w:spacing w:after="0"/>
              <w:rPr>
                <w:sz w:val="1"/>
                <w:szCs w:val="1"/>
                <w:color w:val="auto"/>
              </w:rPr>
            </w:pPr>
          </w:p>
        </w:tc>
      </w:tr>
      <w:tr>
        <w:trPr>
          <w:trHeight w:val="155"/>
        </w:trPr>
        <w:tc>
          <w:tcPr>
            <w:tcW w:w="4340" w:type="dxa"/>
            <w:vAlign w:val="bottom"/>
            <w:gridSpan w:val="2"/>
            <w:shd w:val="clear" w:color="auto" w:fill="CCEEFF"/>
          </w:tcPr>
          <w:p>
            <w:pPr>
              <w:spacing w:after="0" w:line="155" w:lineRule="exact"/>
              <w:rPr>
                <w:sz w:val="20"/>
                <w:szCs w:val="20"/>
                <w:color w:val="auto"/>
              </w:rPr>
            </w:pPr>
            <w:r>
              <w:rPr>
                <w:rFonts w:ascii="Arial" w:cs="Arial" w:eastAsia="Arial" w:hAnsi="Arial"/>
                <w:sz w:val="17"/>
                <w:szCs w:val="17"/>
                <w:color w:val="auto"/>
              </w:rPr>
              <w:t>Change in unrealized appreciation (depreciation) 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(229,135)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(413,590)</w:t>
            </w:r>
          </w:p>
        </w:tc>
        <w:tc>
          <w:tcPr>
            <w:tcW w:w="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5"/>
              </w:rPr>
              <w:t>(2,019,807)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(2,662,532)</w:t>
            </w:r>
          </w:p>
        </w:tc>
        <w:tc>
          <w:tcPr>
            <w:tcW w:w="0" w:type="dxa"/>
            <w:vAlign w:val="bottom"/>
          </w:tcPr>
          <w:p>
            <w:pPr>
              <w:spacing w:after="0"/>
              <w:rPr>
                <w:sz w:val="1"/>
                <w:szCs w:val="1"/>
                <w:color w:val="auto"/>
              </w:rPr>
            </w:pPr>
          </w:p>
        </w:tc>
      </w:tr>
      <w:tr>
        <w:trPr>
          <w:trHeight w:val="217"/>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Level 3 investments still held as of March 31, 2021</w:t>
            </w:r>
          </w:p>
        </w:tc>
        <w:tc>
          <w:tcPr>
            <w:tcW w:w="12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1"/>
          <w:szCs w:val="11"/>
          <w:color w:val="auto"/>
        </w:rPr>
      </w:pPr>
      <w:r>
        <w:rPr>
          <w:rFonts w:ascii="Arial" w:cs="Arial" w:eastAsia="Arial" w:hAnsi="Arial"/>
          <w:sz w:val="14"/>
          <w:szCs w:val="14"/>
          <w:color w:val="auto"/>
        </w:rPr>
        <w:t>Includes PIK interest, net of reorganization and restructuring of investments.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as of March 31,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Unobservable Inputs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71"/>
        </w:trPr>
        <w:tc>
          <w:tcPr>
            <w:tcW w:w="234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5"/>
        </w:trPr>
        <w:tc>
          <w:tcPr>
            <w:tcW w:w="20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Common Stock</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 market and</w:t>
            </w: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merger and acquisition</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gridSpan w:val="3"/>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1,348,774</w:t>
            </w:r>
          </w:p>
        </w:tc>
        <w:tc>
          <w:tcPr>
            <w:tcW w:w="1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transaction prices</w:t>
            </w:r>
          </w:p>
        </w:tc>
        <w:tc>
          <w:tcPr>
            <w:tcW w:w="2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N/A</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2"/>
        </w:trPr>
        <w:tc>
          <w:tcPr>
            <w:tcW w:w="234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Preferred Stock</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Recent private market and</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merger and acquisition</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1,441,724</w:t>
            </w:r>
          </w:p>
        </w:tc>
        <w:tc>
          <w:tcPr>
            <w:tcW w:w="140" w:type="dxa"/>
            <w:vAlign w:val="bottom"/>
          </w:tcPr>
          <w:p>
            <w:pPr>
              <w:spacing w:after="0"/>
              <w:rPr>
                <w:sz w:val="20"/>
                <w:szCs w:val="20"/>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transaction prices</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N/A</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98"/>
        </w:trPr>
        <w:tc>
          <w:tcPr>
            <w:tcW w:w="234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Senior Secured Term</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center"/>
              <w:ind w:right="140"/>
              <w:spacing w:after="0" w:line="198" w:lineRule="exact"/>
              <w:rPr>
                <w:sz w:val="20"/>
                <w:szCs w:val="20"/>
                <w:color w:val="auto"/>
              </w:rPr>
            </w:pPr>
            <w:r>
              <w:rPr>
                <w:rFonts w:ascii="Arial" w:cs="Arial" w:eastAsia="Arial" w:hAnsi="Arial"/>
                <w:sz w:val="18"/>
                <w:szCs w:val="18"/>
                <w:color w:val="auto"/>
                <w:w w:val="91"/>
              </w:rPr>
              <w:t>Discounted Cash Flow</w:t>
            </w:r>
          </w:p>
        </w:tc>
        <w:tc>
          <w:tcPr>
            <w:tcW w:w="2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gridSpan w:val="3"/>
            <w:shd w:val="clear" w:color="auto" w:fill="CCEEFF"/>
          </w:tcPr>
          <w:p>
            <w:pPr>
              <w:spacing w:after="0" w:line="235"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6"/>
                <w:szCs w:val="26"/>
                <w:b w:val="1"/>
                <w:bCs w:val="1"/>
                <w:color w:val="auto"/>
                <w:vertAlign w:val="superscript"/>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668,045,753</w:t>
            </w:r>
          </w:p>
        </w:tc>
        <w:tc>
          <w:tcPr>
            <w:tcW w:w="1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analysis</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6.7% - 100.1% (11.9%)</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Market approach</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Origination yield</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5.1% - 100.1% (11.1%)</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30,530,640</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PWERM</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25.0% - 39.5% (32.5%)</w:t>
            </w:r>
          </w:p>
        </w:tc>
        <w:tc>
          <w:tcPr>
            <w:tcW w:w="0" w:type="dxa"/>
            <w:vAlign w:val="bottom"/>
          </w:tcPr>
          <w:p>
            <w:pPr>
              <w:spacing w:after="0"/>
              <w:rPr>
                <w:sz w:val="1"/>
                <w:szCs w:val="1"/>
                <w:color w:val="auto"/>
              </w:rPr>
            </w:pPr>
          </w:p>
        </w:tc>
      </w:tr>
      <w:tr>
        <w:trPr>
          <w:trHeight w:val="198"/>
        </w:trPr>
        <w:tc>
          <w:tcPr>
            <w:tcW w:w="23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Second Lien Term</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140"/>
              <w:spacing w:after="0" w:line="198" w:lineRule="exact"/>
              <w:rPr>
                <w:sz w:val="20"/>
                <w:szCs w:val="20"/>
                <w:color w:val="auto"/>
              </w:rPr>
            </w:pPr>
            <w:r>
              <w:rPr>
                <w:rFonts w:ascii="Arial" w:cs="Arial" w:eastAsia="Arial" w:hAnsi="Arial"/>
                <w:sz w:val="18"/>
                <w:szCs w:val="18"/>
                <w:color w:val="auto"/>
                <w:w w:val="91"/>
              </w:rPr>
              <w:t>Discounted Cash Flow</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gridSpan w:val="3"/>
          </w:tcPr>
          <w:p>
            <w:pPr>
              <w:spacing w:after="0" w:line="235"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6"/>
                <w:szCs w:val="26"/>
                <w:b w:val="1"/>
                <w:bCs w:val="1"/>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13,048,827</w:t>
            </w:r>
          </w:p>
        </w:tc>
        <w:tc>
          <w:tcPr>
            <w:tcW w:w="140" w:type="dxa"/>
            <w:vAlign w:val="bottom"/>
          </w:tcPr>
          <w:p>
            <w:pPr>
              <w:spacing w:after="0"/>
              <w:rPr>
                <w:sz w:val="20"/>
                <w:szCs w:val="20"/>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analysis</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12.2% - 12.2% (12.2%)</w:t>
            </w:r>
          </w:p>
        </w:tc>
        <w:tc>
          <w:tcPr>
            <w:tcW w:w="0" w:type="dxa"/>
            <w:vAlign w:val="bottom"/>
          </w:tcPr>
          <w:p>
            <w:pPr>
              <w:spacing w:after="0"/>
              <w:rPr>
                <w:sz w:val="1"/>
                <w:szCs w:val="1"/>
                <w:color w:val="auto"/>
              </w:rPr>
            </w:pPr>
          </w:p>
        </w:tc>
      </w:tr>
      <w:tr>
        <w:trPr>
          <w:trHeight w:val="216"/>
        </w:trPr>
        <w:tc>
          <w:tcPr>
            <w:tcW w:w="234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Warrants</w:t>
            </w:r>
            <w:r>
              <w:rPr>
                <w:rFonts w:ascii="Arial" w:cs="Arial" w:eastAsia="Arial" w:hAnsi="Arial"/>
                <w:sz w:val="25"/>
                <w:szCs w:val="25"/>
                <w:b w:val="1"/>
                <w:bCs w:val="1"/>
                <w:color w:val="auto"/>
                <w:vertAlign w:val="superscript"/>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14,349,747</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Option pricing model</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Risk-free interest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 - 2.4% (1.2%)</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Average industry volatility</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25.0% - 76.2% (41.3%)</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Estimated time to exit</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0.8 - 5.4 (2.0 yrs)</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Revenue multiples</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1.46x - 12.99x (6.36x)</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6,984,691</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PWERM</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30.0% - 40.0% (32.9%)</w:t>
            </w:r>
          </w:p>
        </w:tc>
        <w:tc>
          <w:tcPr>
            <w:tcW w:w="0" w:type="dxa"/>
            <w:vAlign w:val="bottom"/>
          </w:tcPr>
          <w:p>
            <w:pPr>
              <w:spacing w:after="0"/>
              <w:rPr>
                <w:sz w:val="1"/>
                <w:szCs w:val="1"/>
                <w:color w:val="auto"/>
              </w:rPr>
            </w:pPr>
          </w:p>
        </w:tc>
      </w:tr>
      <w:tr>
        <w:trPr>
          <w:trHeight w:val="216"/>
        </w:trPr>
        <w:tc>
          <w:tcPr>
            <w:tcW w:w="20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0"/>
              </w:rPr>
              <w:t>Revenue multiples</w:t>
            </w:r>
          </w:p>
        </w:tc>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3.13x - 204.18x (11.88x)</w:t>
            </w:r>
          </w:p>
        </w:tc>
        <w:tc>
          <w:tcPr>
            <w:tcW w:w="0" w:type="dxa"/>
            <w:vAlign w:val="bottom"/>
          </w:tcPr>
          <w:p>
            <w:pPr>
              <w:spacing w:after="0"/>
              <w:rPr>
                <w:sz w:val="1"/>
                <w:szCs w:val="1"/>
                <w:color w:val="auto"/>
              </w:rPr>
            </w:pPr>
          </w:p>
        </w:tc>
      </w:tr>
      <w:tr>
        <w:trPr>
          <w:trHeight w:val="210"/>
        </w:trPr>
        <w:tc>
          <w:tcPr>
            <w:tcW w:w="2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Total Level 3 Investments</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735,750,156</w:t>
            </w:r>
          </w:p>
        </w:tc>
        <w:tc>
          <w:tcPr>
            <w:tcW w:w="1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quantitative information regarding Level 3 fair value measurements as of December 31,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21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Unobservable Inputs</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71"/>
        </w:trPr>
        <w:tc>
          <w:tcPr>
            <w:tcW w:w="2320" w:type="dxa"/>
            <w:vAlign w:val="bottom"/>
            <w:gridSpan w:val="4"/>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5"/>
        </w:trPr>
        <w:tc>
          <w:tcPr>
            <w:tcW w:w="2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Preferred Stock</w:t>
            </w:r>
          </w:p>
        </w:tc>
        <w:tc>
          <w:tcPr>
            <w:tcW w:w="18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 market and</w:t>
            </w:r>
          </w:p>
        </w:tc>
        <w:tc>
          <w:tcPr>
            <w:tcW w:w="14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merger and acquisition</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gridSpan w:val="4"/>
            <w:shd w:val="clear" w:color="auto" w:fill="CCEEFF"/>
          </w:tcPr>
          <w:p>
            <w:pPr>
              <w:ind w:left="2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1,332,420</w:t>
            </w:r>
          </w:p>
        </w:tc>
        <w:tc>
          <w:tcPr>
            <w:tcW w:w="1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transaction prices</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N/A</w:t>
            </w: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98"/>
        </w:trPr>
        <w:tc>
          <w:tcPr>
            <w:tcW w:w="232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rPr>
              <w:t>Senior Secured Term</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140"/>
              <w:spacing w:after="0" w:line="198" w:lineRule="exact"/>
              <w:rPr>
                <w:sz w:val="20"/>
                <w:szCs w:val="20"/>
                <w:color w:val="auto"/>
              </w:rPr>
            </w:pPr>
            <w:r>
              <w:rPr>
                <w:rFonts w:ascii="Arial" w:cs="Arial" w:eastAsia="Arial" w:hAnsi="Arial"/>
                <w:sz w:val="18"/>
                <w:szCs w:val="18"/>
                <w:color w:val="auto"/>
                <w:w w:val="91"/>
              </w:rPr>
              <w:t>Discounted Cash Flow</w:t>
            </w: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gridSpan w:val="4"/>
          </w:tcPr>
          <w:p>
            <w:pPr>
              <w:spacing w:after="0" w:line="235"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6"/>
                <w:szCs w:val="26"/>
                <w:b w:val="1"/>
                <w:bCs w:val="1"/>
                <w:color w:val="auto"/>
                <w:vertAlign w:val="superscript"/>
              </w:rPr>
              <w:t>(1)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594,793,670</w:t>
            </w:r>
          </w:p>
        </w:tc>
        <w:tc>
          <w:tcPr>
            <w:tcW w:w="140" w:type="dxa"/>
            <w:vAlign w:val="bottom"/>
          </w:tcPr>
          <w:p>
            <w:pPr>
              <w:spacing w:after="0"/>
              <w:rPr>
                <w:sz w:val="20"/>
                <w:szCs w:val="20"/>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analysis</w:t>
            </w: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Discount rate</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6.2% - 71.2% (12.9%)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Market approach</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Origination yield</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 - 100.1% (11.8%)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28,259,976</w:t>
            </w: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Discount rate</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16.3% - 25.0% (20.8%)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Second Lien Term</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center"/>
              <w:ind w:right="140"/>
              <w:spacing w:after="0" w:line="198" w:lineRule="exact"/>
              <w:rPr>
                <w:sz w:val="20"/>
                <w:szCs w:val="20"/>
                <w:color w:val="auto"/>
              </w:rPr>
            </w:pPr>
            <w:r>
              <w:rPr>
                <w:rFonts w:ascii="Arial" w:cs="Arial" w:eastAsia="Arial" w:hAnsi="Arial"/>
                <w:sz w:val="18"/>
                <w:szCs w:val="18"/>
                <w:color w:val="auto"/>
                <w:w w:val="91"/>
              </w:rPr>
              <w:t>Discounted Cash Flow</w:t>
            </w:r>
          </w:p>
        </w:tc>
        <w:tc>
          <w:tcPr>
            <w:tcW w:w="2180" w:type="dxa"/>
            <w:vAlign w:val="bottom"/>
            <w:gridSpan w:val="2"/>
            <w:shd w:val="clear" w:color="auto" w:fill="CCEEFF"/>
          </w:tcPr>
          <w:p>
            <w:pPr>
              <w:jc w:val="center"/>
              <w:ind w:right="160"/>
              <w:spacing w:after="0" w:line="198" w:lineRule="exact"/>
              <w:rPr>
                <w:sz w:val="20"/>
                <w:szCs w:val="20"/>
                <w:color w:val="auto"/>
              </w:rPr>
            </w:pPr>
            <w:r>
              <w:rPr>
                <w:rFonts w:ascii="Arial" w:cs="Arial" w:eastAsia="Arial" w:hAnsi="Arial"/>
                <w:sz w:val="18"/>
                <w:szCs w:val="18"/>
                <w:color w:val="auto"/>
                <w:w w:val="92"/>
              </w:rPr>
              <w:t>Discount rate</w:t>
            </w:r>
          </w:p>
        </w:tc>
        <w:tc>
          <w:tcPr>
            <w:tcW w:w="202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91"/>
              </w:rPr>
              <w:t>12.2% - 12.2% (12.2%)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gridSpan w:val="4"/>
            <w:shd w:val="clear" w:color="auto" w:fill="CCEEFF"/>
          </w:tcPr>
          <w:p>
            <w:pPr>
              <w:spacing w:after="0" w:line="235"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6"/>
                <w:szCs w:val="26"/>
                <w:b w:val="1"/>
                <w:bCs w:val="1"/>
                <w:color w:val="auto"/>
                <w:vertAlign w:val="superscript"/>
              </w:rPr>
              <w:t>(1)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12,872,588</w:t>
            </w:r>
          </w:p>
        </w:tc>
        <w:tc>
          <w:tcPr>
            <w:tcW w:w="1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analysis</w:t>
            </w:r>
          </w:p>
        </w:tc>
        <w:tc>
          <w:tcPr>
            <w:tcW w:w="2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20" w:type="dxa"/>
            <w:vAlign w:val="bottom"/>
            <w:gridSpan w:val="4"/>
          </w:tcPr>
          <w:p>
            <w:pPr>
              <w:spacing w:after="0" w:line="216" w:lineRule="exact"/>
              <w:rPr>
                <w:sz w:val="20"/>
                <w:szCs w:val="20"/>
                <w:color w:val="auto"/>
              </w:rPr>
            </w:pPr>
            <w:r>
              <w:rPr>
                <w:rFonts w:ascii="Arial" w:cs="Arial" w:eastAsia="Arial" w:hAnsi="Arial"/>
                <w:sz w:val="17"/>
                <w:szCs w:val="17"/>
                <w:b w:val="1"/>
                <w:bCs w:val="1"/>
                <w:color w:val="auto"/>
              </w:rPr>
              <w:t>Warrants</w:t>
            </w:r>
            <w:r>
              <w:rPr>
                <w:rFonts w:ascii="Arial" w:cs="Arial" w:eastAsia="Arial" w:hAnsi="Arial"/>
                <w:sz w:val="25"/>
                <w:szCs w:val="25"/>
                <w:b w:val="1"/>
                <w:bCs w:val="1"/>
                <w:color w:val="auto"/>
                <w:vertAlign w:val="superscript"/>
              </w:rPr>
              <w:t>(2)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13,132,780</w:t>
            </w:r>
          </w:p>
        </w:tc>
        <w:tc>
          <w:tcPr>
            <w:tcW w:w="140" w:type="dxa"/>
            <w:vAlign w:val="bottom"/>
          </w:tcPr>
          <w:p>
            <w:pPr>
              <w:spacing w:after="0"/>
              <w:rPr>
                <w:sz w:val="18"/>
                <w:szCs w:val="18"/>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Option pricing model</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Risk-free interest rate</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0.1% - 1.2% (0.5%)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Average industry volatility</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 - 75.0% (39.6%)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Estimated time to exit</w:t>
            </w:r>
          </w:p>
        </w:tc>
        <w:tc>
          <w:tcPr>
            <w:tcW w:w="21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0.5 - 5.7 (2.0 yrs)</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Revenue multiples</w:t>
            </w: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0.00x - 13.46x (6.16x)</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6,954,770</w:t>
            </w: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Discount rate</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30.0% - 46.0% (36.0%)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Revenue multiples</w:t>
            </w: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2.94x - 123.71x (9.53x)</w:t>
            </w:r>
          </w:p>
        </w:tc>
        <w:tc>
          <w:tcPr>
            <w:tcW w:w="0" w:type="dxa"/>
            <w:vAlign w:val="bottom"/>
          </w:tcPr>
          <w:p>
            <w:pPr>
              <w:spacing w:after="0"/>
              <w:rPr>
                <w:sz w:val="1"/>
                <w:szCs w:val="1"/>
                <w:color w:val="auto"/>
              </w:rPr>
            </w:pPr>
          </w:p>
        </w:tc>
      </w:tr>
      <w:tr>
        <w:trPr>
          <w:trHeight w:val="210"/>
        </w:trPr>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Total Level 3 Investments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1"/>
              </w:rPr>
              <w:t>657,346,204</w:t>
            </w: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660" w:hanging="328"/>
        <w:spacing w:after="0" w:line="248" w:lineRule="auto"/>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139" w:lineRule="exact"/>
        <w:rPr>
          <w:rFonts w:ascii="Arial" w:cs="Arial" w:eastAsia="Arial" w:hAnsi="Arial"/>
          <w:sz w:val="13"/>
          <w:szCs w:val="13"/>
          <w:color w:val="auto"/>
        </w:rPr>
      </w:pPr>
    </w:p>
    <w:p>
      <w:pPr>
        <w:jc w:val="both"/>
        <w:ind w:left="660" w:hanging="328"/>
        <w:spacing w:after="0" w:line="255" w:lineRule="auto"/>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period ended March 31, 2022 and the year ended December 31, 2021. Probability Weighted Expected Return Models (“PWERM”) and other techniques were used as determined appropriate. Significant increases (decreases) in the inputs in isolation would result in a significantly higher (lower)</w:t>
      </w:r>
    </w:p>
    <w:p>
      <w:pPr>
        <w:sectPr>
          <w:pgSz w:w="11900" w:h="16838" w:orient="portrait"/>
          <w:cols w:equalWidth="0" w:num="1">
            <w:col w:w="9920"/>
          </w:cols>
          <w:pgMar w:left="980" w:top="517" w:right="99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spacing w:after="0" w:line="238" w:lineRule="auto"/>
        <w:rPr>
          <w:sz w:val="20"/>
          <w:szCs w:val="20"/>
          <w:color w:val="auto"/>
        </w:rPr>
      </w:pPr>
      <w:r>
        <w:rPr>
          <w:rFonts w:ascii="Arial" w:cs="Arial" w:eastAsia="Arial" w:hAnsi="Arial"/>
          <w:sz w:val="14"/>
          <w:szCs w:val="14"/>
          <w:color w:val="auto"/>
        </w:rPr>
        <w:t>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 For some investments, additional consideration may be given to data from the last round of financing or merger/acquisition events near the measurement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Financial Instruments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Warrants provide exposure and potential gains upon equity appreciation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For the three months ended March 31, 2022, the Company had a net realized loss of $267,389, and a net change in unrealized appreciation of $1,178,812, from its investments in warrants. For the three months ended March 31, 2021, the Company had a net realized loss of $216,610, and a net change in unrealized depreciation of $2,262,612, from its investments in warrants. Realized loss from warrants is included in Realized gain (loss) on non-control/non-affiliate investments, including U.S. Treasury Bills on the Statement of Operations. Net change in unrealized appreciation/depreciation from investments in warrants is included in Net Change in unrealized appreciation (depreciation) on non-control/non-affiliate investments, including U.S. Treasury Bills.</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Borrowings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December 10, 2021, the Company entered into a Master Note Purchase Agreement (the “Note Purchase Agreement”) governing the issuance of $70,000,000 in aggregate principal amount of 4.25% Series 2021A Senior Notes due 2026 (the “2026 Senior Notes”) to institutional accredited investors (as defined in Regulation D under the Securities Act of 1933, as amended (the “Securities Act”)) in a private placement. The 2026 Senior Notes were issued in two closings. The initial issuance of $20 million 2026 Senior Notes closed on December 10, 2021 and the second and final issuance of $50 million 2026 Senior Notes closed on February 10, 2022.</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2026 Senior Notes bear an interest rate of 4.25% per year and are due on December 10, 2026, unless redeemed, purchased or prepaid prior to such date by the Company or its affiliates in accordance with their terms. Interest on the 2026 Senior Notes will be due semiannually. The interest rate is subject to a 1.00% increase in the event that, subject to certain exceptions, the 2026 Senior Notes cease to have an investment grade rating or receive an investment grade rating below the Investment Grade (as defined in the Note Purchase Agreement). The 2026 Senior Notes are general unsecured obligations of the Company that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outstanding and future unsecured unsubordinated indebtedness issued by the Company.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Aggregate offering costs in connection with the 2026 Senior Notes issuance, including the underwriter’s discount and commissions, were $899,277 which were capitalized and deferred. As of March 31, 2022 and December 31, 2021, unamortized deferred debt costs related to the 2026 Senior Notes were $860,614 and $376,029, respectively, and were included in the Total debt, less unamortized deferred debt costs on the Statements of Assets and Liabilities.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2022, the components of interest expense and related fees for the 2026 Senior Notes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36"/>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340" w:type="dxa"/>
            <w:vAlign w:val="bottom"/>
            <w:tcBorders>
              <w:bottom w:val="single" w:sz="8" w:color="CCEEFF"/>
            </w:tcBorders>
          </w:tcPr>
          <w:p>
            <w:pPr>
              <w:spacing w:after="0"/>
              <w:rPr>
                <w:sz w:val="17"/>
                <w:szCs w:val="17"/>
                <w:color w:val="auto"/>
              </w:rPr>
            </w:pPr>
          </w:p>
        </w:tc>
        <w:tc>
          <w:tcPr>
            <w:tcW w:w="27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March 31, 2022</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507,639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deferred debt costs</w:t>
            </w:r>
          </w:p>
        </w:tc>
        <w:tc>
          <w:tcPr>
            <w:tcW w:w="2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34,085</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debt</w:t>
            </w:r>
          </w:p>
        </w:tc>
        <w:tc>
          <w:tcPr>
            <w:tcW w:w="2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541,724</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Weighted average cost of debt</w:t>
            </w:r>
          </w:p>
        </w:tc>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1"/>
        </w:trPr>
        <w:tc>
          <w:tcPr>
            <w:tcW w:w="5340" w:type="dxa"/>
            <w:vAlign w:val="bottom"/>
            <w:vMerge w:val="continue"/>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4.66</w:t>
            </w: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31, 2019, the Company entered into a Credit Agreement, as subsequently amended (the “Credit Agreement”), by and among the Company, as borrower, KeyBank National Association, as administrative agent, syndication agent, and a lender, CIBC Bank USA (“CIBC”), as documentation agent and a lender, U.S. Bank National Association, as paying agent, the guarantors from time to time party thereto, and the other lenders from time to time party thereto.</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There can be no assurances that existing lenders will agree to such an increase, or that additional lenders will join the credit facility to increase available borrowings.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availability period under the Credit Agreement expires on May 31, 2022 and is followed by a two-year amortization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stated maturity date under the Credit Agreement is May 31, 2024.</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10, 2020, Company entered into an amendment to the Credit Agreement, as well as a corresponding amendment to the fee letter dated May 31, 2019 (collectively, the “November Credit Facility Amendment”). The November Credit Facility Amendment amended the Credit Agreement to, among other things: (i) increase the size of the aggregate commitments under the Credit Facility to $175 million from $100 million; (ii) add MUFG Union Bank, N.A. as a new lender and co-documentation agent under the Credit Agreement; (iii) revise the interest rate margin to be 3.00% for the remaining term of the Credit Facility regardless of the Credit Facility average utilization or the number of unaffiliated obligors on loans in the collateral; (iv) permit the Company to obtain a future subscription line of credit of up to $50 million; (v) revise the LIBOR replacement provisions; (vi) implement a 0.50% LIBOR floor and benchmark replacement rate floor on borrowings under the Credit Agreement; and (vii) revise certain of the borrowing base concentration limits.</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 2020, the Company entered into an amendment (the “December Credit Facility Amendment”) to the Credit Agreement. The December Credit Facility Amendment amended the Credit Agreement to: (i) increase the size of the aggregate commitments under the Credit Facility to $215 million from $175 million; (ii) increase the accordion amount under the Credit Facility from a $200 million maximum aggregate commitment amount to a $300 million maximum aggregate commitment amount; and (iii) add Bank of Hope and First Foundation Bank as new Lenders and Managing Agents under the Credit Agreement. Borrowing under the Credit Facility remains subject to the leverage restrictions contained in the 1940 Act.</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June 1, 2021, the Company entered into an amendment (the “June Credit Facility Amendment”) to the Credit Agreement. The June Credit Facility Amendment amended the Credit Agreement to: (i) allow the Company to incur permitted indebtedness without the prior written consent of the Keybank National Association, as administrative agent, subject to the limitations described in the Credit Agreement; (ii) increase the accordion amount under the Credit Agreement from a $300 million maximum aggregate commitment amount to a $350 million maximum aggregate commitment amount; and (iii) amend certain other terms of the Credit Agreement.</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3, 2021, the Company further amended the fee letter (the “Second Amended and Restated Fee Letter”) to amend the first payment date of the minimum earnings fee, which will be payable annually starting on May 31, 2022. Under the Second Amended and Restated Fee Letter, the Company will also pay a supplemental fee on the 15th calendar day of each month beginning August 16, 2021 and ending July 15, 2022 in an aggregate amount equal to $66,367, which is paid pro rata to the lenders listed in Schedule A of the Second Amended and Restated Fee Letter.</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is secured by a perfected first priority security interest in substantially all of the Company’s assets and portfolio investments.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Credit Agreement contains certain customary covenants and events of default for secured revolving credit facilities of this nature, including, without limitation, maintenance of a tangible net worth as of the last day of each fiscal quarter in excess of the greater of (i) $125 million plus 75% of the net proceeds of sales of equity interests in the Company and (ii) the loan balance of the Company’s four largest obligors; maintenance of an asset coverage ratio as of the last day of each fiscal quarter that equals or exceeds the greater of 150% and the ratio otherwise applicable to the Company under the 1940 Act; maintenance of an interest coverage ratio as of the last day of each fiscal quarter of 2.00 to 1.00; maintenance of a minimum liquidity amount as of the last day of each fiscal quarter; net income not being negative for two consecutive fiscal quarters or any trailing 12-month period; a limitation on incurring additional indebtedness without the prior written consent of the administrative agent (subject to limited exceptions); certain change-of-control events occur at the Company or the Company’s investment adviser; the departure of certain key persons from the Company or the Company’s investment adviser; RGC ceases to be the Company’s investment adviser; maintenance of business-development-company status and regulated-investment-company status; nonpayment; misrepresentation of representations and warranties; breach of covenant; and certain bankruptcy and liquidation events. For more information on the Credit Agreement, see “Note 12. Subsequent Events.”</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2022 and 2021, the components of interest expense and related fees for the KeyBank Credit Agreement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r>
      <w:tr>
        <w:trPr>
          <w:trHeight w:val="201"/>
        </w:trPr>
        <w:tc>
          <w:tcPr>
            <w:tcW w:w="4700" w:type="dxa"/>
            <w:vAlign w:val="bottom"/>
            <w:tcBorders>
              <w:bottom w:val="single" w:sz="8" w:color="CCEEFF"/>
            </w:tcBorders>
          </w:tcPr>
          <w:p>
            <w:pPr>
              <w:spacing w:after="0"/>
              <w:rPr>
                <w:sz w:val="17"/>
                <w:szCs w:val="17"/>
                <w:color w:val="auto"/>
              </w:rPr>
            </w:pPr>
          </w:p>
        </w:tc>
        <w:tc>
          <w:tcPr>
            <w:tcW w:w="2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8"/>
              </w:rPr>
              <w:t>March 31, 2022</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8"/>
              </w:rPr>
              <w:t>March 31, 2021</w:t>
            </w:r>
          </w:p>
        </w:tc>
        <w:tc>
          <w:tcPr>
            <w:tcW w:w="220" w:type="dxa"/>
            <w:vAlign w:val="bottom"/>
            <w:tcBorders>
              <w:bottom w:val="single" w:sz="8" w:color="CCEEFF"/>
            </w:tcBorders>
          </w:tcPr>
          <w:p>
            <w:pPr>
              <w:spacing w:after="0"/>
              <w:rPr>
                <w:sz w:val="17"/>
                <w:szCs w:val="17"/>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723,528</w:t>
            </w:r>
          </w:p>
        </w:tc>
        <w:tc>
          <w:tcPr>
            <w:tcW w:w="22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Amortization of deferred debt costs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117,467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115,846</w:t>
            </w:r>
          </w:p>
        </w:tc>
        <w:tc>
          <w:tcPr>
            <w:tcW w:w="22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Unused fees</w:t>
            </w:r>
          </w:p>
        </w:tc>
        <w:tc>
          <w:tcPr>
            <w:tcW w:w="2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325,063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165,389</w:t>
            </w:r>
          </w:p>
        </w:tc>
        <w:tc>
          <w:tcPr>
            <w:tcW w:w="220" w:type="dxa"/>
            <w:vAlign w:val="bottom"/>
            <w:shd w:val="clear" w:color="auto" w:fill="CCEEFF"/>
          </w:tcPr>
          <w:p>
            <w:pPr>
              <w:spacing w:after="0"/>
              <w:rPr>
                <w:sz w:val="18"/>
                <w:szCs w:val="18"/>
                <w:color w:val="auto"/>
              </w:rPr>
            </w:pPr>
          </w:p>
        </w:tc>
      </w:tr>
      <w:tr>
        <w:trPr>
          <w:trHeight w:val="25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debt</w:t>
            </w:r>
          </w:p>
        </w:tc>
        <w:tc>
          <w:tcPr>
            <w:tcW w:w="2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806,822</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1,004,763</w:t>
            </w:r>
          </w:p>
        </w:tc>
        <w:tc>
          <w:tcPr>
            <w:tcW w:w="220" w:type="dxa"/>
            <w:vAlign w:val="bottom"/>
            <w:tcBorders>
              <w:bottom w:val="single" w:sz="8" w:color="CCEEFF"/>
            </w:tcBorders>
          </w:tcPr>
          <w:p>
            <w:pPr>
              <w:spacing w:after="0"/>
              <w:rPr>
                <w:sz w:val="21"/>
                <w:szCs w:val="2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cost of debt</w:t>
            </w: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7.02</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4.87</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2022, the weighted average outstanding debt balance was $89,411,111, and the weighted average effective interest rate was 3.91%. For the three months ended March 31, 2021, the weighted average outstanding debt balance was $82,688,889, and the weighted average effective interest rate was 3.50%.</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2022, the Company had $86,000,000 outstanding under the Credit Agreement and $70,000,000 of 2026 Senior Notes outstanding under the Note Purchase Agreement, each with maturities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Borrowings</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 of</w:t>
            </w:r>
          </w:p>
        </w:tc>
        <w:tc>
          <w:tcPr>
            <w:tcW w:w="1160" w:type="dxa"/>
            <w:vAlign w:val="bottom"/>
            <w:gridSpan w:val="4"/>
            <w:vMerge w:val="restart"/>
          </w:tcPr>
          <w:p>
            <w:pPr>
              <w:jc w:val="right"/>
              <w:ind w:right="389"/>
              <w:spacing w:after="0"/>
              <w:rPr>
                <w:sz w:val="20"/>
                <w:szCs w:val="20"/>
                <w:color w:val="auto"/>
              </w:rPr>
            </w:pPr>
            <w:r>
              <w:rPr>
                <w:rFonts w:ascii="Arial" w:cs="Arial" w:eastAsia="Arial" w:hAnsi="Arial"/>
                <w:sz w:val="14"/>
                <w:szCs w:val="14"/>
                <w:b w:val="1"/>
                <w:bCs w:val="1"/>
                <w:color w:val="auto"/>
              </w:rPr>
              <w:t>Due Date</w:t>
            </w:r>
          </w:p>
        </w:tc>
        <w:tc>
          <w:tcPr>
            <w:tcW w:w="10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40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8"/>
              </w:rPr>
              <w:t>Rate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80" w:type="dxa"/>
            <w:vAlign w:val="bottom"/>
            <w:gridSpan w:val="2"/>
            <w:vMerge w:val="continue"/>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Advance</w:t>
            </w:r>
          </w:p>
        </w:tc>
        <w:tc>
          <w:tcPr>
            <w:tcW w:w="1160" w:type="dxa"/>
            <w:vAlign w:val="bottom"/>
            <w:gridSpan w:val="4"/>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KeyBank National Association Loan Facility</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6/30/2020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2"/>
                <w:szCs w:val="2"/>
                <w:color w:val="auto"/>
                <w:w w:val="89"/>
              </w:rPr>
              <w:t>5/31/2024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86,000,000</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1"/>
              </w:rPr>
              <w:t>3.50</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Series 2021A Senior Notes due 2026</w:t>
            </w:r>
          </w:p>
        </w:tc>
        <w:tc>
          <w:tcPr>
            <w:tcW w:w="880" w:type="dxa"/>
            <w:vAlign w:val="bottom"/>
          </w:tcPr>
          <w:p>
            <w:pPr>
              <w:jc w:val="right"/>
              <w:spacing w:after="0"/>
              <w:rPr>
                <w:sz w:val="20"/>
                <w:szCs w:val="20"/>
                <w:color w:val="auto"/>
              </w:rPr>
            </w:pPr>
            <w:r>
              <w:rPr>
                <w:rFonts w:ascii="Arial" w:cs="Arial" w:eastAsia="Arial" w:hAnsi="Arial"/>
                <w:sz w:val="18"/>
                <w:szCs w:val="18"/>
                <w:color w:val="auto"/>
                <w:w w:val="88"/>
              </w:rPr>
              <w:t>12/10/2021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12/10/2026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20,000,000</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91"/>
              </w:rPr>
              <w:t>4.25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2021A Senior Notes due 2026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2/10/2022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12/10/2026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4.25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156,000,000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2021, the Company had $61,000,000 outstanding under the Credit Agreement and $20,000,000 of 2026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Senior Notes outstanding under the Note Purchase Agreement, each with maturities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 Facility</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 of</w:t>
            </w:r>
          </w:p>
        </w:tc>
        <w:tc>
          <w:tcPr>
            <w:tcW w:w="1220" w:type="dxa"/>
            <w:vAlign w:val="bottom"/>
            <w:gridSpan w:val="3"/>
            <w:vMerge w:val="restart"/>
          </w:tcPr>
          <w:p>
            <w:pPr>
              <w:jc w:val="right"/>
              <w:ind w:right="427"/>
              <w:spacing w:after="0"/>
              <w:rPr>
                <w:sz w:val="20"/>
                <w:szCs w:val="20"/>
                <w:color w:val="auto"/>
              </w:rPr>
            </w:pPr>
            <w:r>
              <w:rPr>
                <w:rFonts w:ascii="Arial" w:cs="Arial" w:eastAsia="Arial" w:hAnsi="Arial"/>
                <w:sz w:val="14"/>
                <w:szCs w:val="14"/>
                <w:b w:val="1"/>
                <w:bCs w:val="1"/>
                <w:color w:val="auto"/>
              </w:rPr>
              <w:t>Due Date</w:t>
            </w:r>
          </w:p>
        </w:tc>
        <w:tc>
          <w:tcPr>
            <w:tcW w:w="9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40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8"/>
              </w:rPr>
              <w:t>Rate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40" w:type="dxa"/>
            <w:vAlign w:val="bottom"/>
            <w:gridSpan w:val="2"/>
            <w:vMerge w:val="continue"/>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Advance</w:t>
            </w:r>
          </w:p>
        </w:tc>
        <w:tc>
          <w:tcPr>
            <w:tcW w:w="122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KeyBank National Association Loan Facility</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6/30/2020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5/31/2024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61,000,000</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1"/>
              </w:rPr>
              <w:t>3.50</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Series 2021A Senior Notes due 2026</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8"/>
              </w:rPr>
              <w:t>12/10/2021</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8"/>
              </w:rPr>
              <w:t>12/10/2026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20,000,000</w:t>
            </w:r>
          </w:p>
        </w:tc>
        <w:tc>
          <w:tcPr>
            <w:tcW w:w="5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w w:val="91"/>
              </w:rPr>
              <w:t>4.25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81,000,000</w:t>
            </w: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Financial Highlights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8"/>
              </w:rPr>
              <w:t>March 31, 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8"/>
              </w:rPr>
              <w:t>March 31, 2021</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96"/>
        </w:trPr>
        <w:tc>
          <w:tcPr>
            <w:tcW w:w="618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5"/>
                <w:szCs w:val="15"/>
                <w:b w:val="1"/>
                <w:bCs w:val="1"/>
                <w:color w:val="auto"/>
              </w:rPr>
              <w:t>Per Share Data</w:t>
            </w:r>
            <w:r>
              <w:rPr>
                <w:rFonts w:ascii="Arial" w:cs="Arial" w:eastAsia="Arial" w:hAnsi="Arial"/>
                <w:sz w:val="22"/>
                <w:szCs w:val="22"/>
                <w:b w:val="1"/>
                <w:bCs w:val="1"/>
                <w:color w:val="auto"/>
                <w:vertAlign w:val="superscript"/>
              </w:rPr>
              <w:t>(1)</w:t>
            </w:r>
            <w:r>
              <w:rPr>
                <w:rFonts w:ascii="Arial" w:cs="Arial" w:eastAsia="Arial" w:hAnsi="Arial"/>
                <w:sz w:val="15"/>
                <w:szCs w:val="15"/>
                <w:b w:val="1"/>
                <w:bCs w:val="1"/>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gridSpan w:val="2"/>
          </w:tcPr>
          <w:p>
            <w:pPr>
              <w:spacing w:after="0"/>
              <w:rPr>
                <w:sz w:val="20"/>
                <w:szCs w:val="20"/>
                <w:color w:val="auto"/>
              </w:rPr>
            </w:pPr>
            <w:r>
              <w:rPr>
                <w:rFonts w:ascii="Arial" w:cs="Arial" w:eastAsia="Arial" w:hAnsi="Arial"/>
                <w:sz w:val="17"/>
                <w:szCs w:val="17"/>
                <w:color w:val="auto"/>
              </w:rPr>
              <w:t>Net asset value at beginning of period</w:t>
            </w:r>
          </w:p>
        </w:tc>
        <w:tc>
          <w:tcPr>
            <w:tcW w:w="5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14.65</w:t>
            </w:r>
          </w:p>
        </w:tc>
        <w:tc>
          <w:tcPr>
            <w:tcW w:w="26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14.84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Net investment income</w:t>
            </w:r>
            <w:r>
              <w:rPr>
                <w:rFonts w:ascii="Arial" w:cs="Arial" w:eastAsia="Arial" w:hAnsi="Arial"/>
                <w:sz w:val="23"/>
                <w:szCs w:val="23"/>
                <w:color w:val="auto"/>
                <w:vertAlign w:val="superscript"/>
              </w:rPr>
              <w:t>(3)</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80" w:type="dxa"/>
            <w:vAlign w:val="bottom"/>
            <w:gridSpan w:val="2"/>
          </w:tcPr>
          <w:p>
            <w:pPr>
              <w:spacing w:after="0"/>
              <w:rPr>
                <w:sz w:val="20"/>
                <w:szCs w:val="20"/>
                <w:color w:val="auto"/>
              </w:rPr>
            </w:pPr>
            <w:r>
              <w:rPr>
                <w:rFonts w:ascii="Arial" w:cs="Arial" w:eastAsia="Arial" w:hAnsi="Arial"/>
                <w:sz w:val="17"/>
                <w:szCs w:val="17"/>
                <w:color w:val="auto"/>
              </w:rPr>
              <w:t>Realized gain (loss)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3"/>
        </w:trPr>
        <w:tc>
          <w:tcPr>
            <w:tcW w:w="6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unrealized appreciation (depreciation)</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3"/>
        </w:trPr>
        <w:tc>
          <w:tcPr>
            <w:tcW w:w="6180" w:type="dxa"/>
            <w:vAlign w:val="bottom"/>
            <w:gridSpan w:val="2"/>
          </w:tcPr>
          <w:p>
            <w:pPr>
              <w:spacing w:after="0"/>
              <w:rPr>
                <w:sz w:val="20"/>
                <w:szCs w:val="20"/>
                <w:color w:val="auto"/>
              </w:rPr>
            </w:pPr>
            <w:r>
              <w:rPr>
                <w:rFonts w:ascii="Arial" w:cs="Arial" w:eastAsia="Arial" w:hAnsi="Arial"/>
                <w:sz w:val="17"/>
                <w:szCs w:val="17"/>
                <w:color w:val="auto"/>
              </w:rPr>
              <w:t>Dividends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7"/>
                <w:szCs w:val="17"/>
                <w:color w:val="auto"/>
              </w:rPr>
              <w:t>(0.27)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203"/>
        </w:trPr>
        <w:tc>
          <w:tcPr>
            <w:tcW w:w="6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Offering costs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80" w:type="dxa"/>
            <w:vAlign w:val="bottom"/>
            <w:gridSpan w:val="2"/>
          </w:tcPr>
          <w:p>
            <w:pPr>
              <w:spacing w:after="0" w:line="202" w:lineRule="exact"/>
              <w:rPr>
                <w:sz w:val="20"/>
                <w:szCs w:val="20"/>
                <w:color w:val="auto"/>
              </w:rPr>
            </w:pPr>
            <w:r>
              <w:rPr>
                <w:rFonts w:ascii="Arial" w:cs="Arial" w:eastAsia="Arial" w:hAnsi="Arial"/>
                <w:sz w:val="16"/>
                <w:szCs w:val="16"/>
                <w:color w:val="auto"/>
              </w:rPr>
              <w:t>Accretion (Dilution)</w:t>
            </w:r>
            <w:r>
              <w:rPr>
                <w:rFonts w:ascii="Arial" w:cs="Arial" w:eastAsia="Arial" w:hAnsi="Arial"/>
                <w:sz w:val="23"/>
                <w:szCs w:val="23"/>
                <w:color w:val="auto"/>
                <w:vertAlign w:val="superscript"/>
              </w:rPr>
              <w:t>(4)</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0.01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asset value at end of period</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14.45</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14.77</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line="223" w:lineRule="exact"/>
              <w:rPr>
                <w:sz w:val="20"/>
                <w:szCs w:val="20"/>
                <w:color w:val="auto"/>
              </w:rPr>
            </w:pPr>
            <w:r>
              <w:rPr>
                <w:rFonts w:ascii="Arial" w:cs="Arial" w:eastAsia="Arial" w:hAnsi="Arial"/>
                <w:sz w:val="17"/>
                <w:szCs w:val="17"/>
                <w:color w:val="auto"/>
              </w:rPr>
              <w:t>Total return based on net asset value</w:t>
            </w:r>
            <w:r>
              <w:rPr>
                <w:rFonts w:ascii="Arial" w:cs="Arial" w:eastAsia="Arial" w:hAnsi="Arial"/>
                <w:sz w:val="25"/>
                <w:szCs w:val="25"/>
                <w:color w:val="auto"/>
                <w:vertAlign w:val="superscript"/>
              </w:rPr>
              <w:t>(2)</w:t>
            </w: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(1.37)%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220"/>
              <w:spacing w:after="0" w:line="183" w:lineRule="exact"/>
              <w:rPr>
                <w:sz w:val="20"/>
                <w:szCs w:val="20"/>
                <w:color w:val="auto"/>
              </w:rPr>
            </w:pPr>
            <w:r>
              <w:rPr>
                <w:rFonts w:ascii="Arial" w:cs="Arial" w:eastAsia="Arial" w:hAnsi="Arial"/>
                <w:sz w:val="17"/>
                <w:szCs w:val="17"/>
                <w:color w:val="auto"/>
              </w:rPr>
              <w:t>(0.47)%</w:t>
            </w:r>
          </w:p>
        </w:tc>
        <w:tc>
          <w:tcPr>
            <w:tcW w:w="0" w:type="dxa"/>
            <w:vAlign w:val="bottom"/>
          </w:tcPr>
          <w:p>
            <w:pPr>
              <w:spacing w:after="0"/>
              <w:rPr>
                <w:sz w:val="1"/>
                <w:szCs w:val="1"/>
                <w:color w:val="auto"/>
              </w:rPr>
            </w:pPr>
          </w:p>
        </w:tc>
      </w:tr>
      <w:tr>
        <w:trPr>
          <w:trHeight w:val="203"/>
        </w:trPr>
        <w:tc>
          <w:tcPr>
            <w:tcW w:w="6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Weighted-average shares outstanding for period, basic</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41,375,187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31,505,254</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gridSpan w:val="2"/>
          </w:tcPr>
          <w:p>
            <w:pPr>
              <w:spacing w:after="0"/>
              <w:rPr>
                <w:sz w:val="20"/>
                <w:szCs w:val="20"/>
                <w:color w:val="auto"/>
              </w:rPr>
            </w:pPr>
            <w:r>
              <w:rPr>
                <w:rFonts w:ascii="Arial" w:cs="Arial" w:eastAsia="Arial" w:hAnsi="Arial"/>
                <w:sz w:val="17"/>
                <w:szCs w:val="17"/>
                <w:b w:val="1"/>
                <w:bCs w:val="1"/>
                <w:color w:val="auto"/>
              </w:rPr>
              <w:t>Ratio/Supplemental Data:</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assets at end of period</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597,465,692</w:t>
            </w:r>
          </w:p>
        </w:tc>
        <w:tc>
          <w:tcPr>
            <w:tcW w:w="2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473,477,424</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gridSpan w:val="2"/>
          </w:tcPr>
          <w:p>
            <w:pPr>
              <w:spacing w:after="0" w:line="202" w:lineRule="exact"/>
              <w:rPr>
                <w:sz w:val="20"/>
                <w:szCs w:val="20"/>
                <w:color w:val="auto"/>
              </w:rPr>
            </w:pPr>
            <w:r>
              <w:rPr>
                <w:rFonts w:ascii="Arial" w:cs="Arial" w:eastAsia="Arial" w:hAnsi="Arial"/>
                <w:sz w:val="16"/>
                <w:szCs w:val="16"/>
                <w:color w:val="auto"/>
              </w:rPr>
              <w:t>Average net assets</w:t>
            </w:r>
            <w:r>
              <w:rPr>
                <w:rFonts w:ascii="Arial" w:cs="Arial" w:eastAsia="Arial" w:hAnsi="Arial"/>
                <w:sz w:val="23"/>
                <w:szCs w:val="23"/>
                <w:color w:val="auto"/>
                <w:vertAlign w:val="superscript"/>
              </w:rPr>
              <w:t>(5)</w:t>
            </w:r>
          </w:p>
        </w:tc>
        <w:tc>
          <w:tcPr>
            <w:tcW w:w="5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611,814,747</w:t>
            </w:r>
          </w:p>
        </w:tc>
        <w:tc>
          <w:tcPr>
            <w:tcW w:w="26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473,703,083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Ratio of net operating expenses to average net assets</w:t>
            </w:r>
            <w:r>
              <w:rPr>
                <w:rFonts w:ascii="Arial" w:cs="Arial" w:eastAsia="Arial" w:hAnsi="Arial"/>
                <w:sz w:val="23"/>
                <w:szCs w:val="23"/>
                <w:color w:val="auto"/>
                <w:vertAlign w:val="superscript"/>
              </w:rPr>
              <w:t>(6)(7)</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3.84 %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3.60 %</w:t>
            </w:r>
          </w:p>
        </w:tc>
        <w:tc>
          <w:tcPr>
            <w:tcW w:w="0" w:type="dxa"/>
            <w:vAlign w:val="bottom"/>
          </w:tcPr>
          <w:p>
            <w:pPr>
              <w:spacing w:after="0"/>
              <w:rPr>
                <w:sz w:val="1"/>
                <w:szCs w:val="1"/>
                <w:color w:val="auto"/>
              </w:rPr>
            </w:pPr>
          </w:p>
        </w:tc>
      </w:tr>
      <w:tr>
        <w:trPr>
          <w:trHeight w:val="185"/>
        </w:trPr>
        <w:tc>
          <w:tcPr>
            <w:tcW w:w="6180" w:type="dxa"/>
            <w:vAlign w:val="bottom"/>
            <w:gridSpan w:val="2"/>
          </w:tcPr>
          <w:p>
            <w:pPr>
              <w:spacing w:after="0" w:line="185" w:lineRule="exact"/>
              <w:rPr>
                <w:sz w:val="20"/>
                <w:szCs w:val="20"/>
                <w:color w:val="auto"/>
              </w:rPr>
            </w:pPr>
            <w:r>
              <w:rPr>
                <w:rFonts w:ascii="Arial" w:cs="Arial" w:eastAsia="Arial" w:hAnsi="Arial"/>
                <w:sz w:val="17"/>
                <w:szCs w:val="17"/>
                <w:color w:val="auto"/>
                <w:w w:val="95"/>
              </w:rPr>
              <w:t>Ratio of net increase (decrease) in net assets resulting from operations to average net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180" w:type="dxa"/>
            <w:vAlign w:val="bottom"/>
            <w:gridSpan w:val="2"/>
          </w:tcPr>
          <w:p>
            <w:pPr>
              <w:spacing w:after="0" w:line="220" w:lineRule="exact"/>
              <w:rPr>
                <w:sz w:val="20"/>
                <w:szCs w:val="20"/>
                <w:color w:val="auto"/>
              </w:rPr>
            </w:pPr>
            <w:r>
              <w:rPr>
                <w:rFonts w:ascii="Arial" w:cs="Arial" w:eastAsia="Arial" w:hAnsi="Arial"/>
                <w:sz w:val="17"/>
                <w:szCs w:val="17"/>
                <w:color w:val="auto"/>
              </w:rPr>
              <w:t>assets</w:t>
            </w:r>
            <w:r>
              <w:rPr>
                <w:rFonts w:ascii="Arial" w:cs="Arial" w:eastAsia="Arial" w:hAnsi="Arial"/>
                <w:sz w:val="25"/>
                <w:szCs w:val="25"/>
                <w:color w:val="auto"/>
                <w:vertAlign w:val="superscript"/>
              </w:rPr>
              <w:t>(7)</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2.56 %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8.65 %</w:t>
            </w:r>
          </w:p>
        </w:tc>
        <w:tc>
          <w:tcPr>
            <w:tcW w:w="0" w:type="dxa"/>
            <w:vAlign w:val="bottom"/>
          </w:tcPr>
          <w:p>
            <w:pPr>
              <w:spacing w:after="0"/>
              <w:rPr>
                <w:sz w:val="1"/>
                <w:szCs w:val="1"/>
                <w:color w:val="auto"/>
              </w:rPr>
            </w:pPr>
          </w:p>
        </w:tc>
      </w:tr>
      <w:tr>
        <w:trPr>
          <w:trHeight w:val="203"/>
        </w:trPr>
        <w:tc>
          <w:tcPr>
            <w:tcW w:w="61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Portfolio turnover rate</w:t>
            </w:r>
            <w:r>
              <w:rPr>
                <w:rFonts w:ascii="Arial" w:cs="Arial" w:eastAsia="Arial" w:hAnsi="Arial"/>
                <w:sz w:val="23"/>
                <w:szCs w:val="23"/>
                <w:color w:val="auto"/>
                <w:vertAlign w:val="superscript"/>
              </w:rPr>
              <w:t>(8)</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1.46 %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2.92 %</w:t>
            </w:r>
          </w:p>
        </w:tc>
        <w:tc>
          <w:tcPr>
            <w:tcW w:w="0" w:type="dxa"/>
            <w:vAlign w:val="bottom"/>
          </w:tcPr>
          <w:p>
            <w:pPr>
              <w:spacing w:after="0"/>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1"/>
          <w:szCs w:val="11"/>
          <w:color w:val="auto"/>
        </w:rPr>
      </w:pPr>
      <w:r>
        <w:rPr>
          <w:rFonts w:ascii="Arial" w:cs="Arial" w:eastAsia="Arial" w:hAnsi="Arial"/>
          <w:sz w:val="14"/>
          <w:szCs w:val="14"/>
          <w:color w:val="auto"/>
        </w:rPr>
        <w:t>Financial highlights are based on weighted-average shares outstanding.</w:t>
      </w:r>
    </w:p>
    <w:p>
      <w:pPr>
        <w:spacing w:after="0" w:line="55"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17"/>
        </w:numPr>
        <w:rPr>
          <w:rFonts w:ascii="Arial" w:cs="Arial" w:eastAsia="Arial" w:hAnsi="Arial"/>
          <w:sz w:val="11"/>
          <w:szCs w:val="11"/>
          <w:color w:val="auto"/>
        </w:rPr>
      </w:pPr>
      <w:r>
        <w:rPr>
          <w:rFonts w:ascii="Arial" w:cs="Arial" w:eastAsia="Arial" w:hAnsi="Arial"/>
          <w:sz w:val="14"/>
          <w:szCs w:val="14"/>
          <w:color w:val="auto"/>
        </w:rPr>
        <w:t>Total return based on net asset value is based upon the change in net asset value per share between the opening and ending net asset values per share in the period. The total returns are not annualized.</w:t>
      </w:r>
    </w:p>
    <w:p>
      <w:pPr>
        <w:spacing w:after="0" w:line="38"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17"/>
        </w:numPr>
        <w:rPr>
          <w:rFonts w:ascii="Arial" w:cs="Arial" w:eastAsia="Arial" w:hAnsi="Arial"/>
          <w:sz w:val="11"/>
          <w:szCs w:val="11"/>
          <w:color w:val="auto"/>
        </w:rPr>
      </w:pPr>
      <w:r>
        <w:rPr>
          <w:rFonts w:ascii="Arial" w:cs="Arial" w:eastAsia="Arial" w:hAnsi="Arial"/>
          <w:sz w:val="14"/>
          <w:szCs w:val="14"/>
          <w:color w:val="auto"/>
        </w:rPr>
        <w:t>Return from investment operations was 2.05% and 2.43% for the three months ended March 31, 2022 and 2021, respectively. Return from investment operations represents returns on net investment income (loss) from operations.</w:t>
      </w:r>
    </w:p>
    <w:p>
      <w:pPr>
        <w:spacing w:after="0" w:line="25" w:lineRule="exact"/>
        <w:rPr>
          <w:rFonts w:ascii="Arial" w:cs="Arial" w:eastAsia="Arial" w:hAnsi="Arial"/>
          <w:sz w:val="11"/>
          <w:szCs w:val="11"/>
          <w:color w:val="auto"/>
        </w:rPr>
      </w:pPr>
    </w:p>
    <w:p>
      <w:pPr>
        <w:ind w:left="660" w:hanging="328"/>
        <w:spacing w:after="0"/>
        <w:tabs>
          <w:tab w:leader="none" w:pos="660" w:val="left"/>
        </w:tabs>
        <w:numPr>
          <w:ilvl w:val="0"/>
          <w:numId w:val="17"/>
        </w:numPr>
        <w:rPr>
          <w:rFonts w:ascii="Arial" w:cs="Arial" w:eastAsia="Arial" w:hAnsi="Arial"/>
          <w:sz w:val="11"/>
          <w:szCs w:val="11"/>
          <w:color w:val="auto"/>
        </w:rPr>
      </w:pPr>
      <w:r>
        <w:rPr>
          <w:rFonts w:ascii="Arial" w:cs="Arial" w:eastAsia="Arial" w:hAnsi="Arial"/>
          <w:sz w:val="14"/>
          <w:szCs w:val="14"/>
          <w:color w:val="auto"/>
        </w:rPr>
        <w:t>Return from accretion was 0.00% and 0.07% for the three months ended March 31, 2022 and 2021, respectively.</w:t>
      </w:r>
    </w:p>
    <w:p>
      <w:pPr>
        <w:spacing w:after="0" w:line="55" w:lineRule="exact"/>
        <w:rPr>
          <w:rFonts w:ascii="Arial" w:cs="Arial" w:eastAsia="Arial" w:hAnsi="Arial"/>
          <w:sz w:val="11"/>
          <w:szCs w:val="11"/>
          <w:color w:val="auto"/>
        </w:rPr>
      </w:pPr>
    </w:p>
    <w:p>
      <w:pPr>
        <w:ind w:left="660" w:hanging="328"/>
        <w:spacing w:after="0"/>
        <w:tabs>
          <w:tab w:leader="none" w:pos="660" w:val="left"/>
        </w:tabs>
        <w:numPr>
          <w:ilvl w:val="0"/>
          <w:numId w:val="17"/>
        </w:numPr>
        <w:rPr>
          <w:rFonts w:ascii="Arial" w:cs="Arial" w:eastAsia="Arial" w:hAnsi="Arial"/>
          <w:sz w:val="10"/>
          <w:szCs w:val="10"/>
          <w:color w:val="auto"/>
        </w:rPr>
      </w:pPr>
      <w:r>
        <w:rPr>
          <w:rFonts w:ascii="Arial" w:cs="Arial" w:eastAsia="Arial" w:hAnsi="Arial"/>
          <w:sz w:val="13"/>
          <w:szCs w:val="13"/>
          <w:color w:val="auto"/>
        </w:rPr>
        <w:t>The annualized ratio of net investment income to average net assets was 8.93% and 10.46% for the three months ended March 31, 2022 and 2021, respectively.</w:t>
      </w:r>
    </w:p>
    <w:p>
      <w:pPr>
        <w:spacing w:after="0" w:line="80" w:lineRule="exact"/>
        <w:rPr>
          <w:rFonts w:ascii="Arial" w:cs="Arial" w:eastAsia="Arial" w:hAnsi="Arial"/>
          <w:sz w:val="10"/>
          <w:szCs w:val="10"/>
          <w:color w:val="auto"/>
        </w:rPr>
      </w:pPr>
    </w:p>
    <w:p>
      <w:pPr>
        <w:ind w:left="660" w:hanging="328"/>
        <w:spacing w:after="0" w:line="253" w:lineRule="auto"/>
        <w:tabs>
          <w:tab w:leader="none" w:pos="660" w:val="left"/>
        </w:tabs>
        <w:numPr>
          <w:ilvl w:val="0"/>
          <w:numId w:val="17"/>
        </w:numPr>
        <w:rPr>
          <w:rFonts w:ascii="Arial" w:cs="Arial" w:eastAsia="Arial" w:hAnsi="Arial"/>
          <w:sz w:val="11"/>
          <w:szCs w:val="11"/>
          <w:color w:val="auto"/>
        </w:rPr>
      </w:pPr>
      <w:r>
        <w:rPr>
          <w:rFonts w:ascii="Arial" w:cs="Arial" w:eastAsia="Arial" w:hAnsi="Arial"/>
          <w:sz w:val="14"/>
          <w:szCs w:val="14"/>
          <w:color w:val="auto"/>
        </w:rPr>
        <w:t>The annualized ratio of net operating expenses excluding incentive fees, to average net assets was 3.62% and 3.39% for the three months ended March 31, 2022 and 2021, respectively.</w:t>
      </w:r>
    </w:p>
    <w:p>
      <w:pPr>
        <w:spacing w:after="0" w:line="25" w:lineRule="exact"/>
        <w:rPr>
          <w:rFonts w:ascii="Arial" w:cs="Arial" w:eastAsia="Arial" w:hAnsi="Arial"/>
          <w:sz w:val="11"/>
          <w:szCs w:val="11"/>
          <w:color w:val="auto"/>
        </w:rPr>
      </w:pPr>
    </w:p>
    <w:p>
      <w:pPr>
        <w:ind w:left="660" w:hanging="328"/>
        <w:spacing w:after="0"/>
        <w:tabs>
          <w:tab w:leader="none" w:pos="660" w:val="left"/>
        </w:tabs>
        <w:numPr>
          <w:ilvl w:val="0"/>
          <w:numId w:val="17"/>
        </w:numPr>
        <w:rPr>
          <w:rFonts w:ascii="Arial" w:cs="Arial" w:eastAsia="Arial" w:hAnsi="Arial"/>
          <w:sz w:val="11"/>
          <w:szCs w:val="11"/>
          <w:color w:val="auto"/>
        </w:rPr>
      </w:pPr>
      <w:r>
        <w:rPr>
          <w:rFonts w:ascii="Arial" w:cs="Arial" w:eastAsia="Arial" w:hAnsi="Arial"/>
          <w:sz w:val="14"/>
          <w:szCs w:val="14"/>
          <w:color w:val="auto"/>
        </w:rPr>
        <w:t>Incentive fees are not annualized.</w:t>
      </w:r>
    </w:p>
    <w:p>
      <w:pPr>
        <w:spacing w:after="0" w:line="55"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17"/>
        </w:numPr>
        <w:rPr>
          <w:rFonts w:ascii="Arial" w:cs="Arial" w:eastAsia="Arial" w:hAnsi="Arial"/>
          <w:sz w:val="11"/>
          <w:szCs w:val="11"/>
          <w:color w:val="auto"/>
        </w:rPr>
      </w:pPr>
      <w:r>
        <w:rPr>
          <w:rFonts w:ascii="Arial" w:cs="Arial" w:eastAsia="Arial" w:hAnsi="Arial"/>
          <w:sz w:val="14"/>
          <w:szCs w:val="14"/>
          <w:color w:val="auto"/>
        </w:rPr>
        <w:t>The portfolio turnover rate for the three months ended March 31, 2022 and 2021 equals the lesser of investment portfolio purchases or sales during the period, divided by the average investment portfolio value during the period. As such, portfolio turnover rate is not annualized.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Tax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Federal income tax regulations differ from accounting principles generally accepted in the United States and distributions in accordance with tax regulations may differ from net investment income and realized gains recognized for financial reporting purposes. Differences may be permanent or temporary in nature. Permanent differences are reclassified among capital accounts in the financial statements to reflect their appropriate tax character. Temporary differences arise when certain items of income, expense, gain or loss are recognized at some time in the future.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the tax cost basis and the estimated aggregate gross unrealized appreciation and depreciation from investments for federal income tax pusposes as of and for the three months ended March 31, 2022 and the year ended December 31, 2021: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March 31, 2022</w:t>
            </w:r>
          </w:p>
        </w:tc>
        <w:tc>
          <w:tcPr>
            <w:tcW w:w="220" w:type="dxa"/>
            <w:vAlign w:val="bottom"/>
          </w:tcPr>
          <w:p>
            <w:pPr>
              <w:spacing w:after="0"/>
              <w:rPr>
                <w:sz w:val="14"/>
                <w:szCs w:val="14"/>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16"/>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Tax cost on investments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761,092,290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726,968,588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17,434,571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23,598,138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Unrealized depreciation</w:t>
            </w: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(24,237,491)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(21,050,452)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appreciation/(depreciation) from investments</w:t>
            </w: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(6,802,920)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Note 13 - Subsequent Events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evaluated events subsequent to March 31, 2022 through May 5, 2022.</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20, 2022, the Company entered into a certain amended and restated credit agreement (the “Amended and Restated Credit Agreement”) among the Company, as borrower, the financial institutions party thereto as lenders (the “Lenders”), KeyBank National Association, as administrative agent for Lenders (“Administrative Agent”) and a Lender, CIBC Bank USA, as documentation agent and a Lender, MUFG Union Bank, N.A. as co-documentation agent, and U.S. Bank Trust Company, National Association, as collateral custodian and paying agent. Effective as of April 20, 2022, the Amended and Restated Credit Agreement amended and restated that certain Credit Agreement, dated as of May 31, 2019, among the Company, as borrower, the financial institutions party thereto as lenders, KeyBank National Association, as administrative agent and a lender, CIBC Bank USA, as documentation agent and a lender, MUFG Union Bank, N.A. as co-documentation agent, and U.S. Bank, National Association, as collateral custodian and paying agent (as amended prior to April 20, 2022, the “Prior Credit Agreement”).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Amended and Restated Credit Agreement amended and restated the Prior Credit Agreement to: (i) increase the commitment amount from $215 million to $225 million, (ii) increase the accordion amount from a $350 million maximum aggregate commitment amount to a $500 million maximum aggregate commitment amount; (iii) extend the maturity date and revolving period, (iv) calculate the interest rate based on SOFR (rather than LIBOR), and (v) amend certain other terms of the Prior Credit Agreement, including without limitation the borrowing base calculation and excess concentration measures.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28, 2022, the Company declared a dividend of $0.30 per share payable on May 24, 2022 to shareholders of record as of May 10, 2022.</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March 2, 2022, Coginiti Corp prepaid its outstanding principal balance of $500,000 along with outstanding interest for total consideration of $509,276.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3, 2022, the Company funded an investment of $5,000,000 to INRIX,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20" w:firstLine="634"/>
        <w:spacing w:after="0" w:line="270" w:lineRule="auto"/>
        <w:rPr>
          <w:sz w:val="20"/>
          <w:szCs w:val="20"/>
          <w:color w:val="auto"/>
        </w:rPr>
      </w:pPr>
      <w:r>
        <w:rPr>
          <w:rFonts w:ascii="Arial" w:cs="Arial" w:eastAsia="Arial" w:hAnsi="Arial"/>
          <w:sz w:val="17"/>
          <w:szCs w:val="17"/>
          <w:color w:val="auto"/>
        </w:rPr>
        <w:t>This quarterly report on Form 10-Q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conditions affecting the financial and capital markets, including changes from the impact of the current COVID 19 pandemic and market volatility resulting from the Russian invasion of Ukraine;</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continue to effectively manage our business due to the disruptions caused by the current COVID-19 pandemic;</w:t>
      </w:r>
    </w:p>
    <w:p>
      <w:pPr>
        <w:spacing w:after="0" w:line="207"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129"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9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that could impair our lending and investment activities, including as a result of the COVID-19 pandemic;</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rate volatility that could adversely affect our results, particularly to the extent that we use leverage as part of our investment strategy;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interest and inflation rates on our business prospects and the prospects of our portfolio companies;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operating results, including our ability to achieve objectives as a result of the COVID-19 pandemic;</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business prospects and the prospects of our portfolio companies, including the impact of the COVID-19 pandemic thereon;</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 including as a result of the COVID-19 pandemic;</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with other entities and our affiliates for investment opportunities;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speculative and illiquid nature of our investments;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use of borrowed money to finance a portion of our investments;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adequacy of our financing sources and working capital;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19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 the impact of the COVID-19 pandemic thereon;</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external investment adviser, Runway Growth Capital LLC (“RGC”), to locate suitable investments for us and to monitor and administer our investments and the impacts of the COVID-19 pandemic thereon;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RGC to attract and retain highly talented professionals;</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our qualification as a regulated investment company (“RIC”) under Subchapter M of the Internal Revenue Code of 1986, as amended (the “Code”), and as a business development company (“BDC”);</w:t>
      </w:r>
    </w:p>
    <w:p>
      <w:pPr>
        <w:spacing w:after="0" w:line="129"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pacing w:after="0" w:line="96"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legal, tax, and regulatory changes; and</w:t>
      </w:r>
    </w:p>
    <w:p>
      <w:pPr>
        <w:spacing w:after="0" w:line="184" w:lineRule="exact"/>
        <w:rPr>
          <w:rFonts w:ascii="Arial" w:cs="Arial" w:eastAsia="Arial" w:hAnsi="Arial"/>
          <w:sz w:val="18"/>
          <w:szCs w:val="18"/>
          <w:color w:val="auto"/>
        </w:rPr>
      </w:pPr>
    </w:p>
    <w:p>
      <w:pPr>
        <w:jc w:val="both"/>
        <w:ind w:left="660" w:right="20" w:hanging="328"/>
        <w:spacing w:after="0" w:line="31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other risks, uncertainties and other factors we identify under “Risk Factors” in Part I, Item 1A of our annual report on Form 10 K, as modified by the annual report on Form 10-K/A for the year ended December 31, 2021, filed with the SEC on March 2, 2022 and March 14, 2022, respectively and in our other filings with the Securities and Exchange Commission (the “SEC”).</w:t>
      </w:r>
    </w:p>
    <w:p>
      <w:pPr>
        <w:spacing w:after="0" w:line="1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 Q should not be regarded as a representation by us that our plans and objectives will be achieved. These risks and uncertainties include those described or identified in “Risk Factors” in in Part I, Item 1A of our annual report on Form 10 K, as modified by the annual report on Form 10-K/A for the year ended December 31, 2021, filed with the SEC on March 2, 2022 and March 14, 2022, respectively.</w:t>
      </w:r>
    </w:p>
    <w:p>
      <w:pPr>
        <w:spacing w:after="0" w:line="16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based the forward-looking statements included in this Form 10-Q on information available to us on the date of this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10-K, quarterly reports on Form 10-Q and current reports on Form 8-K.</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an externally managed, non-diversified closed-end investment management company that was formed on August 31, 2015 as a corporation under the laws of the State of Maryland. On August 18, 2021, we changed our name to “Runway Growth Finance Corp.” from “Runway Growth Credit Fund Inc.” We have elected to be regulated as a BDC under the 1940 Act. In addition, we have elected to be treated, have qualified, and intend to continue to qualify annually as a RIC under Subchapter M of the Code. If we fail to qualify as a RIC for any taxable year, we will be subject to corporate-level U.S. federal income tax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We will remain an emerging growth company until the last day of our fiscal year following the fifth anniversary of our IPO on October 25, 2021, or until the earliest of (i) the last day of the first fiscal year in which we have total annual gross revenue of $1,070,000,000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externally managed by RGC, an investment adviser that has registered with the SEC under the Investment Advisers Act of 1940, as amended. The Administrator, a wholly-owned subsidiary of RGC, provides all the administrative services necessary for us to operate.</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October 2015, in connection with our formation, we issued and sold 1,667 shares of common stock to R. David Spreng, our President, Chief Executive Officer and Chairman of our Board of Directors, for an aggregate purchase price of $25,000. The sale of shares of common stock was approved by the unanimous consent of the sole director at the time. On December 1, 2017, we completed our Initial Private Offering, in which we issued 18,241,157 shares of our common stock to stockholders for a total purchase price of $275,000,000 in reliance on exemptions from the registration requirements of the Securities Act, and other applicable securities laws.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2022, we had completed multiple closings under our second private offering (the “Second Private Offering”) and had accepted aggregate capital commitments of $181,673,500. As of March 31, 2022, in connection with the Second Private Offering we have issued 9,617,379 shares of our common stock for a total purchase price of $144,260,683. Concurrent with the IPO, all undrawn commitments under the Second Private Offering were cancelled.</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October 25, 2021, we closed our IPO, issuing 6,850,000 shares of our common stock at a public offering price of $14.60 per share. Net of underwriting fees and offering costs, we received net cash proceeds of $93.0 million. Our common stock began trading on the Nasdaq Global Select Market under the symbol “RWAY” on October 21, 2021.</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As of March 31, 2022, we have issued 22,564 shares as an additional direct investment by Runway Growth Holdings LLC, an affiliate of RGC, for a total purchase price of $338,453. As of March 31, 2022, we have issued an additional 6,647,847 shares as part of our dividend reinvestment plan. Refer to Note 6 for further detail.</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August 10, 2020, we, RGC, and certain other funds and accounts sponsored or managed by RGC and/or its affiliates were granted an order (the “Order”) that permits us greater flexibility than the 1940 Act permits to negotiate the terms of co-investments if the Board determines that it would be advantageous for us to co-invest with other accounts sponsored or managed by RGC or its affiliates in a manner consistent with our investment objective or criteria,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criteria, positions, policies, strategies and restrictions as well as regulatory requirements and other pertinent factors.</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pursuant to an exemptive order issued by the SEC on April 8, 2020 and applicable to all BDCs with exemptive orders, through December 31, 2020, we were permitted, subject to the satisfaction of certain conditions, to co-invest in our existing portfolio companies with certain affiliates that are private funds even if such other funds had not previously invested in such existing portfolio company. Without this order, such affiliated funds that are private funds would not be able to participate in such co-investments with us unless the affiliated funds had previously acquired securities of the portfolio company in a co-investment transaction with us. Although the conditional exemptive order expired on December 31, 2021, the SEC’s Division of Investment Management indicated that until March 31, 2022, it would not recommend enforcement action, to the extent that any BDC with an existing co-investment order continued to engage in certain transactions described in the conditional exemptive order, pursuant to the same terms and conditions described therein.</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expiration of the conditional exemptive order, the Division of Investment Management has indicated that, although BDCs would not be able to rely on the conditional exemptive order subsequent to March 31, 2022, BDCs can apply to amend their existing orders to permanently implement the relief. We intend to file an amendment to our existing Order to permanently implement the relief, but there is no guarantee that such amendment will be granted.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Composition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March 31, 2022, we had investments in 40 portfolio companies, representing 19 companies in which we held loan and warrant investments, four companies in which we held loan investments and shares of common, preferred stock, or a combination with warrants, three companies in which we held a loan investment only, nine companies in which we held warrant investments only, and five companies in which we held shares of common or preferred stock only, or a combination with warrants. At December 31, 2021, we had investments in 39 portfolio companies, representing 20 companies where we held loan and warrant investments, 12 companies where we held warrant interests only, and we held one U.S. Treasury Bill. The following table shows the fair value of our investments, by asset class, as of March 31, 2022 and December 31,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7"/>
              </w:rPr>
              <w:t>March 31, 2022 (Unaudited)</w:t>
            </w: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December 31, 2021</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Total</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Common Stocks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9,260,979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7,823,497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rPr>
              <w:t>4,709,744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11,463,865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Senior Secured Term Loans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705,379,740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698,576,393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629,009,432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623,053,646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Second Lien Term Loans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13,048,827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13,048,827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12,872,588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12,872,588</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15,181,866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13,506,215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17,337,836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17,037,125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Warrants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18,461,215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21,334,438</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18,393,141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20,087,550</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761,332,627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754,289,370</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682,322,741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684,514,774</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Treasury Bill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45,001,250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45,001,500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761,332,627</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754,289,370</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727,323,991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729,516,274</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right="40" w:firstLine="648"/>
        <w:spacing w:after="0" w:line="254" w:lineRule="auto"/>
        <w:rPr>
          <w:sz w:val="20"/>
          <w:szCs w:val="20"/>
          <w:color w:val="auto"/>
        </w:rPr>
      </w:pPr>
      <w:r>
        <w:rPr>
          <w:rFonts w:ascii="Arial" w:cs="Arial" w:eastAsia="Arial" w:hAnsi="Arial"/>
          <w:sz w:val="17"/>
          <w:szCs w:val="17"/>
          <w:color w:val="231F20"/>
        </w:rPr>
        <w:t xml:space="preserve">For the three months ended March 31, 2022, our debt investment portfolio had a dollar-weighted annualized yield of 12.15%. For the three months ended </w:t>
      </w:r>
      <w:r>
        <w:rPr>
          <w:rFonts w:ascii="Arial" w:cs="Arial" w:eastAsia="Arial" w:hAnsi="Arial"/>
          <w:sz w:val="17"/>
          <w:szCs w:val="17"/>
          <w:color w:val="000000"/>
        </w:rPr>
        <w:t>March 31</w:t>
      </w:r>
      <w:r>
        <w:rPr>
          <w:rFonts w:ascii="Arial" w:cs="Arial" w:eastAsia="Arial" w:hAnsi="Arial"/>
          <w:sz w:val="17"/>
          <w:szCs w:val="17"/>
          <w:color w:val="231F20"/>
        </w:rPr>
        <w:t>, 2021, our debt investment portfolio had a dollar-weighted annualized yield of 13.45%. We calculate the yield on dollar-weighted debt investments for any period measured as (1) total related investment income during the period divided by (2) the daily average of the fair value of debt investments outstanding during the period. As of March 31, 2022, our debt investments had a dollar-weighted average outstanding term of 48 months at origination and a dollar-weighted average remaining term of 36 months, or approximately 3.0 years. As of March 31, 2022, substantially all of our debt investments had an original committed principal amount of between $6 million and $75 million, repayment terms of between 34 months and 60 months and pay cash interest at annual interest rates of between 5.92% and 12.00%.</w:t>
      </w:r>
    </w:p>
    <w:p>
      <w:pPr>
        <w:spacing w:after="0" w:line="181"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231F20"/>
        </w:rPr>
        <w:t xml:space="preserve">The following table shows our dollar-weighted annualized yield by investment type for the three months ended March 31, 2022 and </w:t>
      </w:r>
      <w:r>
        <w:rPr>
          <w:rFonts w:ascii="Arial" w:cs="Arial" w:eastAsia="Arial" w:hAnsi="Arial"/>
          <w:sz w:val="18"/>
          <w:szCs w:val="18"/>
          <w:color w:val="000000"/>
        </w:rPr>
        <w:t>March 31</w:t>
      </w:r>
      <w:r>
        <w:rPr>
          <w:rFonts w:ascii="Arial" w:cs="Arial" w:eastAsia="Arial" w:hAnsi="Arial"/>
          <w:sz w:val="18"/>
          <w:szCs w:val="18"/>
          <w:color w:val="231F20"/>
        </w:rPr>
        <w:t>, 2021: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3440" w:type="dxa"/>
            <w:vAlign w:val="bottom"/>
            <w:gridSpan w:val="4"/>
          </w:tcPr>
          <w:p>
            <w:pPr>
              <w:ind w:left="120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(1)</w:t>
            </w:r>
          </w:p>
        </w:tc>
        <w:tc>
          <w:tcPr>
            <w:tcW w:w="1900" w:type="dxa"/>
            <w:vAlign w:val="bottom"/>
            <w:gridSpan w:val="3"/>
          </w:tcPr>
          <w:p>
            <w:pPr>
              <w:ind w:left="140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0"/>
                <w:szCs w:val="10"/>
                <w:b w:val="1"/>
                <w:bCs w:val="1"/>
                <w:color w:val="auto"/>
              </w:rPr>
              <w:t>(2)</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3000" w:type="dxa"/>
            <w:vAlign w:val="bottom"/>
          </w:tcPr>
          <w:p>
            <w:pPr>
              <w:spacing w:after="0"/>
              <w:rPr>
                <w:sz w:val="12"/>
                <w:szCs w:val="12"/>
                <w:color w:val="auto"/>
              </w:rPr>
            </w:pPr>
          </w:p>
        </w:tc>
        <w:tc>
          <w:tcPr>
            <w:tcW w:w="3180" w:type="dxa"/>
            <w:vAlign w:val="bottom"/>
            <w:tcBorders>
              <w:top w:val="single" w:sz="8" w:color="auto"/>
              <w:bottom w:val="single" w:sz="8" w:color="auto"/>
            </w:tcBorders>
            <w:gridSpan w:val="3"/>
          </w:tcPr>
          <w:p>
            <w:pPr>
              <w:jc w:val="right"/>
              <w:ind w:right="855"/>
              <w:spacing w:after="0" w:line="142" w:lineRule="exact"/>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2"/>
                <w:szCs w:val="12"/>
                <w:color w:val="auto"/>
              </w:rPr>
            </w:pPr>
          </w:p>
        </w:tc>
        <w:tc>
          <w:tcPr>
            <w:tcW w:w="3200" w:type="dxa"/>
            <w:vAlign w:val="bottom"/>
            <w:tcBorders>
              <w:top w:val="single" w:sz="8" w:color="auto"/>
              <w:bottom w:val="single" w:sz="8" w:color="auto"/>
            </w:tcBorders>
            <w:gridSpan w:val="4"/>
          </w:tcPr>
          <w:p>
            <w:pPr>
              <w:jc w:val="right"/>
              <w:ind w:right="855"/>
              <w:spacing w:after="0" w:line="142"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r>
      <w:tr>
        <w:trPr>
          <w:trHeight w:val="142"/>
        </w:trPr>
        <w:tc>
          <w:tcPr>
            <w:tcW w:w="3000" w:type="dxa"/>
            <w:vAlign w:val="bottom"/>
          </w:tcPr>
          <w:p>
            <w:pPr>
              <w:spacing w:after="0"/>
              <w:rPr>
                <w:sz w:val="12"/>
                <w:szCs w:val="12"/>
                <w:color w:val="auto"/>
              </w:rPr>
            </w:pPr>
          </w:p>
        </w:tc>
        <w:tc>
          <w:tcPr>
            <w:tcW w:w="172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March 31, 2022</w:t>
            </w:r>
          </w:p>
        </w:tc>
        <w:tc>
          <w:tcPr>
            <w:tcW w:w="146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March 31, 2021</w:t>
            </w:r>
          </w:p>
        </w:tc>
        <w:tc>
          <w:tcPr>
            <w:tcW w:w="260" w:type="dxa"/>
            <w:vAlign w:val="bottom"/>
          </w:tcPr>
          <w:p>
            <w:pPr>
              <w:spacing w:after="0"/>
              <w:rPr>
                <w:sz w:val="12"/>
                <w:szCs w:val="12"/>
                <w:color w:val="auto"/>
              </w:rPr>
            </w:pPr>
          </w:p>
        </w:tc>
        <w:tc>
          <w:tcPr>
            <w:tcW w:w="190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March 31, 2022</w:t>
            </w:r>
          </w:p>
        </w:tc>
        <w:tc>
          <w:tcPr>
            <w:tcW w:w="13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March 31, 2021</w:t>
            </w:r>
          </w:p>
        </w:tc>
        <w:tc>
          <w:tcPr>
            <w:tcW w:w="280" w:type="dxa"/>
            <w:vAlign w:val="bottom"/>
          </w:tcPr>
          <w:p>
            <w:pPr>
              <w:spacing w:after="0"/>
              <w:rPr>
                <w:sz w:val="12"/>
                <w:szCs w:val="12"/>
                <w:color w:val="auto"/>
              </w:rPr>
            </w:pP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 type:</w:t>
            </w:r>
          </w:p>
        </w:tc>
        <w:tc>
          <w:tcPr>
            <w:tcW w:w="14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Debt investments</w:t>
            </w:r>
          </w:p>
        </w:tc>
        <w:tc>
          <w:tcPr>
            <w:tcW w:w="1460" w:type="dxa"/>
            <w:vAlign w:val="bottom"/>
          </w:tcPr>
          <w:p>
            <w:pPr>
              <w:jc w:val="right"/>
              <w:spacing w:after="0"/>
              <w:rPr>
                <w:sz w:val="20"/>
                <w:szCs w:val="20"/>
                <w:color w:val="auto"/>
              </w:rPr>
            </w:pPr>
            <w:r>
              <w:rPr>
                <w:rFonts w:ascii="Arial" w:cs="Arial" w:eastAsia="Arial" w:hAnsi="Arial"/>
                <w:sz w:val="18"/>
                <w:szCs w:val="18"/>
                <w:color w:val="auto"/>
              </w:rPr>
              <w:t>12.15 %</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13.45 %</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12.03 %</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13.29 %</w:t>
            </w:r>
          </w:p>
        </w:tc>
        <w:tc>
          <w:tcPr>
            <w:tcW w:w="28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3.36 %</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3.79 %</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3.05 %</w:t>
            </w:r>
          </w:p>
        </w:tc>
        <w:tc>
          <w:tcPr>
            <w:tcW w:w="280" w:type="dxa"/>
            <w:vAlign w:val="bottom"/>
            <w:shd w:val="clear" w:color="auto" w:fill="CCEEFF"/>
          </w:tcPr>
          <w:p>
            <w:pPr>
              <w:spacing w:after="0"/>
              <w:rPr>
                <w:sz w:val="18"/>
                <w:szCs w:val="18"/>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All investments</w:t>
            </w:r>
          </w:p>
        </w:tc>
        <w:tc>
          <w:tcPr>
            <w:tcW w:w="1460" w:type="dxa"/>
            <w:vAlign w:val="bottom"/>
          </w:tcPr>
          <w:p>
            <w:pPr>
              <w:jc w:val="right"/>
              <w:spacing w:after="0"/>
              <w:rPr>
                <w:sz w:val="20"/>
                <w:szCs w:val="20"/>
                <w:color w:val="auto"/>
              </w:rPr>
            </w:pPr>
            <w:r>
              <w:rPr>
                <w:rFonts w:ascii="Arial" w:cs="Arial" w:eastAsia="Arial" w:hAnsi="Arial"/>
                <w:sz w:val="18"/>
                <w:szCs w:val="18"/>
                <w:color w:val="auto"/>
              </w:rPr>
              <w:t>11.54 %</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12.43 %</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11.53 %</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12.42 %</w:t>
            </w:r>
          </w:p>
        </w:tc>
        <w:tc>
          <w:tcPr>
            <w:tcW w:w="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4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0"/>
          <w:szCs w:val="10"/>
          <w:color w:val="auto"/>
        </w:rPr>
      </w:pPr>
      <w:r>
        <w:rPr>
          <w:rFonts w:ascii="Arial" w:cs="Arial" w:eastAsia="Arial" w:hAnsi="Arial"/>
          <w:sz w:val="13"/>
          <w:szCs w:val="13"/>
          <w:color w:val="auto"/>
        </w:rPr>
        <w:t>We calculate the dollar-weighted annualized yield on average investment type for any period as (a) total related investment income during the period divided by</w:t>
      </w:r>
    </w:p>
    <w:p>
      <w:pPr>
        <w:spacing w:after="0" w:line="11" w:lineRule="exact"/>
        <w:rPr>
          <w:rFonts w:ascii="Arial" w:cs="Arial" w:eastAsia="Arial" w:hAnsi="Arial"/>
          <w:sz w:val="10"/>
          <w:szCs w:val="10"/>
          <w:color w:val="auto"/>
        </w:rPr>
      </w:pPr>
    </w:p>
    <w:p>
      <w:pPr>
        <w:ind w:left="660" w:hanging="4"/>
        <w:spacing w:after="0" w:line="237" w:lineRule="auto"/>
        <w:tabs>
          <w:tab w:leader="none" w:pos="870" w:val="left"/>
        </w:tabs>
        <w:numPr>
          <w:ilvl w:val="1"/>
          <w:numId w:val="20"/>
        </w:numPr>
        <w:rPr>
          <w:rFonts w:ascii="Arial" w:cs="Arial" w:eastAsia="Arial" w:hAnsi="Arial"/>
          <w:sz w:val="14"/>
          <w:szCs w:val="14"/>
          <w:color w:val="auto"/>
        </w:rPr>
      </w:pPr>
      <w:r>
        <w:rPr>
          <w:rFonts w:ascii="Arial" w:cs="Arial" w:eastAsia="Arial" w:hAnsi="Arial"/>
          <w:sz w:val="14"/>
          <w:szCs w:val="14"/>
          <w:color w:val="auto"/>
        </w:rPr>
        <w:t>the daily average of the fair value of the investment type outstanding during the period. The dollar-weighted annualized yield represents the portfolio yield and will be higher than what investors will realize because it does not reflect our expenses or any sales load paid by investors.</w:t>
      </w:r>
    </w:p>
    <w:p>
      <w:pPr>
        <w:spacing w:after="0" w:line="34"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0"/>
          <w:szCs w:val="10"/>
          <w:color w:val="auto"/>
        </w:rPr>
      </w:pPr>
      <w:r>
        <w:rPr>
          <w:rFonts w:ascii="Arial" w:cs="Arial" w:eastAsia="Arial" w:hAnsi="Arial"/>
          <w:sz w:val="13"/>
          <w:szCs w:val="13"/>
          <w:color w:val="auto"/>
        </w:rPr>
        <w:t>We calculate the dollar-weighted annualized yield on average investment type for any period as (a) total related investment income during the period divided by</w:t>
      </w:r>
    </w:p>
    <w:p>
      <w:pPr>
        <w:spacing w:after="0" w:line="11" w:lineRule="exact"/>
        <w:rPr>
          <w:rFonts w:ascii="Arial" w:cs="Arial" w:eastAsia="Arial" w:hAnsi="Arial"/>
          <w:sz w:val="10"/>
          <w:szCs w:val="10"/>
          <w:color w:val="auto"/>
        </w:rPr>
      </w:pPr>
    </w:p>
    <w:p>
      <w:pPr>
        <w:ind w:left="660" w:right="20" w:hanging="4"/>
        <w:spacing w:after="0" w:line="237" w:lineRule="auto"/>
        <w:tabs>
          <w:tab w:leader="none" w:pos="866" w:val="left"/>
        </w:tabs>
        <w:numPr>
          <w:ilvl w:val="1"/>
          <w:numId w:val="20"/>
        </w:numPr>
        <w:rPr>
          <w:rFonts w:ascii="Arial" w:cs="Arial" w:eastAsia="Arial" w:hAnsi="Arial"/>
          <w:sz w:val="14"/>
          <w:szCs w:val="14"/>
          <w:color w:val="auto"/>
        </w:rPr>
      </w:pPr>
      <w:r>
        <w:rPr>
          <w:rFonts w:ascii="Arial" w:cs="Arial" w:eastAsia="Arial" w:hAnsi="Arial"/>
          <w:sz w:val="14"/>
          <w:szCs w:val="14"/>
          <w:color w:val="auto"/>
        </w:rPr>
        <w:t>the daily average of the investment type outstanding during the period, at amortized cost. The dollar-weighted annualized yield represents the portfolio yield and will be higher than what investors will realize because it does not reflect our expenses or any saled load paid by investors.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Activity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During the three months ended March 31, 2022, the Company funded $42.1 million in two new portfolio companies and $40.7 million in four existing portfolio companies, net of upfront loan origination fees. The Company also received $7.6 million in a loan repayment from one portfolio company and $0.3 million in proceeds from the termination of warrants. During the three months ended March 31, 2021, the Company funded $34.7 million in two new portfolio companies and $19.3 million in five existing portfolio companies. The Company also received $16.6 million in loan repayments from four portfolio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Reconciliation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our investment portfolio, including U.S. Treasury Bills,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24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March 31, 2022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2021</w:t>
            </w:r>
          </w:p>
        </w:tc>
      </w:tr>
      <w:tr>
        <w:trPr>
          <w:trHeight w:val="142"/>
        </w:trPr>
        <w:tc>
          <w:tcPr>
            <w:tcW w:w="24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Investment Portfolio</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729,516,274</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621,826,650</w:t>
            </w:r>
          </w:p>
        </w:tc>
        <w:tc>
          <w:tcPr>
            <w:tcW w:w="8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86,856,674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54,844,031</w:t>
            </w:r>
          </w:p>
        </w:tc>
        <w:tc>
          <w:tcPr>
            <w:tcW w:w="8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U.S. Treasury Bills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24,999,969</w:t>
            </w:r>
          </w:p>
        </w:tc>
        <w:tc>
          <w:tcPr>
            <w:tcW w:w="8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Amortization of Fixed Income Premiums or Accretion of Discounts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2,824,612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2,171,173</w:t>
            </w:r>
          </w:p>
        </w:tc>
        <w:tc>
          <w:tcPr>
            <w:tcW w:w="8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or Repayments of Investments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(9,878,071)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(14,500,000)</w:t>
            </w: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Scheduled Principal Payments of Investments</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(423,570)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(2,066,442)</w:t>
            </w: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Maturities of U.S. Treasury Bills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(44,999,747)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(69,999,183)</w:t>
            </w: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Realized Gain (Loss) on Investments</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(371,262)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(217,427)</w:t>
            </w: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(9,235,540)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(1,911,181)</w:t>
            </w:r>
          </w:p>
        </w:tc>
      </w:tr>
      <w:tr>
        <w:trPr>
          <w:trHeight w:val="210"/>
        </w:trPr>
        <w:tc>
          <w:tcPr>
            <w:tcW w:w="7040" w:type="dxa"/>
            <w:vAlign w:val="bottom"/>
            <w:gridSpan w:val="2"/>
          </w:tcPr>
          <w:p>
            <w:pPr>
              <w:spacing w:after="0"/>
              <w:rPr>
                <w:sz w:val="20"/>
                <w:szCs w:val="20"/>
                <w:color w:val="auto"/>
              </w:rPr>
            </w:pPr>
            <w:r>
              <w:rPr>
                <w:rFonts w:ascii="Arial" w:cs="Arial" w:eastAsia="Arial" w:hAnsi="Arial"/>
                <w:sz w:val="18"/>
                <w:szCs w:val="18"/>
                <w:color w:val="auto"/>
              </w:rPr>
              <w:t>Ending Investment Portfolio</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754,289,370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615,147,590</w:t>
            </w:r>
          </w:p>
        </w:tc>
        <w:tc>
          <w:tcPr>
            <w:tcW w:w="80" w:type="dxa"/>
            <w:vAlign w:val="bottom"/>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62" w:lineRule="exact"/>
        <w:rPr>
          <w:sz w:val="20"/>
          <w:szCs w:val="20"/>
          <w:color w:val="auto"/>
        </w:rPr>
      </w:pPr>
    </w:p>
    <w:p>
      <w:pPr>
        <w:ind w:left="480" w:hanging="310"/>
        <w:spacing w:after="0"/>
        <w:tabs>
          <w:tab w:leader="none" w:pos="480" w:val="left"/>
        </w:tabs>
        <w:numPr>
          <w:ilvl w:val="0"/>
          <w:numId w:val="21"/>
        </w:numPr>
        <w:rPr>
          <w:rFonts w:ascii="Arial" w:cs="Arial" w:eastAsia="Arial" w:hAnsi="Arial"/>
          <w:sz w:val="11"/>
          <w:szCs w:val="11"/>
          <w:color w:val="auto"/>
        </w:rPr>
      </w:pPr>
      <w:r>
        <w:rPr>
          <w:rFonts w:ascii="Arial" w:cs="Arial" w:eastAsia="Arial" w:hAnsi="Arial"/>
          <w:sz w:val="14"/>
          <w:szCs w:val="14"/>
          <w:color w:val="auto"/>
        </w:rPr>
        <w:t>Includes PIK interest.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760" w:type="dxa"/>
            <w:vAlign w:val="bottom"/>
          </w:tcPr>
          <w:p>
            <w:pPr>
              <w:jc w:val="center"/>
              <w:ind w:right="1988"/>
              <w:spacing w:after="0"/>
              <w:rPr>
                <w:sz w:val="20"/>
                <w:szCs w:val="20"/>
                <w:color w:val="auto"/>
              </w:rPr>
            </w:pPr>
            <w:r>
              <w:rPr>
                <w:rFonts w:ascii="Arial" w:cs="Arial" w:eastAsia="Arial" w:hAnsi="Arial"/>
                <w:sz w:val="14"/>
                <w:szCs w:val="14"/>
                <w:b w:val="1"/>
                <w:bCs w:val="1"/>
                <w:color w:val="auto"/>
                <w:w w:val="94"/>
              </w:rPr>
              <w:t>Investment</w:t>
            </w:r>
          </w:p>
        </w:tc>
        <w:tc>
          <w:tcPr>
            <w:tcW w:w="3120" w:type="dxa"/>
            <w:vAlign w:val="bottom"/>
            <w:vMerge w:val="restart"/>
          </w:tcPr>
          <w:p>
            <w:pPr>
              <w:ind w:left="2060"/>
              <w:spacing w:after="0"/>
              <w:rPr>
                <w:sz w:val="20"/>
                <w:szCs w:val="20"/>
                <w:color w:val="auto"/>
              </w:rPr>
            </w:pPr>
            <w:r>
              <w:rPr>
                <w:rFonts w:ascii="Arial" w:cs="Arial" w:eastAsia="Arial" w:hAnsi="Arial"/>
                <w:sz w:val="14"/>
                <w:szCs w:val="14"/>
                <w:b w:val="1"/>
                <w:bCs w:val="1"/>
                <w:color w:val="auto"/>
                <w:w w:val="92"/>
              </w:rPr>
              <w:t>Rating Definition</w:t>
            </w:r>
          </w:p>
        </w:tc>
        <w:tc>
          <w:tcPr>
            <w:tcW w:w="0" w:type="dxa"/>
            <w:vAlign w:val="bottom"/>
          </w:tcPr>
          <w:p>
            <w:pPr>
              <w:spacing w:after="0"/>
              <w:rPr>
                <w:sz w:val="1"/>
                <w:szCs w:val="1"/>
                <w:color w:val="auto"/>
              </w:rPr>
            </w:pPr>
          </w:p>
        </w:tc>
      </w:tr>
      <w:tr>
        <w:trPr>
          <w:trHeight w:val="186"/>
        </w:trPr>
        <w:tc>
          <w:tcPr>
            <w:tcW w:w="2760" w:type="dxa"/>
            <w:vAlign w:val="bottom"/>
          </w:tcPr>
          <w:p>
            <w:pPr>
              <w:jc w:val="center"/>
              <w:ind w:right="1988"/>
              <w:spacing w:after="0"/>
              <w:rPr>
                <w:sz w:val="20"/>
                <w:szCs w:val="20"/>
                <w:color w:val="auto"/>
              </w:rPr>
            </w:pPr>
            <w:r>
              <w:rPr>
                <w:rFonts w:ascii="Arial" w:cs="Arial" w:eastAsia="Arial" w:hAnsi="Arial"/>
                <w:sz w:val="14"/>
                <w:szCs w:val="14"/>
                <w:b w:val="1"/>
                <w:bCs w:val="1"/>
                <w:color w:val="auto"/>
                <w:w w:val="96"/>
              </w:rPr>
              <w:t>Rating</w:t>
            </w:r>
          </w:p>
        </w:tc>
        <w:tc>
          <w:tcPr>
            <w:tcW w:w="3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2922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194" w:lineRule="exact"/>
        <w:rPr>
          <w:sz w:val="20"/>
          <w:szCs w:val="20"/>
          <w:color w:val="auto"/>
        </w:rPr>
      </w:pPr>
    </w:p>
    <w:p>
      <w:pPr>
        <w:ind w:left="1100" w:right="20" w:hanging="636"/>
        <w:spacing w:after="0" w:line="258"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Performing above plan and/or strong enterprise profile, value, financial performance/coverage. Maintaining full covenant and payment compliance as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-273050</wp:posOffset>
            </wp:positionV>
            <wp:extent cx="6292215"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100" w:right="20" w:hanging="636"/>
        <w:spacing w:after="0" w:line="265" w:lineRule="auto"/>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Performing at or reasonably close to plan. Acceptable business prospects, enterprise value, financial coverage. Maintaining key covenant and payment compliance as agreed. All new loans are initially graded Category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100" w:hanging="636"/>
        <w:spacing w:after="0"/>
        <w:tabs>
          <w:tab w:leader="none" w:pos="11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Performing below plan of record. Potential elements of concern over performance, trends and business outlook. Loan-to-</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value remains adequate. Potential key covenant non-compliance. Full payment compliance.</w:t>
      </w:r>
    </w:p>
    <w:p>
      <w:pPr>
        <w:spacing w:after="0" w:line="9" w:lineRule="exact"/>
        <w:rPr>
          <w:sz w:val="20"/>
          <w:szCs w:val="20"/>
          <w:color w:val="auto"/>
        </w:rPr>
      </w:pPr>
    </w:p>
    <w:p>
      <w:pPr>
        <w:ind w:left="1100" w:hanging="636"/>
        <w:spacing w:after="0"/>
        <w:tabs>
          <w:tab w:leader="none" w:pos="11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Performing materially below plan. Non-compliant with material financial covenants. Payment default/deferral could result</w:t>
      </w:r>
    </w:p>
    <w:p>
      <w:pPr>
        <w:spacing w:after="0" w:line="32" w:lineRule="exact"/>
        <w:rPr>
          <w:sz w:val="20"/>
          <w:szCs w:val="20"/>
          <w:color w:val="auto"/>
        </w:rPr>
      </w:pPr>
    </w:p>
    <w:p>
      <w:pPr>
        <w:jc w:val="both"/>
        <w:ind w:left="1100"/>
        <w:spacing w:after="0" w:line="250" w:lineRule="auto"/>
        <w:rPr>
          <w:sz w:val="20"/>
          <w:szCs w:val="20"/>
          <w:color w:val="auto"/>
        </w:rPr>
      </w:pPr>
      <w:r>
        <w:rPr>
          <w:rFonts w:ascii="Arial" w:cs="Arial" w:eastAsia="Arial" w:hAnsi="Arial"/>
          <w:sz w:val="18"/>
          <w:szCs w:val="18"/>
          <w:color w:val="auto"/>
        </w:rPr>
        <w:t>without corrective action. Requires close monitoring. Business prospects, enterprise value and collateral coverage declining. These investments may be in workout, and there is a possibility of loss of return but no loss of principal is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292215"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100" w:hanging="636"/>
        <w:spacing w:after="0" w:line="323" w:lineRule="auto"/>
        <w:tabs>
          <w:tab w:leader="none" w:pos="11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Going concern nature in question. Substantial decline in enterprise value and all coverages. Covenant and payment default imminent if not currently present. Investments are nearly always in workout. May experience partial and/or full loss.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investment ratings of our debt investments at fair value as of March 31, 2022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March 31, 2022 (Unaudited)</w:t>
            </w:r>
          </w:p>
        </w:tc>
        <w:tc>
          <w:tcPr>
            <w:tcW w:w="9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As of December 31, 2021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49"/>
        </w:trPr>
        <w:tc>
          <w:tcPr>
            <w:tcW w:w="1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Portfolio</w:t>
            </w:r>
          </w:p>
        </w:tc>
        <w:tc>
          <w:tcPr>
            <w:tcW w:w="260" w:type="dxa"/>
            <w:vAlign w:val="bottom"/>
          </w:tcPr>
          <w:p>
            <w:pPr>
              <w:spacing w:after="0"/>
              <w:rPr>
                <w:sz w:val="12"/>
                <w:szCs w:val="12"/>
                <w:color w:val="auto"/>
              </w:rPr>
            </w:pPr>
          </w:p>
        </w:tc>
        <w:tc>
          <w:tcPr>
            <w:tcW w:w="14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71"/>
        </w:trPr>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6"/>
              </w:rPr>
              <w:t>Rating</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Companies</w:t>
            </w:r>
          </w:p>
        </w:tc>
        <w:tc>
          <w:tcPr>
            <w:tcW w:w="2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Companies</w:t>
            </w: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91,965,427</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91,424,112</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584,822,376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77.5</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479,114,147</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65.7</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20,187,629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47,490,324</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3,247,863</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14,649,788</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14,649,788</w:t>
            </w:r>
          </w:p>
        </w:tc>
        <w:tc>
          <w:tcPr>
            <w:tcW w:w="2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711,625,220</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635,926,234</w:t>
            </w:r>
          </w:p>
        </w:tc>
        <w:tc>
          <w:tcPr>
            <w:tcW w:w="2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global COVID-19 pandemic, to date, has had limited impact on the investment ratings of our debt investments, taken as a whole. However, the ongoing impact of the global COVID-19 pandemic is uncertain and we can make no assurances that the pandemic will not have a negative impact on our investment portfolio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and Debt Securities on Non-Accrual Status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Generally, when interest and/or principal payments on a loan become past due, or if we otherwise do not expect the borrower to be able to service its debt and other obligations, we will place the loan on non-accrual status and will generally cease recognizing interest income on that loan for financial reporting purposes until all principal and interest have been brought current through payment or due to a restructuring such that the interest income is deemed to be collectible. As of March 31, 2022, we had one loan to Pivot3 Holdings, Inc., representing an aggregate principal funded of $18,598,265 at a fair value of $14,649,788 on non-accrual status, which represents 2.45% of the Company’s net assets. </w:t>
      </w:r>
      <w:r>
        <w:rPr>
          <w:rFonts w:ascii="Arial" w:cs="Arial" w:eastAsia="Arial" w:hAnsi="Arial"/>
          <w:sz w:val="18"/>
          <w:szCs w:val="18"/>
          <w:color w:val="231F20"/>
        </w:rPr>
        <w:t>As of December 31, 2021, we had</w:t>
      </w:r>
      <w:r>
        <w:rPr>
          <w:rFonts w:ascii="Arial" w:cs="Arial" w:eastAsia="Arial" w:hAnsi="Arial"/>
          <w:sz w:val="18"/>
          <w:szCs w:val="18"/>
          <w:color w:val="auto"/>
        </w:rPr>
        <w:t xml:space="preserve"> six loans to Mojix, Inc. and one loan to Pivot3 Holdings, Inc., representing an aggregate principal funded of $30,278,707 at a fair value of $28,259,976, on non-accrual status, which represented 4.66% of our net assets</w:t>
      </w:r>
      <w:r>
        <w:rPr>
          <w:rFonts w:ascii="Arial" w:cs="Arial" w:eastAsia="Arial" w:hAnsi="Arial"/>
          <w:sz w:val="18"/>
          <w:szCs w:val="18"/>
          <w:color w:val="231F20"/>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 important measure of our financial performance is net increase/(decrease) in net assets resulting from operations, which includes net investment income/(loss), net realized gain/(loss) and net unrealized appreciation/(depreciation). Net investment income/(loss)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unrealized appreciation/(depreciation) on investments is the net change in the fair value of our investment portfolio.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March 31, 2021</w:t>
            </w:r>
          </w:p>
        </w:tc>
      </w:tr>
      <w:tr>
        <w:trPr>
          <w:trHeight w:val="119"/>
        </w:trPr>
        <w:tc>
          <w:tcPr>
            <w:tcW w:w="24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ind w:right="332"/>
              <w:spacing w:after="0" w:line="119" w:lineRule="exact"/>
              <w:rPr>
                <w:sz w:val="20"/>
                <w:szCs w:val="20"/>
                <w:color w:val="auto"/>
              </w:rPr>
            </w:pPr>
            <w:r>
              <w:rPr>
                <w:rFonts w:ascii="Arial" w:cs="Arial" w:eastAsia="Arial" w:hAnsi="Arial"/>
                <w:sz w:val="13"/>
                <w:szCs w:val="13"/>
                <w:b w:val="1"/>
                <w:bCs w:val="1"/>
                <w:color w:val="auto"/>
              </w:rPr>
              <w:t>Per</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jc w:val="right"/>
              <w:ind w:right="352"/>
              <w:spacing w:after="0" w:line="119" w:lineRule="exact"/>
              <w:rPr>
                <w:sz w:val="20"/>
                <w:szCs w:val="20"/>
                <w:color w:val="auto"/>
              </w:rPr>
            </w:pPr>
            <w:r>
              <w:rPr>
                <w:rFonts w:ascii="Arial" w:cs="Arial" w:eastAsia="Arial" w:hAnsi="Arial"/>
                <w:sz w:val="13"/>
                <w:szCs w:val="13"/>
                <w:b w:val="1"/>
                <w:bCs w:val="1"/>
                <w:color w:val="auto"/>
              </w:rPr>
              <w:t>Per</w:t>
            </w:r>
          </w:p>
        </w:tc>
      </w:tr>
      <w:tr>
        <w:trPr>
          <w:trHeight w:val="171"/>
        </w:trPr>
        <w:tc>
          <w:tcPr>
            <w:tcW w:w="248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0"/>
                <w:szCs w:val="10"/>
                <w:b w:val="1"/>
                <w:bCs w:val="1"/>
                <w:color w:val="auto"/>
              </w:rPr>
              <w:t>(1)</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0"/>
                <w:szCs w:val="10"/>
                <w:b w:val="1"/>
                <w:bCs w:val="1"/>
                <w:color w:val="auto"/>
              </w:rPr>
              <w:t>(1)</w:t>
            </w:r>
          </w:p>
        </w:tc>
      </w:tr>
      <w:tr>
        <w:trPr>
          <w:trHeight w:val="20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Interest and dividend income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19,068,659</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16,308,361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190,239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114,412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investment income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19,258,898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16,422,773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Management fees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2,559,936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2,069,209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Incentive fees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1,343,996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873,486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727,915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Professional fees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Overhead allocation expense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236,972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197,384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Insurance expense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Administration fees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168,573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148,100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Debt financing fees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705,965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4620" w:type="dxa"/>
            <w:vAlign w:val="bottom"/>
            <w:gridSpan w:val="2"/>
          </w:tcPr>
          <w:p>
            <w:pPr>
              <w:ind w:left="120"/>
              <w:spacing w:after="0"/>
              <w:rPr>
                <w:sz w:val="20"/>
                <w:szCs w:val="20"/>
                <w:color w:val="auto"/>
              </w:rPr>
            </w:pPr>
            <w:r>
              <w:rPr>
                <w:rFonts w:ascii="Arial" w:cs="Arial" w:eastAsia="Arial" w:hAnsi="Arial"/>
                <w:sz w:val="18"/>
                <w:szCs w:val="18"/>
                <w:color w:val="auto"/>
              </w:rPr>
              <w:t>Directors’ fees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88,500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64,750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Tax expense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expenses</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192,903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6,799,005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4,941,041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12,459,893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11,481,732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Realized gain (loss) on investments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198"/>
        </w:trPr>
        <w:tc>
          <w:tcPr>
            <w:tcW w:w="46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6"/>
              </w:rPr>
              <w:t>Net change in unrealized appreciation (depreciation) on</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investments</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(9,235,540)</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(1,911,181)</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r>
      <w:tr>
        <w:trPr>
          <w:trHeight w:val="209"/>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2,853,091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9,371,328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0"/>
        </w:trPr>
        <w:tc>
          <w:tcPr>
            <w:tcW w:w="2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r>
    </w:tbl>
    <w:p>
      <w:pPr>
        <w:spacing w:after="0" w:line="67" w:lineRule="exact"/>
        <w:rPr>
          <w:sz w:val="20"/>
          <w:szCs w:val="20"/>
          <w:color w:val="auto"/>
        </w:rPr>
      </w:pPr>
    </w:p>
    <w:p>
      <w:pPr>
        <w:ind w:left="660" w:right="20" w:hanging="328"/>
        <w:spacing w:after="0" w:line="207" w:lineRule="auto"/>
        <w:tabs>
          <w:tab w:leader="none" w:pos="660"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color w:val="auto"/>
        </w:rPr>
        <w:t>The basic per share figures noted above are based on weighted averages of 41,375,187 and 31,505,254 shares outstanding for the three months ended March 31, 2022 and 2021,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investment objective is to maximize total return to our stockholders primarily through current income on our loan portfolio, and secondarily through capital appreciation on our warrants and other equity positions. We intend to achieve our investment objective by investing in high growth-potential, private companies. We typically invest in senior secured and second lien secured loans that generally fall into two strategies: Sponsored Growth Lending and Non-Sponsored Growth Lending. Our Sponsored Growth Lending strategy also typically includes the receipt of warrants and/or other equity from venture-backed companies. We expect our investments in loans will generally range from between $5.0 million to $50.0 million, and the upper end of this range may increase as we raise additional capital.</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quarterly or semiannually,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generally will become due at the maturity date. In addition, we may generate revenue in the form of commitment and other fees in connection with transactions. Original issue discounts and market discounts or premiums will be capitalized, and we will accrete or amortize such amounts as interest income. We record prepayment premiums on loans and debt securities as interest income. Dividend income, if any, will be recognized on an accrual basis to the extent that we expect to collect such amounts.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Included in investment income are non-recurring fees primarily comprised of early prepayment fees and unamortized original issue discounts recorded as interest income. Other non-recurring income consisting of amendment fees, legal fees, reimburseable income, and any other fee income for services rendered, if any, are recorded as other income when earned.</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Investment income for the three months ended March 31, 2022 and 2021 was $19,258,898 and $16,422,773, respectively, and includes non-recurring income of $823,299 and $602,109, respectively. The increase in investment income for the three months ended March 31, 2022 compared to the three months ended March 31, 2021 was primarily due to interest income and driven by our deployment of capital, increased invested balance, prepayments, end-of-term payments, and increased market interest rates.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84" w:lineRule="exact"/>
        <w:rPr>
          <w:sz w:val="20"/>
          <w:szCs w:val="20"/>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pro-rata portion of fees and expenses related an initial public offering of the Public Fund in connection with a Spin-Off transaction;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and expenses related to public and private offerings, sales and repurchases of our securities;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84"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15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9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the Financial Industry Regulatory Authority or other regulators;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costs;</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 errors and omissions liability insurance, and any other insurance premiums;</w:t>
      </w:r>
    </w:p>
    <w:p>
      <w:pPr>
        <w:spacing w:after="0" w:line="14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6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Operating expenses for the three months ended March 31, 2022 and 2021 were $6,799,005 and $4,941,040 respectively. Operating expenses increased for the three months ended March 31, 2022 from the three months ended March 31, 2021 primarily due to an increase in incentive fees, management fees, credit facility fees, and interest expense. Operating expenses per share for the three months ended March 31, 2022 and 2021 were $0.16 per share and $0.16 per share,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Incentive fees for the three months ended March 31, 2022 and 2021 were $1,343,996 and $975,704, respectively. Incentive fees increased for the three months ended March 31, 2022 from the three months ended March 31, 2021 primarily due to an increase in net investment income arising from increased market interest rates. $1,056,223 of the incentive fees for the three months ended March 31, 2022 were earned, payable in cash, and included under Accrued incentive fees on the Statement of Assets and Liabilities as of March 31, 2022. $287,773 of the incentive fees for the three months ended March 31, 2022 were deferred and accrued, and included in Accrued incentive fees on the Statement of Assets and Liabilities as of March 31, 2022. $739,231 of the incentive fees for the three months ended March 31, 2021 were earned, payable in cash, and included under Accrued incentive fees on the Statement of Assets and Liabilities as of March 31, 2021. $236,473 of the incentive fees for the three months ended March 31, 2021 were deferred and accrued, and included under Accrued incentive fees on the Statement of Assets and Liabilities as of March 31, 2021. Incentive fees related to PIK or deferred interest are accrued and payment is deferred until such interest is collected in cash. Incentive fees per share for the three months ended March 31, 2022 and March 31, 2021 were $0.03 and $0.03 per share,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investment income for the three months ended March 31, 2022 and 2021 was $12,459,893 and $11,481,733 respectively. Net investment income increased for the three months ended March 31, 2022 from the three months ended March 31, 2021, primarily due to an increase in interest income resulting from an increase in the size of the investment portfolio and increased market interest rates. Net investment income per share for the three months ended March 31, 2022 and 2021 was $0.30 per share and $0.36 per share,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(Loss) on Investments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net realized loss on investments of $371,262 for the three months ended March 31, 2022 was primarily due to the loss on a portion of our investment in the preferred stock and warrants of CareCloud, Inc. partially offset by the gain on our investment in the warrants of CrossRoads Extremity Systems, LLC. The net realized loss on investments of $199,223 for the three months ended March 31, 2021 was primarily due to the loss on our investment in the warrants for preferred stock of Pivot3 Holdings,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Net change in unrealized depreciation on investments of $9,235,540 for the three months ended March 31, 2022 was primarily due to decreases in the fair value of our common stock in Brilliant Earth Group, Inc. and preferred stock in CareCloud, Inc. The net change in unrealized depreciation on investments of $1,911,181 for the three months ended March 31, 2021 was primarily due to decreases in the fair value of our investments in the warrants of Aspen Group, Inc. and CareCloud, Inc. This was partially offset by increases in the fair value of our senior secured loans to Mojix, Inc. and our investment in the preferred stock of CareCloud, Inc.</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had a net increase in net assets resulting from operations of $2,853,091 for the three months ended March 31, 2022, as compared to a net increase in net assets resulting from operations of $9,371,328 for the three months ended March 31, 2021. The net decrease in net assets resulting from operations for the three months ended March 31, 2022 from the three months ended March 31, 2021 was primarily due to an increase in unrealized depreciation in our portfolio and an increase in operating expenses for the three months ended March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generate cash primarily from the net proceeds of the offering of our securities and cash flows from our operations, including investment sales and repayments as well as income earned on investments and cash equivalents. We may also fund a portion of our investments through borrowings under the Credit Agreement (discussed below). We expect that we may also generate cash from any financing arrangements we may enter into in the future and any future offerings of our equity or debt securities. We may fund a portion of our investments through borrowings from banks and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March 31, 2022, cash and cash equivalents decreased to $3,510,311 from $4,696,693 as of December 31, 2021. This decrease was primarily the result of the purchase of investments in portfolio companies and was partially offset by the repayment of an investment in a portfolio company, proceeds from our 2026 Senior Notes, and net borrowings under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the authority to issue 100,000,000 shares of common stock, $0.01 par value per share.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October 8, 2015, we issued 1,667 shares of our common stock to R. David Spreng, our President, Chief Executive Officer and Chairman of our Board of Directors, for an aggregate purchase price of $25,000. The remaining shares were issued in connection with the Initial Private Offering, the Second Private Offering, pursuant to the dividend reinvestment plan or the IPO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4"/>
                <w:szCs w:val="14"/>
                <w:color w:val="auto"/>
              </w:rPr>
            </w:pPr>
          </w:p>
        </w:tc>
        <w:tc>
          <w:tcPr>
            <w:tcW w:w="1020" w:type="dxa"/>
            <w:vAlign w:val="bottom"/>
          </w:tcPr>
          <w:p>
            <w:pPr>
              <w:jc w:val="right"/>
              <w:ind w:right="311"/>
              <w:spacing w:after="0"/>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71"/>
        </w:trPr>
        <w:tc>
          <w:tcPr>
            <w:tcW w:w="6480" w:type="dxa"/>
            <w:vAlign w:val="bottom"/>
            <w:gridSpan w:val="3"/>
            <w:vMerge w:val="continue"/>
          </w:tcPr>
          <w:p>
            <w:pPr>
              <w:spacing w:after="0"/>
              <w:rPr>
                <w:sz w:val="14"/>
                <w:szCs w:val="14"/>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Issued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Pr>
          <w:p>
            <w:pPr>
              <w:spacing w:after="0"/>
              <w:rPr>
                <w:sz w:val="14"/>
                <w:szCs w:val="14"/>
                <w:color w:val="auto"/>
              </w:rPr>
            </w:pPr>
          </w:p>
        </w:tc>
        <w:tc>
          <w:tcPr>
            <w:tcW w:w="1020" w:type="dxa"/>
            <w:vAlign w:val="bottom"/>
          </w:tcPr>
          <w:p>
            <w:pPr>
              <w:jc w:val="right"/>
              <w:ind w:right="211"/>
              <w:spacing w:after="0"/>
              <w:rPr>
                <w:sz w:val="20"/>
                <w:szCs w:val="20"/>
                <w:color w:val="auto"/>
              </w:rPr>
            </w:pPr>
            <w:r>
              <w:rPr>
                <w:rFonts w:ascii="Arial" w:cs="Arial" w:eastAsia="Arial" w:hAnsi="Arial"/>
                <w:sz w:val="14"/>
                <w:szCs w:val="14"/>
                <w:b w:val="1"/>
                <w:bCs w:val="1"/>
                <w:color w:val="auto"/>
              </w:rPr>
              <w:t>Proceeds</w:t>
            </w:r>
          </w:p>
        </w:tc>
        <w:tc>
          <w:tcPr>
            <w:tcW w:w="0" w:type="dxa"/>
            <w:vAlign w:val="bottom"/>
          </w:tcPr>
          <w:p>
            <w:pPr>
              <w:spacing w:after="0"/>
              <w:rPr>
                <w:sz w:val="1"/>
                <w:szCs w:val="1"/>
                <w:color w:val="auto"/>
              </w:rPr>
            </w:pPr>
          </w:p>
        </w:tc>
      </w:tr>
      <w:tr>
        <w:trPr>
          <w:trHeight w:val="209"/>
        </w:trPr>
        <w:tc>
          <w:tcPr>
            <w:tcW w:w="6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December 22, 2016</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April 19, 2017</w:t>
            </w:r>
          </w:p>
        </w:tc>
        <w:tc>
          <w:tcPr>
            <w:tcW w:w="9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26,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12, 2017</w:t>
            </w:r>
          </w:p>
        </w:tc>
        <w:tc>
          <w:tcPr>
            <w:tcW w:w="940" w:type="dxa"/>
            <w:vAlign w:val="bottom"/>
          </w:tcPr>
          <w:p>
            <w:pPr>
              <w:jc w:val="right"/>
              <w:spacing w:after="0"/>
              <w:rPr>
                <w:sz w:val="20"/>
                <w:szCs w:val="20"/>
                <w:color w:val="auto"/>
              </w:rPr>
            </w:pPr>
            <w:r>
              <w:rPr>
                <w:rFonts w:ascii="Arial" w:cs="Arial" w:eastAsia="Arial" w:hAnsi="Arial"/>
                <w:sz w:val="18"/>
                <w:szCs w:val="18"/>
                <w:color w:val="auto"/>
              </w:rPr>
              <w:t>2,666,667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22,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May 31,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70,563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31,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1,754,244</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27, 2018</w:t>
            </w:r>
          </w:p>
        </w:tc>
        <w:tc>
          <w:tcPr>
            <w:tcW w:w="940" w:type="dxa"/>
            <w:vAlign w:val="bottom"/>
          </w:tcPr>
          <w:p>
            <w:pPr>
              <w:jc w:val="right"/>
              <w:spacing w:after="0"/>
              <w:rPr>
                <w:sz w:val="20"/>
                <w:szCs w:val="20"/>
                <w:color w:val="auto"/>
              </w:rPr>
            </w:pPr>
            <w:r>
              <w:rPr>
                <w:rFonts w:ascii="Arial" w:cs="Arial" w:eastAsia="Arial" w:hAnsi="Arial"/>
                <w:sz w:val="18"/>
                <w:szCs w:val="18"/>
                <w:color w:val="auto"/>
              </w:rPr>
              <w:t>1,997,337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15,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3,055,498</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January 14, 2019</w:t>
            </w:r>
          </w:p>
        </w:tc>
        <w:tc>
          <w:tcPr>
            <w:tcW w:w="940" w:type="dxa"/>
            <w:vAlign w:val="bottom"/>
          </w:tcPr>
          <w:p>
            <w:pPr>
              <w:jc w:val="right"/>
              <w:spacing w:after="0"/>
              <w:rPr>
                <w:sz w:val="20"/>
                <w:szCs w:val="20"/>
                <w:color w:val="auto"/>
              </w:rPr>
            </w:pPr>
            <w:r>
              <w:rPr>
                <w:rFonts w:ascii="Arial" w:cs="Arial" w:eastAsia="Arial" w:hAnsi="Arial"/>
                <w:sz w:val="18"/>
                <w:szCs w:val="18"/>
                <w:color w:val="auto"/>
              </w:rPr>
              <w:t>4,344,964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March 26,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4,942,168</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May 21,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374,783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5,670,467</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24,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July 16,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464,986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7,035,236</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26,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7,088,143</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October 15, 2019</w:t>
            </w:r>
          </w:p>
        </w:tc>
        <w:tc>
          <w:tcPr>
            <w:tcW w:w="940" w:type="dxa"/>
            <w:vAlign w:val="bottom"/>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12,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649,123</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December 20, 2019</w:t>
            </w:r>
          </w:p>
        </w:tc>
        <w:tc>
          <w:tcPr>
            <w:tcW w:w="940" w:type="dxa"/>
            <w:vAlign w:val="bottom"/>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December 23,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7,073,650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March 20,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575,132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8,385,423</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May 21,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529,020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7,538,541</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6,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7,934,712</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October 15, 2020</w:t>
            </w:r>
          </w:p>
        </w:tc>
        <w:tc>
          <w:tcPr>
            <w:tcW w:w="940" w:type="dxa"/>
            <w:vAlign w:val="bottom"/>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12,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8,584,772</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March 19, 2021</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618,815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9,183,220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24,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306,911</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May 13, 2021</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637,127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9,410,371</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12, 2021</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8,401,215</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29, 2021</w:t>
            </w:r>
          </w:p>
        </w:tc>
        <w:tc>
          <w:tcPr>
            <w:tcW w:w="940" w:type="dxa"/>
            <w:vAlign w:val="bottom"/>
          </w:tcPr>
          <w:p>
            <w:pPr>
              <w:jc w:val="right"/>
              <w:spacing w:after="0"/>
              <w:rPr>
                <w:sz w:val="20"/>
                <w:szCs w:val="20"/>
                <w:color w:val="auto"/>
              </w:rPr>
            </w:pPr>
            <w:r>
              <w:rPr>
                <w:rFonts w:ascii="Arial" w:cs="Arial" w:eastAsia="Arial" w:hAnsi="Arial"/>
                <w:sz w:val="18"/>
                <w:szCs w:val="18"/>
                <w:color w:val="auto"/>
              </w:rPr>
              <w:t>1,265,128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18,976,917</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25,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100,010,000</w:t>
            </w:r>
          </w:p>
        </w:tc>
        <w:tc>
          <w:tcPr>
            <w:tcW w:w="0" w:type="dxa"/>
            <w:vAlign w:val="bottom"/>
          </w:tcPr>
          <w:p>
            <w:pPr>
              <w:spacing w:after="0"/>
              <w:rPr>
                <w:sz w:val="1"/>
                <w:szCs w:val="1"/>
                <w:color w:val="auto"/>
              </w:rPr>
            </w:pPr>
          </w:p>
        </w:tc>
      </w:tr>
      <w:tr>
        <w:trPr>
          <w:trHeight w:val="210"/>
        </w:trPr>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41,378,947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617,361,489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1"/>
          <w:szCs w:val="11"/>
          <w:color w:val="auto"/>
        </w:rPr>
      </w:pPr>
      <w:r>
        <w:rPr>
          <w:rFonts w:ascii="Arial" w:cs="Arial" w:eastAsia="Arial" w:hAnsi="Arial"/>
          <w:sz w:val="14"/>
          <w:szCs w:val="14"/>
          <w:color w:val="auto"/>
        </w:rPr>
        <w:t>Shares were issued as part of the dividend reinvestment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Plans</w:t>
      </w:r>
    </w:p>
    <w:p>
      <w:pPr>
        <w:spacing w:after="0" w:line="22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On February 24, 2022, the Board of Directors approved the Repurchase Program under which the Company may repurchase up to $25 million of its outstanding common stock . Under the Repurchase Program, purchases may be made at management’s discretion from time to time in open-market transactions, in accordance with all applicable securities laws and regulations. Unless extended by the Board of Directors, the repurchase program will terminate 12-months from the date it was approved.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provides information regarding our repurchases of our common stock pursuant to the Repurchase Program for three months ended March 31,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85"/>
              <w:spacing w:after="0"/>
              <w:rPr>
                <w:sz w:val="20"/>
                <w:szCs w:val="20"/>
                <w:color w:val="auto"/>
              </w:rPr>
            </w:pPr>
            <w:r>
              <w:rPr>
                <w:rFonts w:ascii="Arial" w:cs="Arial" w:eastAsia="Arial" w:hAnsi="Arial"/>
                <w:sz w:val="14"/>
                <w:szCs w:val="14"/>
                <w:b w:val="1"/>
                <w:bCs w:val="1"/>
                <w:color w:val="auto"/>
                <w:w w:val="95"/>
              </w:rPr>
              <w:t>Approximate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65"/>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3"/>
              </w:rPr>
              <w:t>Shares That Have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5"/>
              </w:rPr>
              <w:t>Shares That May</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4"/>
              </w:rPr>
              <w:t>Price Paid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89"/>
              </w:rPr>
              <w:t>Been Purchased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71"/>
        </w:trPr>
        <w:tc>
          <w:tcPr>
            <w:tcW w:w="41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Repurchased</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5"/>
              </w:rPr>
              <w:t>Under the Plan</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5"/>
              </w:rPr>
              <w:t>Under the Plan</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Quarter ended March 31, 2022</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31,782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24,590,776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At March 31, 2022, the Company had $230,984,615 in unfunded loan commitments to provide debt financing to 14 portfolio companies. The Company’s management believes that its available cash balances, availability under the Credit Agreement, provides sufficient funds to cover its unfunded commitments as of March 31,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Less than</w:t>
            </w:r>
          </w:p>
        </w:tc>
        <w:tc>
          <w:tcPr>
            <w:tcW w:w="10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1 year</w:t>
            </w: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Credit facilities</w:t>
            </w:r>
            <w:r>
              <w:rPr>
                <w:rFonts w:ascii="Arial" w:cs="Arial" w:eastAsia="Arial" w:hAnsi="Arial"/>
                <w:sz w:val="24"/>
                <w:szCs w:val="24"/>
                <w:color w:val="auto"/>
                <w:vertAlign w:val="superscript"/>
              </w:rPr>
              <w:t>(1)</w:t>
            </w:r>
          </w:p>
        </w:tc>
        <w:tc>
          <w:tcPr>
            <w:tcW w:w="2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86,000,000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$ 86,000,000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tcPr>
          <w:p>
            <w:pPr>
              <w:spacing w:after="0" w:line="216" w:lineRule="exact"/>
              <w:rPr>
                <w:sz w:val="20"/>
                <w:szCs w:val="20"/>
                <w:color w:val="auto"/>
              </w:rPr>
            </w:pPr>
            <w:r>
              <w:rPr>
                <w:rFonts w:ascii="Arial" w:cs="Arial" w:eastAsia="Arial" w:hAnsi="Arial"/>
                <w:sz w:val="17"/>
                <w:szCs w:val="17"/>
                <w:color w:val="auto"/>
              </w:rPr>
              <w:t>2026 Senior Notes</w:t>
            </w:r>
            <w:r>
              <w:rPr>
                <w:rFonts w:ascii="Arial" w:cs="Arial" w:eastAsia="Arial" w:hAnsi="Arial"/>
                <w:sz w:val="25"/>
                <w:szCs w:val="25"/>
                <w:color w:val="auto"/>
                <w:vertAlign w:val="superscript"/>
              </w:rPr>
              <w:t>(1)</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70,000,000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70,000,000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156,000,000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$ 86,000,000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70,000,000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1"/>
          <w:szCs w:val="11"/>
          <w:color w:val="auto"/>
        </w:rPr>
      </w:pPr>
      <w:r>
        <w:rPr>
          <w:rFonts w:ascii="Arial" w:cs="Arial" w:eastAsia="Arial" w:hAnsi="Arial"/>
          <w:sz w:val="14"/>
          <w:szCs w:val="14"/>
          <w:color w:val="auto"/>
        </w:rPr>
        <w:t>See “Note 10 – Borrowings” to our financial statements in Part I, Item 1 of this Form 10-Q for more information.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10, 2021, we entered into a Note Purchase Agreement governing the issuance of $70,000,000 in aggregate principal amount of 2026 Senior Notes to institutional accredited investors (as defined in Regulation D under the Securities Act) in a private placement. The 2026 Senior Notes were issued in two closings. The initial issuance of $20 million 2026 Senior Notes closed on December 10, 2021 and the second and final issuance of $50 million closed on February 10, 2022.</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2026 Senior Notes bear an interest rate of 4.25% per year and are due on December 10, 2026, unless redeemed, purchased or prepaid prior to such date by us or our affiliates in accordance with their terms. Interest on the 2026 Senior Notes will be due semiannually. The interest rate is subject to a 1.00% increase in the event that, subject to certain exceptions, the 2026 Senior Notes cease to have an investment grade rating or receive an investment grade rating below the Investment Grade (as defined in the Note Purchase Agreement). The 2026 Senior Notes are general unsecured obligations of the Company that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outstanding and future unsecured unsubordinated indebtedness issued by us.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Aggregate offering costs in connection with the 2026 Senior Notes issuance, including the underwriter’s discount and commissions, were $899,277 which were capitalized and deferred. As of March 31, 2022 and December 31, 2021, unamortized deferred debt costs related to the 2026 Senior Notes were $860,614 and $376,029, respectively. See “Note 10—Borrowings” to our financial satements in Part I of this Form 10-Q for more information on the 2026 Senior Notes.</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May 31, 2019, we entered into the Credit Agreement by and among us, as borrower, KeyBank National Association, as administrative agent, syndication agent, and a lender, CIBC, as documentation agent and a lender, and U.S. Bank National Association, as paying agent. 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of our cash and cash equivalent holdings. The Credit Agreement has an accordion feature that allows us to increase the aggregate commitments up to $200 million, subject to new or existing lenders agreeing to participate in the increase and other customary conditions. 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w:t>
      </w:r>
    </w:p>
    <w:p>
      <w:pPr>
        <w:sectPr>
          <w:pgSz w:w="11900" w:h="16838" w:orient="portrait"/>
          <w:cols w:equalWidth="0" w:num="1">
            <w:col w:w="9920"/>
          </w:cols>
          <w:pgMar w:left="980" w:top="517"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w:t>
      </w:r>
    </w:p>
    <w:p>
      <w:pPr>
        <w:spacing w:after="0" w:line="2" w:lineRule="exact"/>
        <w:rPr>
          <w:sz w:val="20"/>
          <w:szCs w:val="20"/>
          <w:color w:val="auto"/>
        </w:rPr>
      </w:pPr>
    </w:p>
    <w:p>
      <w:pPr>
        <w:jc w:val="both"/>
        <w:ind w:firstLine="8"/>
        <w:spacing w:after="0" w:line="269" w:lineRule="auto"/>
        <w:tabs>
          <w:tab w:leader="none" w:pos="234"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base rate instead of LIBOR that is set at the higher of (x) the federal funds rate plus 0.50% and (y) the prime rate, plus (ii) the applicable margin rate discussed above. Interest is payable quarterly in arrears. We also pay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 The availability period under the Credit Agreement expires on May 31, 2022 and is followed by a two-year amortization period. The stated maturity date under the Credit Agreement is May 31, 2024. The Credit Agreement is secured by a perfected first priority security interest in substantially all of our assets and portfolio investments.</w:t>
      </w:r>
    </w:p>
    <w:p>
      <w:pPr>
        <w:spacing w:after="0" w:line="1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the fourth quarter of 2020, we amended the Credit Agreement and others to increase its size to $215 million, increase the accordion feature to $300 million, add additional lenders, implement a 0.50% LIBOR floor and benchmark replacement rate floor on borrowings under the Credit Agreement and modify certain pricing elements and other provisions. We also amended the fee letter (the “Fee Letter”) to revise the interest rate margin to be 3.00% for the remaining term of the Credit Agreement regardless of the Credit Agreement average utilization or the number of unaffiliated obligors on loans in the collateral.</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second quarter of 2021, we amended the Credit Agreement to: (i) allow the Company to incur permitted indebtedness without the prior written consent of Keybank National Association, as administrative agent, subject to the limitations described in the Credit Agreement; (ii) increase the accordion amount under the Credit Agreement from a $300 million maximum aggregate commitment amount to a $350 million maximum aggregate commitment amount; and (iii) amend certain other terms of the Credit Agreement. See "Note 10—Borrowings" to our financial statements in Part I of this Form 10 Q for more information on the Credit Agreement.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third quarter of 2021, we adopted the Second Amended and Restated Fee Letter to amend the first payment date of the minimum earnings fee, which will be payable annually starting on May 31, 2022. Under the Second Amended and Restated Fee Letter, we the Company will also pay a supplemental fee on the 15th calendar day of each month beginning August 16, 2021 and ending July 15, 2022 in an aggregate amount equal to $66,367, which is paid pro rata to the lenders listed in Schedule A of the Second Amended and Restated Fee Letter.</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three months ended March 31, 2022, we drew down $86,000,000 on the Credit Agreement and repaid $61,000,000, of which $86,000,000 remains outstanding at March 31, 2022. We anticipate continued usage of the Credit Agreement as well as other potential debt financing alternatives to fund future portfolio growth. At March 31, 2022, interest was accruing at a rate of 3.50%. During the year ended December 31, 2021, we drew down $161,000,000 on the Credit Agreement and repaid $199,000,000 of which $61,000,000 remained outstanding at December 31, 2021. At December 31, 2021, interest was accruing at a rate of 3.50%. See “Note 10– Borrowings” to our financial statements in Part I, Item 1 of this Form 10-Q for more information on the Credit Agreement.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regarding the Credit Agreement, see “Recent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have no off-balance sheet arrangements, including any risk management of commodity pricing or other hedging practices.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newly issued shares are used to implement the dividend reinvestment plan, the number of shares to be issued to a shareholder will be determined by dividing the total dollar amount of the cash dividend or distribution payable to a shareholder by the market price per share of our common stock at the close of regular trading on the Nasdaq Global Select Market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shares are purchased in the open market to implement the dividend reinvestment plan, the number of shares to be issued to a shareholder shall be determined by dividing the dollar amount of the cash dividend payable to such shareholder by the weighted average price per share for all shares purchased by the plan administrator in the open market in connection with the dividend.</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number of shares to be issued to a participant in the dividend reinvestment plan are rounded downward to the nearest whole number to avoid the issuance of fractional shares, and any fractional share otherwise issuable to a participant but for this provision is instead be paid to such participant in cash contemporaneously with the issuance of such shares in connection with such cash dividend.</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During the three months ended March 31, 2022, we declared and paid dividends in the amount of $11,172,667, of which $3,753,085 was distributed in cash and the remainder distributed in shares to stockholders pursuant to the Company’s dividend reinvestment plan. </w:t>
      </w:r>
      <w:r>
        <w:rPr>
          <w:rFonts w:ascii="Arial" w:cs="Arial" w:eastAsia="Arial" w:hAnsi="Arial"/>
          <w:sz w:val="16"/>
          <w:szCs w:val="16"/>
          <w:color w:val="231F20"/>
        </w:rPr>
        <w:t>During the year ended December 31, 2021, we declared and paid dividends in the amount of $44,942,937, of which</w:t>
      </w:r>
      <w:r>
        <w:rPr>
          <w:rFonts w:ascii="Arial" w:cs="Arial" w:eastAsia="Arial" w:hAnsi="Arial"/>
          <w:sz w:val="16"/>
          <w:szCs w:val="16"/>
          <w:color w:val="auto"/>
        </w:rPr>
        <w:t xml:space="preserve"> </w:t>
      </w:r>
      <w:r>
        <w:rPr>
          <w:rFonts w:ascii="Arial" w:cs="Arial" w:eastAsia="Arial" w:hAnsi="Arial"/>
          <w:sz w:val="16"/>
          <w:szCs w:val="16"/>
          <w:color w:val="231F20"/>
        </w:rPr>
        <w:t>$17,948,126 was distributed in cash and the remainder distributed in shares to stockholders pursuant to our dividend reinvestment plan.</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shows the dividends per share declared since our formation through March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8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17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w w:val="95"/>
              </w:rPr>
              <w:t>per Share</w:t>
            </w:r>
          </w:p>
        </w:tc>
        <w:tc>
          <w:tcPr>
            <w:tcW w:w="0" w:type="dxa"/>
            <w:vAlign w:val="bottom"/>
          </w:tcPr>
          <w:p>
            <w:pPr>
              <w:spacing w:after="0"/>
              <w:rPr>
                <w:sz w:val="1"/>
                <w:szCs w:val="1"/>
                <w:color w:val="auto"/>
              </w:rPr>
            </w:pP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3, 2018</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15, 2018</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31, 2018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July 26, 2018</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August 15, 2018</w:t>
            </w:r>
          </w:p>
        </w:tc>
        <w:tc>
          <w:tcPr>
            <w:tcW w:w="1700" w:type="dxa"/>
            <w:vAlign w:val="bottom"/>
          </w:tcPr>
          <w:p>
            <w:pPr>
              <w:jc w:val="right"/>
              <w:spacing w:after="0"/>
              <w:rPr>
                <w:sz w:val="20"/>
                <w:szCs w:val="20"/>
                <w:color w:val="auto"/>
              </w:rPr>
            </w:pPr>
            <w:r>
              <w:rPr>
                <w:rFonts w:ascii="Arial" w:cs="Arial" w:eastAsia="Arial" w:hAnsi="Arial"/>
                <w:sz w:val="18"/>
                <w:szCs w:val="18"/>
                <w:color w:val="auto"/>
              </w:rPr>
              <w:t>August 31, 2018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2018</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October 31, 2018</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15, 2018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March 22, 2019</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March 22, 2019</w:t>
            </w:r>
          </w:p>
        </w:tc>
        <w:tc>
          <w:tcPr>
            <w:tcW w:w="1700" w:type="dxa"/>
            <w:vAlign w:val="bottom"/>
          </w:tcPr>
          <w:p>
            <w:pPr>
              <w:jc w:val="right"/>
              <w:spacing w:after="0"/>
              <w:rPr>
                <w:sz w:val="20"/>
                <w:szCs w:val="20"/>
                <w:color w:val="auto"/>
              </w:rPr>
            </w:pPr>
            <w:r>
              <w:rPr>
                <w:rFonts w:ascii="Arial" w:cs="Arial" w:eastAsia="Arial" w:hAnsi="Arial"/>
                <w:sz w:val="18"/>
                <w:szCs w:val="18"/>
                <w:color w:val="auto"/>
              </w:rPr>
              <w:t>March 26, 2019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 2019</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May 7, 2019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21, 2019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May 2, 2019</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May 31, 2019</w:t>
            </w:r>
          </w:p>
        </w:tc>
        <w:tc>
          <w:tcPr>
            <w:tcW w:w="1700" w:type="dxa"/>
            <w:vAlign w:val="bottom"/>
          </w:tcPr>
          <w:p>
            <w:pPr>
              <w:jc w:val="right"/>
              <w:spacing w:after="0"/>
              <w:rPr>
                <w:sz w:val="20"/>
                <w:szCs w:val="20"/>
                <w:color w:val="auto"/>
              </w:rPr>
            </w:pPr>
            <w:r>
              <w:rPr>
                <w:rFonts w:ascii="Arial" w:cs="Arial" w:eastAsia="Arial" w:hAnsi="Arial"/>
                <w:sz w:val="18"/>
                <w:szCs w:val="18"/>
                <w:color w:val="auto"/>
              </w:rPr>
              <w:t>July 16, 2019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30, 2019</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August 5, 2019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26, 2019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September 27, 2019</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September 30, 2019</w:t>
            </w:r>
          </w:p>
        </w:tc>
        <w:tc>
          <w:tcPr>
            <w:tcW w:w="1700" w:type="dxa"/>
            <w:vAlign w:val="bottom"/>
          </w:tcPr>
          <w:p>
            <w:pPr>
              <w:jc w:val="right"/>
              <w:spacing w:after="0"/>
              <w:rPr>
                <w:sz w:val="20"/>
                <w:szCs w:val="20"/>
                <w:color w:val="auto"/>
              </w:rPr>
            </w:pPr>
            <w:r>
              <w:rPr>
                <w:rFonts w:ascii="Arial" w:cs="Arial" w:eastAsia="Arial" w:hAnsi="Arial"/>
                <w:sz w:val="18"/>
                <w:szCs w:val="18"/>
                <w:color w:val="auto"/>
              </w:rPr>
              <w:t>November 12, 2019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9, 2019</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December 10, 2019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23, 2019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March 5, 2020</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March 6, 2020</w:t>
            </w:r>
          </w:p>
        </w:tc>
        <w:tc>
          <w:tcPr>
            <w:tcW w:w="1700" w:type="dxa"/>
            <w:vAlign w:val="bottom"/>
          </w:tcPr>
          <w:p>
            <w:pPr>
              <w:jc w:val="right"/>
              <w:spacing w:after="0"/>
              <w:rPr>
                <w:sz w:val="20"/>
                <w:szCs w:val="20"/>
                <w:color w:val="auto"/>
              </w:rPr>
            </w:pPr>
            <w:r>
              <w:rPr>
                <w:rFonts w:ascii="Arial" w:cs="Arial" w:eastAsia="Arial" w:hAnsi="Arial"/>
                <w:sz w:val="18"/>
                <w:szCs w:val="18"/>
                <w:color w:val="auto"/>
              </w:rPr>
              <w:t>March 20, 2020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7, 2020</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May 8, 2020</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21, 2020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August 5, 2020</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August 6, 2020</w:t>
            </w:r>
          </w:p>
        </w:tc>
        <w:tc>
          <w:tcPr>
            <w:tcW w:w="1700" w:type="dxa"/>
            <w:vAlign w:val="bottom"/>
          </w:tcPr>
          <w:p>
            <w:pPr>
              <w:jc w:val="right"/>
              <w:spacing w:after="0"/>
              <w:rPr>
                <w:sz w:val="20"/>
                <w:szCs w:val="20"/>
                <w:color w:val="auto"/>
              </w:rPr>
            </w:pPr>
            <w:r>
              <w:rPr>
                <w:rFonts w:ascii="Arial" w:cs="Arial" w:eastAsia="Arial" w:hAnsi="Arial"/>
                <w:sz w:val="18"/>
                <w:szCs w:val="18"/>
                <w:color w:val="auto"/>
              </w:rPr>
              <w:t>August 20, 2020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2020</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October 1, 2020</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12, 2020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March 4, 2021</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March 5, 2021</w:t>
            </w:r>
          </w:p>
        </w:tc>
        <w:tc>
          <w:tcPr>
            <w:tcW w:w="1700" w:type="dxa"/>
            <w:vAlign w:val="bottom"/>
          </w:tcPr>
          <w:p>
            <w:pPr>
              <w:jc w:val="right"/>
              <w:spacing w:after="0"/>
              <w:rPr>
                <w:sz w:val="20"/>
                <w:szCs w:val="20"/>
                <w:color w:val="auto"/>
              </w:rPr>
            </w:pPr>
            <w:r>
              <w:rPr>
                <w:rFonts w:ascii="Arial" w:cs="Arial" w:eastAsia="Arial" w:hAnsi="Arial"/>
                <w:sz w:val="18"/>
                <w:szCs w:val="18"/>
                <w:color w:val="auto"/>
              </w:rPr>
              <w:t>March 19, 2021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29, 2021</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April 30, 2021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13, 2021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July 19, 2021</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July 20, 2021</w:t>
            </w:r>
          </w:p>
        </w:tc>
        <w:tc>
          <w:tcPr>
            <w:tcW w:w="1700" w:type="dxa"/>
            <w:vAlign w:val="bottom"/>
          </w:tcPr>
          <w:p>
            <w:pPr>
              <w:jc w:val="right"/>
              <w:spacing w:after="0"/>
              <w:rPr>
                <w:sz w:val="20"/>
                <w:szCs w:val="20"/>
                <w:color w:val="auto"/>
              </w:rPr>
            </w:pPr>
            <w:r>
              <w:rPr>
                <w:rFonts w:ascii="Arial" w:cs="Arial" w:eastAsia="Arial" w:hAnsi="Arial"/>
                <w:sz w:val="18"/>
                <w:szCs w:val="18"/>
                <w:color w:val="auto"/>
              </w:rPr>
              <w:t>August 12, 2021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28, 2021</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November 8, 2021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22, 2021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February 24, 2022</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March 8, 2022</w:t>
            </w:r>
          </w:p>
        </w:tc>
        <w:tc>
          <w:tcPr>
            <w:tcW w:w="1700" w:type="dxa"/>
            <w:vAlign w:val="bottom"/>
          </w:tcPr>
          <w:p>
            <w:pPr>
              <w:jc w:val="right"/>
              <w:spacing w:after="0"/>
              <w:rPr>
                <w:sz w:val="20"/>
                <w:szCs w:val="20"/>
                <w:color w:val="auto"/>
              </w:rPr>
            </w:pPr>
            <w:r>
              <w:rPr>
                <w:rFonts w:ascii="Arial" w:cs="Arial" w:eastAsia="Arial" w:hAnsi="Arial"/>
                <w:sz w:val="18"/>
                <w:szCs w:val="18"/>
                <w:color w:val="auto"/>
              </w:rPr>
              <w:t>March 22, 2022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We believe that our most critical accounting policies, which are those that are most important to the portrayal of our</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condition and results of operations and require management’s most difficult, subjective and complex judgments, include the valuation of investments and our election to be treated, and intent to qualify annually, as a RIC. See “Note 2 — Summary of Significant Accounting Policies” to our financial statements in Part I, Item 1 of this Form 10-Q, which describes our critical accounting policies and recently adopted accounting pronouncements not yet required to be adopted by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We measure the value of our portfolio investments at fair value in accordance with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Topic 820”) issued by the FASB. Fair value is the price that would be received to sell an asset or paid to transfer a liability in an orderly transaction between market participants at the measurement date.</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Audit Committee assists our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our Board of Directors, with the assistance of the Audit Committee, RGC and its senior investment team and independent valuation agents, is responsible for determining, in good faith, the fair value of such portfolio investments in accordance with the valuation policy approved by our Board of Directors. If more than one valuation method is used to measure fair value, the results are evaluated and weighted, as appropriate, considering the reasonableness of the range indicated by those results. We consider a range of fair values based upon the valuation techniques utilized and select the value within that range that was most representative of fair value based on current market conditions as well as other factors RGC’s senior investment team considers relevant.</w:t>
      </w:r>
    </w:p>
    <w:p>
      <w:pPr>
        <w:spacing w:after="0" w:line="19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8" w:lineRule="exact"/>
        <w:rPr>
          <w:sz w:val="20"/>
          <w:szCs w:val="20"/>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1—Valuations are based on quoted prices in active markets for identical assets or liabilities that are accessible at the measurement date.</w:t>
      </w:r>
    </w:p>
    <w:p>
      <w:pPr>
        <w:spacing w:after="0" w:line="14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83" w:lineRule="exact"/>
        <w:rPr>
          <w:rFonts w:ascii="Arial" w:cs="Arial" w:eastAsia="Arial" w:hAnsi="Arial"/>
          <w:sz w:val="16"/>
          <w:szCs w:val="16"/>
          <w:color w:val="auto"/>
        </w:rPr>
      </w:pPr>
    </w:p>
    <w:p>
      <w:pPr>
        <w:jc w:val="both"/>
        <w:ind w:left="660" w:hanging="328"/>
        <w:spacing w:after="0" w:line="301"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170" w:lineRule="exact"/>
        <w:rPr>
          <w:sz w:val="20"/>
          <w:szCs w:val="20"/>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investment being initially valued by RGC’s investment professionals that are responsible for the portfolio investment;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our Board of Directors regarding such valuations; and</w:t>
      </w:r>
    </w:p>
    <w:p>
      <w:pPr>
        <w:spacing w:after="0" w:line="14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Board of Directors reviews the recommended preliminary valuations and determines the fair value of each investment in our portfolio, in good faith, based on the input of RGC, the applicable independent valuation firm and the Audit Committee.</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investments are primarily loans made to high growth-potential companies focused in technology, life sciences, healthcare information and services, business services, select consumer services and products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Rule 2a-5 under the 1940 Act was adopted by the SEC in December 2020 and establishes a framework for determining fair value in good faith for purposes of the 1940 Act. The Company is evaluating the impact of adopting Rule 2a-5 on the financial statements and intends to comply with the new rule’s requirements on or before the compliance date in September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Debt Investments. </w:t>
      </w:r>
      <w:r>
        <w:rPr>
          <w:rFonts w:ascii="Arial" w:cs="Arial" w:eastAsia="Arial" w:hAnsi="Arial"/>
          <w:sz w:val="18"/>
          <w:szCs w:val="18"/>
          <w:color w:val="auto"/>
        </w:rPr>
        <w:t>To determine the fair value of our debt investments, we compare the cost basis of the debt investment,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our investments, in order to determine a comparable range of effective market interest rates for our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or decrease in these unobservable inputs; however, a significantly higher or lower fair value measurement of any of the Company’s portfolio investments may occur regardless of whether there is a signficiant increase or decrease in these unobservable inputs.</w:t>
      </w:r>
    </w:p>
    <w:p>
      <w:pPr>
        <w:spacing w:after="0" w:line="19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Under certain circumstances, we may use an alternative technique to value the debt investments to be acquired by us that better reflects the fair value of the investment, such as the price paid or realized in a recently completed transaction or a binding offer received</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an arms-length transaction, the use of multiple probability-weighted cash flow models when the expected future cash flows contain elements of variability or estimates of proceeds that would be received in a liquidation scenario.</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Fair value of warrants is primarily determined using a Black Scholes option-pricing model. Privately held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and equity-related securities are valued based on an analysis of various factors including, but not limited to, the following:</w:t>
      </w:r>
    </w:p>
    <w:p>
      <w:pPr>
        <w:spacing w:after="0" w:line="146" w:lineRule="exact"/>
        <w:rPr>
          <w:sz w:val="20"/>
          <w:szCs w:val="20"/>
          <w:color w:val="auto"/>
        </w:rPr>
      </w:pPr>
    </w:p>
    <w:p>
      <w:pPr>
        <w:jc w:val="both"/>
        <w:ind w:left="660" w:hanging="328"/>
        <w:spacing w:after="0" w:line="270"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53"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47"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47"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Other adjustments, including a marketability discount on private company warrants, are estimated based on our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30" w:lineRule="exact"/>
        <w:rPr>
          <w:rFonts w:ascii="Arial" w:cs="Arial" w:eastAsia="Arial" w:hAnsi="Arial"/>
          <w:sz w:val="16"/>
          <w:szCs w:val="16"/>
          <w:color w:val="auto"/>
        </w:rPr>
      </w:pPr>
    </w:p>
    <w:p>
      <w:pPr>
        <w:jc w:val="both"/>
        <w:ind w:left="660" w:hanging="328"/>
        <w:spacing w:after="0" w:line="25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Historical portfolio experience on cancellations and exercises of warrants are utilized as the basis for determining the estimated life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certain circumstances we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Equity Investments. </w:t>
      </w:r>
      <w:r>
        <w:rPr>
          <w:rFonts w:ascii="Arial" w:cs="Arial" w:eastAsia="Arial" w:hAnsi="Arial"/>
          <w:sz w:val="17"/>
          <w:szCs w:val="17"/>
          <w:color w:val="auto"/>
        </w:rPr>
        <w:t>The fair value of an equity investment in a privately held company is initially the face value of the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We adjust the fair value of equity investments in private companies upon the completion of a new third-party round of equity financing subsequent to our investment. We may make adjustments to fair value, absent a new equity financing event, based upon positive or negative changes in a portfolio company’s financial or operational performance. We may also reference comparable transactions and/or secondary market transactions in connection with our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assets measured at fair value on a recurring basis subject to the requirements of ASC Topic 820 at March 31, 2022 and December 31, 2021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w w:val="98"/>
              </w:rPr>
              <w:t>As of March 31, 2022 (Unaudited)</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6,474,723</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1,348,774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7,823,497</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Secured Term Loans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698,576,393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698,576,393</w:t>
            </w: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Second Lien Term Loans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13,048,827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13,048,827</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12,064,491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1,441,724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13,506,215</w:t>
            </w:r>
          </w:p>
        </w:tc>
      </w:tr>
      <w:tr>
        <w:trPr>
          <w:trHeight w:val="216"/>
        </w:trPr>
        <w:tc>
          <w:tcPr>
            <w:tcW w:w="3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21,334,438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21,334,438</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18,539,214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735,750,156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754,289,370</w:t>
            </w:r>
          </w:p>
        </w:tc>
      </w:tr>
      <w:tr>
        <w:trPr>
          <w:trHeight w:val="209"/>
        </w:trPr>
        <w:tc>
          <w:tcPr>
            <w:tcW w:w="344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1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18,539,214</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735,750,156</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754,289,370</w:t>
            </w:r>
          </w:p>
        </w:tc>
      </w:tr>
      <w:tr>
        <w:trPr>
          <w:trHeight w:val="20"/>
        </w:trPr>
        <w:tc>
          <w:tcPr>
            <w:tcW w:w="3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As of December 31, 2021</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2,559,932</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8,903,933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11,463,865</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623,053,646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623,053,646</w:t>
            </w: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12,872,588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12,872,588</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15,704,705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1,332,420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17,037,125</w:t>
            </w:r>
          </w:p>
        </w:tc>
      </w:tr>
      <w:tr>
        <w:trPr>
          <w:trHeight w:val="216"/>
        </w:trPr>
        <w:tc>
          <w:tcPr>
            <w:tcW w:w="3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20,087,550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20,087,550</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18,264,637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8,903,933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657,346,204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684,514,774</w:t>
            </w: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45,001,500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45,001,500</w:t>
            </w:r>
          </w:p>
        </w:tc>
      </w:tr>
      <w:tr>
        <w:trPr>
          <w:trHeight w:val="210"/>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63,266,137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8,903,933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657,346,204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729,516,274</w:t>
            </w:r>
          </w:p>
        </w:tc>
      </w:tr>
      <w:tr>
        <w:trPr>
          <w:trHeight w:val="20"/>
        </w:trPr>
        <w:tc>
          <w:tcPr>
            <w:tcW w:w="3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Security transactions, if any, are recorded on a trade-date basis. We measure realized gains or losses from the repayment or sale of investments using the specific identification method. The amortized cost basis of investments represents the original cost adjusted for the accretion/amortization of discounts and premiums and upfront loan origination fees. We report changes in fair value of investments that are measured at fair value as a component of net change in unrealized appreciation (depreciation) on investments on the statement of operations.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Dividends are recorded on the applicable ex-dividend date. Interest income, if any, adjusted for amortization of market premium and accretion of market discount, is recorded on an accrual basis to the extent that we expect to collect such amounts. OID, principally representing the estimated fair value of detachable equity or warrants obtained in conjunction with our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investments are reported as unearned income, which is included as amortized cost of the investment; the unearned income from such fees is accreted over the contractual life of the loan based on the effective interest method. Upon prepayment of a loan or debt security, any prepayment penalties, unamortized loan origination fees, end of term payments and unamortized market discounts are recorded as interest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accrue for base management fees and incentive fees. The accrual for incentive fees includes the recognition of incentive fees on unrealized capital gains, even though such incentive fees are neither earned nor payable to RGC until the gains are both realized and in excess of unrealized depreciation on investments. See “Note 7 –Related Party Agreements and Transactions” to our financial statements in Part I, Item 1 of this Form 10-Q for more information on the Advisory Agreement and the fee structure thereunder.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elected to be treated, have qualified and intend to qualify annually, as a RIC under Subchapter M of the Code. Generally, a RIC is not subject to U.S. federal income taxes on distributed income and gains if it distributes at least 90% of its net ordinary income and net short-term capital gains in excess of its net long-term capital losses, if any, to its stockholders. So long as we qualify, and maintain our status, as a RIC, we generally will not pay corporate-level U.S. federal income taxes on any ordinary income or capital gains that we distribute at least annually to our stockholders as dividends. Rather, any tax liability related to income earned by us represents obligations of our investors and will not be reflected in the financial statements of the Company. We intend to make sufficient distributions to maintain our RIC tax treatment each year and we do not anticipate paying any material U.S. federal income taxes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evaluated events subsequent to March 31, 2022 through May 5, 2022.</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20, 2022, we entered into a certain amended and restated credit agreement (the “Amended and Restated Credit Agreement”) among us, as borrower, the financial institutions party thereto as lenders (the “Lenders”), KeyBank National Association, as administrative agent for Lenders (“Administrative Agent”) and a Lender, CIBC Bank USA, as documentation agent and a Lender, MUFG Union Bank, N.A. as co-documentation agent, and U.S. Bank Trust Company, National Association, as collateral custodian and paying agent. Effective as of April 20, 2022, the Amended and Restated Credit Agreement amended and restated that certain Credit Agreement, dated as of May 31, 2019, among us, as borrower, the financial institutions party thereto as lenders, KeyBank National Association, as administrative agent and a lender, CIBC Bank USA, as documentation agent and a lender, MUFG Union Bank, N.A. as co-documentation agent, and U.S. Bank, National Association, as collateral custodian and paying agent (as amended prior to April 20, 2022, the “Prior Credit Agreement”).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Amended and Restated Credit Agreement amended and restated the Prior Credit Agreement to: (i) increase the commitment amount from $215 million to $225 million, (ii) increase the accordion amount from a $350 million maximum aggregate commitment amount to a $500 million maximum aggregate commitment amount; (iii) extend the maturity date and revolving period, (iv) calculate the interest rate based on SOFR (rather than LIBOR), and (v) amend certain other terms of the Prior Credit Agreement, including without limitation the borrowing base calculation and excess concentration measures.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April 28, 2022, we declared a dividend of $0.30 per share payable on May 24, 2022 to shareholders of record as of May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March 2, 2022, Coginiti Corp prepaid its outstanding principal balance of $500,000 along with outstanding interest for total consideration of $509,276.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3, 2022, we funded an investment of $5,000,000 to INRIX,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commenced investment activities in portfolio securities during the quarter ended June 30, 2017 and commenced investment activities in U.S. Treasury Bills during the quarter ended December 31, 2016.</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 In connection with the COVID-19 pandemic, the U.S. Federal Reserve and other central banks have reduced certain interest rates and LIBOR has decreased.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typically expect that interest rates on the investments held in our portfolio will be based on LIBOR, with many of these investments also having a LIBOR floor. As of March 31, 2022, 97%, or $699,256,213 (at cost), of our debt portfolio investments bore interest at variable rates, which are U.S. Prime Rate or LIBOR-based and subject to certain floors, and one of our debt portfolio investments bore interest at a fixed rate. Interest rate floors are established based on prevailing rates at the time of the investment. As a policy, any interest above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$13,297,978 and decrease our investment income by a maximum of $2,680,277, due to certain floors, on an annual basis. In a low interest rate environment, debt investments with interest rate floors substantially in excess of current prevailing interest rates may be more likely to experience early termination.</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Borrowings under the Credit Agreement bear interest, at our election at the time of drawdown, at a rate per annum equal to the SOFR rate for the applicable interest period, subject to a SOFR rate floor of 0.15%, plus (1) 3.35% at any time that there are fourteen or fewer obligaros that are not affiliates of the Company with respect to the loan; (2) 3.10% at any time that there are fifteen or more obligors that are not affiliates but fewer than thirty obligors that are not ffiliates with respect to the loan; and (3) 2.95% at any time that there are thirty or more obligors that are not affiliates with respect to the loan; and (b) when the Company’s leverage ratio on the last day of the immediately preceding interest period was greater than 1.0x, 3.35%.</w:t>
      </w:r>
    </w:p>
    <w:p>
      <w:pPr>
        <w:spacing w:after="0" w:line="17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On March 5, 2021, the United Kingdom’s Financial Conduct Authority (the “FCA”), which regulates LIBOR, announced that (i) 24 LIBOR settings would cease to exist immediately after December 31, 2021 (all seven euro LIBOR settings; all seven Swiss franc</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LIBOR settings; the Spot Next, 1-week, 2-month, and 12-month Japanese yen LIBOR settings; the overnight, 1-week, 2-month, and 12-month sterling LIBOR settings; and the 1-week and 2-month US dollar LIBOR settings) and (ii) the overnight and 1, 3, 6 and 12-month US LIBOR settings would cease to exist after June 30, 2023; and (iii) the FCA would consult on whether the remaining LIBOR settings should continue to be published on a synthetic basis for a certain period using the FCA’s proposed new powers that the UK government is legislating to grant to them. Additionally, on March 15, 2022, President Biden signed into law the Consolidated Appropriations Act of 2022, which among other things, provides for the use of interest rates based on SOFR in certain contracts currently based on LIBOR and a safe harbor from liability for utilizing SOFR-based interest rates as a replacement for LIBOR.</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elimination of LIBOR could have an adverse impact on the market for or value of any LIBOR-linked securities, loans, and other financial obligations or extensions of credit held by or due to us or on our overall financial condition or results of operations. In addition, we may need to renegotiate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Following the replacement of LIBOR, some or all of these agreements may bear interest a lower interest rate, which could have an adverse impact on our results of operations. In addition, the amendments to the terms of our Credit Agreement in connection with the discountinuation of LIBOR may cause the Credit Agreement to bear interest at a higher rate, which would increase the cost of our borrowings and, in turn, affect our results of operations.</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Because we currently borrow, and plan to borrow in the future, money to make investments, our net investment income would be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market disruptions, including the continued impact of the the COVID 19 pandemic on foreign financial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legal proceedings cannot be predicted with certainty, we do not expect that any such proceedings will have a material effect upon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You should carefully consider the risks described below and all other information contained in this quarterly report on Form 10-Q, including our interim financial statements and the related notes thereto, before making a decision to purchase our securities. The risks and uncertainties described below are not the only ones facing us. Additional risks and uncertainties not currently known to us or that we currently deem to be immaterial also may materially adversely affect our business, financial condition and/or operating results.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of the following risks actually occur, our business, financial condition or results of operations could be materially adversely affected. If that happens, you may lose all or part of your investment. Other than as set forth below, there have been no material changes known to us during the period ended March 31, 2022 to the risk factors discussed in “Risk Factors” in Part I, Item 1A of our annual report on Form 10 K, as modified by the annual report on Form 10-K/A for the year ended December 31, 2021, filed with the SEC on March 2, 2022 and March 14, 2022,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Russian invasion of Ukraine may have a material adverse impact on us and our portfolio companies.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24, 2022, the President of Russia, Vladimir Putin, announced a military invasion of Ukraine. In response, countries worldwide, including the United States, have imposed sanctions against Russia on certain businesses and individuals, including, but not limited to, those in the banking, import and export sectors. This invasion has led, is currently leading, and for an unknown period of time will continue to lead to disruptions in local, regional, national, and global markets and economies affected thereby. These disruptions caused by the invasion have included, and may continue to include, political, social, and economic disruptions and uncertainties that may affect our business operations or the business operations of our portfolio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Other than pursuant to our dividend reinvestment plan, and except as previously reported by us on our current reports on Form 8-K, we did not sell any securities during the period covered by this Form 10-Q that were not registered under the Securities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75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following table is being provided to update as of March 31, 2022, certain information in our registration statement on Form N-2 (File No. 333-262146). The information is intended to assist you in understanding the costs and expenses that an investor in our common stock will bear directly or indirectly. We caution you that some of the percentages indicated in the table below are estimates and may vary. Except where the context suggests otherwise, whenever this Quarterly Report on Form 10-Q contains a reference to fees or expenses paid by “you,” “us,” or “the Company,” or that “we” will pay for expenses, stockholders will indirectly bear such fees or expenses as investors in us.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Sales load (as a percentage of offering price)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60"/>
              <w:spacing w:after="0"/>
              <w:rPr>
                <w:sz w:val="20"/>
                <w:szCs w:val="20"/>
                <w:color w:val="auto"/>
              </w:rPr>
            </w:pPr>
            <w:r>
              <w:rPr>
                <w:rFonts w:ascii="Arial" w:cs="Arial" w:eastAsia="Arial" w:hAnsi="Arial"/>
                <w:sz w:val="13"/>
                <w:szCs w:val="13"/>
                <w:color w:val="auto"/>
              </w:rPr>
              <w:t>(1)</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Offering expenses (as a percentage of offering price)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ind w:left="60"/>
              <w:spacing w:after="0"/>
              <w:rPr>
                <w:sz w:val="20"/>
                <w:szCs w:val="20"/>
                <w:color w:val="auto"/>
              </w:rPr>
            </w:pPr>
            <w:r>
              <w:rPr>
                <w:rFonts w:ascii="Arial" w:cs="Arial" w:eastAsia="Arial" w:hAnsi="Arial"/>
                <w:sz w:val="13"/>
                <w:szCs w:val="13"/>
                <w:color w:val="auto"/>
              </w:rPr>
              <w:t>(2)</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Dividend reinvestment plan expenses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60"/>
              <w:spacing w:after="0"/>
              <w:rPr>
                <w:sz w:val="20"/>
                <w:szCs w:val="20"/>
                <w:color w:val="auto"/>
              </w:rPr>
            </w:pPr>
            <w:r>
              <w:rPr>
                <w:rFonts w:ascii="Arial" w:cs="Arial" w:eastAsia="Arial" w:hAnsi="Arial"/>
                <w:sz w:val="13"/>
                <w:szCs w:val="13"/>
                <w:color w:val="auto"/>
              </w:rPr>
              <w:t>(3)</w:t>
            </w:r>
          </w:p>
        </w:tc>
      </w:tr>
      <w:tr>
        <w:trPr>
          <w:trHeight w:val="249"/>
        </w:trPr>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 transaction expenses (as a percentage of offering price)</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720" w:type="dxa"/>
            <w:vAlign w:val="bottom"/>
            <w:tcBorders>
              <w:bottom w:val="single" w:sz="8" w:color="CCEEFF"/>
            </w:tcBorders>
          </w:tcPr>
          <w:p>
            <w:pPr>
              <w:spacing w:after="0"/>
              <w:rPr>
                <w:sz w:val="21"/>
                <w:szCs w:val="21"/>
                <w:color w:val="auto"/>
              </w:rPr>
            </w:pPr>
          </w:p>
        </w:tc>
      </w:tr>
      <w:tr>
        <w:trPr>
          <w:trHeight w:val="197"/>
        </w:trPr>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Annual expenses (as a percentage of net assets attributable to common stock):</w:t>
            </w: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106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720" w:type="dxa"/>
            <w:vAlign w:val="bottom"/>
          </w:tcPr>
          <w:p>
            <w:pPr>
              <w:ind w:left="60"/>
              <w:spacing w:after="0"/>
              <w:rPr>
                <w:sz w:val="20"/>
                <w:szCs w:val="20"/>
                <w:color w:val="auto"/>
              </w:rPr>
            </w:pPr>
            <w:r>
              <w:rPr>
                <w:rFonts w:ascii="Arial" w:cs="Arial" w:eastAsia="Arial" w:hAnsi="Arial"/>
                <w:sz w:val="13"/>
                <w:szCs w:val="13"/>
                <w:color w:val="auto"/>
              </w:rPr>
              <w:t>(4)</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720" w:type="dxa"/>
            <w:vAlign w:val="bottom"/>
            <w:shd w:val="clear" w:color="auto" w:fill="CCEEFF"/>
          </w:tcPr>
          <w:p>
            <w:pPr>
              <w:ind w:left="60"/>
              <w:spacing w:after="0"/>
              <w:rPr>
                <w:sz w:val="20"/>
                <w:szCs w:val="20"/>
                <w:color w:val="auto"/>
              </w:rPr>
            </w:pPr>
            <w:r>
              <w:rPr>
                <w:rFonts w:ascii="Arial" w:cs="Arial" w:eastAsia="Arial" w:hAnsi="Arial"/>
                <w:sz w:val="13"/>
                <w:szCs w:val="13"/>
                <w:color w:val="auto"/>
              </w:rPr>
              <w:t>(5)</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1060" w:type="dxa"/>
            <w:vAlign w:val="bottom"/>
          </w:tcPr>
          <w:p>
            <w:pPr>
              <w:jc w:val="right"/>
              <w:spacing w:after="0"/>
              <w:rPr>
                <w:sz w:val="20"/>
                <w:szCs w:val="20"/>
                <w:color w:val="auto"/>
              </w:rPr>
            </w:pPr>
            <w:r>
              <w:rPr>
                <w:rFonts w:ascii="Arial" w:cs="Arial" w:eastAsia="Arial" w:hAnsi="Arial"/>
                <w:sz w:val="18"/>
                <w:szCs w:val="18"/>
                <w:color w:val="auto"/>
              </w:rPr>
              <w:t>0.58</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720" w:type="dxa"/>
            <w:vAlign w:val="bottom"/>
          </w:tcPr>
          <w:p>
            <w:pPr>
              <w:ind w:left="60"/>
              <w:spacing w:after="0"/>
              <w:rPr>
                <w:sz w:val="20"/>
                <w:szCs w:val="20"/>
                <w:color w:val="auto"/>
              </w:rPr>
            </w:pPr>
            <w:r>
              <w:rPr>
                <w:rFonts w:ascii="Arial" w:cs="Arial" w:eastAsia="Arial" w:hAnsi="Arial"/>
                <w:sz w:val="13"/>
                <w:szCs w:val="13"/>
                <w:color w:val="auto"/>
              </w:rPr>
              <w:t>(6)</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720" w:type="dxa"/>
            <w:vAlign w:val="bottom"/>
            <w:shd w:val="clear" w:color="auto" w:fill="CCEEFF"/>
          </w:tcPr>
          <w:p>
            <w:pPr>
              <w:ind w:left="60"/>
              <w:spacing w:after="0"/>
              <w:rPr>
                <w:sz w:val="20"/>
                <w:szCs w:val="20"/>
                <w:color w:val="auto"/>
              </w:rPr>
            </w:pPr>
            <w:r>
              <w:rPr>
                <w:rFonts w:ascii="Arial" w:cs="Arial" w:eastAsia="Arial" w:hAnsi="Arial"/>
                <w:sz w:val="13"/>
                <w:szCs w:val="13"/>
                <w:color w:val="auto"/>
              </w:rPr>
              <w:t>(7)(8)</w:t>
            </w:r>
          </w:p>
        </w:tc>
      </w:tr>
      <w:tr>
        <w:trPr>
          <w:trHeight w:val="209"/>
        </w:trPr>
        <w:tc>
          <w:tcPr>
            <w:tcW w:w="7960" w:type="dxa"/>
            <w:vAlign w:val="bottom"/>
          </w:tcPr>
          <w:p>
            <w:pPr>
              <w:spacing w:after="0"/>
              <w:rPr>
                <w:sz w:val="20"/>
                <w:szCs w:val="20"/>
                <w:color w:val="auto"/>
              </w:rPr>
            </w:pPr>
            <w:r>
              <w:rPr>
                <w:rFonts w:ascii="Arial" w:cs="Arial" w:eastAsia="Arial" w:hAnsi="Arial"/>
                <w:sz w:val="18"/>
                <w:szCs w:val="18"/>
                <w:b w:val="1"/>
                <w:bCs w:val="1"/>
                <w:color w:val="auto"/>
              </w:rPr>
              <w:t>Total annual expenses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720" w:type="dxa"/>
            <w:vAlign w:val="bottom"/>
          </w:tcPr>
          <w:p>
            <w:pPr>
              <w:ind w:left="60"/>
              <w:spacing w:after="0"/>
              <w:rPr>
                <w:sz w:val="20"/>
                <w:szCs w:val="20"/>
                <w:color w:val="auto"/>
              </w:rPr>
            </w:pPr>
            <w:r>
              <w:rPr>
                <w:rFonts w:ascii="Arial" w:cs="Arial" w:eastAsia="Arial" w:hAnsi="Arial"/>
                <w:sz w:val="13"/>
                <w:szCs w:val="13"/>
                <w:color w:val="auto"/>
              </w:rPr>
              <w:t>(8)</w:t>
            </w:r>
          </w:p>
        </w:tc>
      </w:tr>
      <w:tr>
        <w:trPr>
          <w:trHeight w:val="20"/>
        </w:trPr>
        <w:tc>
          <w:tcPr>
            <w:tcW w:w="7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15684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80" w:lineRule="exact"/>
        <w:rPr>
          <w:sz w:val="20"/>
          <w:szCs w:val="20"/>
          <w:color w:val="auto"/>
        </w:rPr>
      </w:pPr>
    </w:p>
    <w:p>
      <w:pPr>
        <w:ind w:left="660" w:hanging="328"/>
        <w:spacing w:after="0" w:line="253" w:lineRule="auto"/>
        <w:tabs>
          <w:tab w:leader="none" w:pos="660" w:val="left"/>
        </w:tabs>
        <w:numPr>
          <w:ilvl w:val="0"/>
          <w:numId w:val="36"/>
        </w:numPr>
        <w:rPr>
          <w:rFonts w:ascii="Arial" w:cs="Arial" w:eastAsia="Arial" w:hAnsi="Arial"/>
          <w:sz w:val="11"/>
          <w:szCs w:val="11"/>
          <w:color w:val="auto"/>
        </w:rPr>
      </w:pPr>
      <w:r>
        <w:rPr>
          <w:rFonts w:ascii="Arial" w:cs="Arial" w:eastAsia="Arial" w:hAnsi="Arial"/>
          <w:sz w:val="14"/>
          <w:szCs w:val="14"/>
          <w:color w:val="auto"/>
        </w:rPr>
        <w:t>In the event that the securities are sold to or through underwriters, a related prospectus supplement will disclose the applicable sales load (underwriting discount or commission).</w:t>
      </w:r>
    </w:p>
    <w:p>
      <w:pPr>
        <w:spacing w:after="0" w:line="65"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36"/>
        </w:numPr>
        <w:rPr>
          <w:rFonts w:ascii="Arial" w:cs="Arial" w:eastAsia="Arial" w:hAnsi="Arial"/>
          <w:sz w:val="11"/>
          <w:szCs w:val="11"/>
          <w:color w:val="auto"/>
        </w:rPr>
      </w:pPr>
      <w:r>
        <w:rPr>
          <w:rFonts w:ascii="Arial" w:cs="Arial" w:eastAsia="Arial" w:hAnsi="Arial"/>
          <w:sz w:val="14"/>
          <w:szCs w:val="14"/>
          <w:color w:val="auto"/>
        </w:rPr>
        <w:t>A related prospectus supplement will disclose the estimated amount of offering expenses, the offering price and the estimated amount of offering expenses borne by the Company as a percentage of the offering price.</w:t>
      </w:r>
    </w:p>
    <w:p>
      <w:pPr>
        <w:spacing w:after="0" w:line="65"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36"/>
        </w:numPr>
        <w:rPr>
          <w:rFonts w:ascii="Arial" w:cs="Arial" w:eastAsia="Arial" w:hAnsi="Arial"/>
          <w:sz w:val="11"/>
          <w:szCs w:val="11"/>
          <w:color w:val="auto"/>
        </w:rPr>
      </w:pPr>
      <w:r>
        <w:rPr>
          <w:rFonts w:ascii="Arial" w:cs="Arial" w:eastAsia="Arial" w:hAnsi="Arial"/>
          <w:sz w:val="14"/>
          <w:szCs w:val="14"/>
          <w:color w:val="auto"/>
        </w:rPr>
        <w:t>The expenses of the dividend reinvestment plan are included in “other expenses” in the table above. For additional information, see “</w:t>
      </w:r>
      <w:r>
        <w:rPr>
          <w:rFonts w:ascii="Arial" w:cs="Arial" w:eastAsia="Arial" w:hAnsi="Arial"/>
          <w:sz w:val="14"/>
          <w:szCs w:val="14"/>
          <w:i w:val="1"/>
          <w:iCs w:val="1"/>
          <w:u w:val="single" w:color="auto"/>
          <w:color w:val="auto"/>
        </w:rPr>
        <w:t>Item 2. Management’s</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Discussion and Analysis of Financial Condition and Results of Operations</w:t>
      </w:r>
      <w:r>
        <w:rPr>
          <w:rFonts w:ascii="Arial" w:cs="Arial" w:eastAsia="Arial" w:hAnsi="Arial"/>
          <w:sz w:val="14"/>
          <w:szCs w:val="14"/>
          <w:i w:val="1"/>
          <w:iCs w:val="1"/>
          <w:color w:val="auto"/>
        </w:rPr>
        <w:t xml:space="preserve"> – Distributions.”</w:t>
      </w:r>
    </w:p>
    <w:p>
      <w:pPr>
        <w:spacing w:after="0" w:line="65"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36"/>
        </w:numPr>
        <w:rPr>
          <w:rFonts w:ascii="Arial" w:cs="Arial" w:eastAsia="Arial" w:hAnsi="Arial"/>
          <w:sz w:val="11"/>
          <w:szCs w:val="11"/>
          <w:color w:val="auto"/>
        </w:rPr>
      </w:pPr>
      <w:r>
        <w:rPr>
          <w:rFonts w:ascii="Arial" w:cs="Arial" w:eastAsia="Arial" w:hAnsi="Arial"/>
          <w:sz w:val="14"/>
          <w:szCs w:val="14"/>
          <w:color w:val="auto"/>
        </w:rPr>
        <w:t xml:space="preserve">Assumes the base management fee will be an amount equal to 0.40% (1.60% annualized) of our average daily Gross Assets during the most recently completed calendar quarter. For additional information,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auto"/>
        </w:rPr>
        <w:t>Note 7- Related Party Agreements and Transactions:</w:t>
      </w:r>
      <w:r>
        <w:rPr>
          <w:rFonts w:ascii="Arial" w:cs="Arial" w:eastAsia="Arial" w:hAnsi="Arial"/>
          <w:sz w:val="14"/>
          <w:szCs w:val="14"/>
          <w:color w:val="auto"/>
        </w:rPr>
        <w:t xml:space="preserve"> </w:t>
      </w:r>
      <w:r>
        <w:rPr>
          <w:rFonts w:ascii="Arial" w:cs="Arial" w:eastAsia="Arial" w:hAnsi="Arial"/>
          <w:sz w:val="14"/>
          <w:szCs w:val="14"/>
          <w:i w:val="1"/>
          <w:iCs w:val="1"/>
          <w:color w:val="auto"/>
        </w:rPr>
        <w:t>Base Management Fee.”</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36"/>
        </w:numPr>
        <w:rPr>
          <w:rFonts w:ascii="Arial" w:cs="Arial" w:eastAsia="Arial" w:hAnsi="Arial"/>
          <w:sz w:val="10"/>
          <w:szCs w:val="10"/>
          <w:color w:val="auto"/>
        </w:rPr>
      </w:pPr>
      <w:r>
        <w:rPr>
          <w:rFonts w:ascii="Arial" w:cs="Arial" w:eastAsia="Arial" w:hAnsi="Arial"/>
          <w:sz w:val="13"/>
          <w:szCs w:val="13"/>
          <w:color w:val="auto"/>
        </w:rPr>
        <w:t>The incentive fee, which provides RGC with a share of the income that RGC generates for us, consists of an Investment Income Fee and a Capital Gains Fee.</w:t>
      </w:r>
    </w:p>
    <w:p>
      <w:pPr>
        <w:spacing w:after="0" w:line="148" w:lineRule="exact"/>
        <w:rPr>
          <w:sz w:val="20"/>
          <w:szCs w:val="20"/>
          <w:color w:val="auto"/>
        </w:rPr>
      </w:pPr>
    </w:p>
    <w:p>
      <w:pPr>
        <w:jc w:val="both"/>
        <w:ind w:left="660" w:right="20" w:firstLine="405"/>
        <w:spacing w:after="0" w:line="242" w:lineRule="auto"/>
        <w:rPr>
          <w:sz w:val="20"/>
          <w:szCs w:val="20"/>
          <w:color w:val="auto"/>
        </w:rPr>
      </w:pPr>
      <w:r>
        <w:rPr>
          <w:rFonts w:ascii="Arial" w:cs="Arial" w:eastAsia="Arial" w:hAnsi="Arial"/>
          <w:sz w:val="13"/>
          <w:szCs w:val="13"/>
          <w:color w:val="auto"/>
        </w:rPr>
        <w:t>Under the Income Incentive Fee, we pay RGC each quarter an incentive fee with respect to our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Pre-Incentive Fee net investment income, expressed as a rate of return on the value of our net assets (defined as total assets less liabilities) at the end of the immediately preceding fiscal quarter, will be compared to a “hurdle rate” of 2.0% per quarter (8.0% annualized). We will pay RGC an Income Incentive Fee with respect to the our Pre-Incentive Fee net investment income in each calendar quarter as follows: (1) no Income Incentive Fee in any calendar quarter in which our Pre-Incentive Fee net investment income does not exceed the hurdle rate of 2.0%; (2) 80% of our Pre-Incentive Fee net investment income with respect to that portion of such Pre-Incentive Fee net investment income, if any, that exceeds the hurdle rate but is less than 2.667% in any calendar quarter (10.668% annualized) (the portion of our Pre-Incentive Fee net investment income that exceeds the hurdle but is less than 2.667% is referred to as the “catch-up”; the “catch-up” is meant to provide RGC with 20.0% of our Pre-Incentive Fee net investment income as if a hurdle did not apply if our Pre-Incentive Fee net investment income exceeds 2.667% in any calendar quarter (10.668% annualized)); and (3) 20.0% of the amount of our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52" w:lineRule="exact"/>
        <w:rPr>
          <w:sz w:val="20"/>
          <w:szCs w:val="20"/>
          <w:color w:val="auto"/>
        </w:rPr>
      </w:pPr>
    </w:p>
    <w:p>
      <w:pPr>
        <w:jc w:val="both"/>
        <w:ind w:left="660" w:firstLine="401"/>
        <w:spacing w:after="0" w:line="264" w:lineRule="auto"/>
        <w:rPr>
          <w:sz w:val="20"/>
          <w:szCs w:val="20"/>
          <w:color w:val="auto"/>
        </w:rPr>
      </w:pPr>
      <w:r>
        <w:rPr>
          <w:rFonts w:ascii="Arial" w:cs="Arial" w:eastAsia="Arial" w:hAnsi="Arial"/>
          <w:sz w:val="13"/>
          <w:szCs w:val="13"/>
          <w:color w:val="auto"/>
        </w:rPr>
        <w:t>Under the Capital Gains Fee, we will pay RGC, as of the end of each calendar year, 20.0% of our aggregate cumulative realized capital gains, if any, from the date of our election to be regulated as a BDC through the end of that calendar year, computed net of our aggregate cumulative realized capital losses and aggregate cumulative unrealized capital depreciation through the end of such year, less the aggregate amount of any previously paid Capital Gains Fee.</w:t>
      </w:r>
    </w:p>
    <w:p>
      <w:pPr>
        <w:spacing w:after="0" w:line="168" w:lineRule="exact"/>
        <w:rPr>
          <w:sz w:val="20"/>
          <w:szCs w:val="20"/>
          <w:color w:val="auto"/>
        </w:rPr>
      </w:pPr>
    </w:p>
    <w:p>
      <w:pPr>
        <w:ind w:left="660" w:right="20" w:hanging="328"/>
        <w:spacing w:after="0" w:line="335" w:lineRule="auto"/>
        <w:tabs>
          <w:tab w:leader="none" w:pos="660" w:val="left"/>
        </w:tabs>
        <w:numPr>
          <w:ilvl w:val="0"/>
          <w:numId w:val="37"/>
        </w:numPr>
        <w:rPr>
          <w:rFonts w:ascii="Arial" w:cs="Arial" w:eastAsia="Arial" w:hAnsi="Arial"/>
          <w:sz w:val="9"/>
          <w:szCs w:val="9"/>
          <w:color w:val="auto"/>
        </w:rPr>
      </w:pPr>
      <w:r>
        <w:rPr>
          <w:rFonts w:ascii="Arial" w:cs="Arial" w:eastAsia="Arial" w:hAnsi="Arial"/>
          <w:sz w:val="12"/>
          <w:szCs w:val="12"/>
          <w:color w:val="auto"/>
        </w:rPr>
        <w:t>Interest payments on borrowed funds represents an estimate of our annualized interest expense based on borrowings under the Credit Agreement. The assumed weighted average interest rate on our total debt outstanding was 3.91%. We may borrow additional funds from time to time to make investments to the extent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line="253" w:lineRule="auto"/>
        <w:rPr>
          <w:sz w:val="20"/>
          <w:szCs w:val="20"/>
          <w:color w:val="auto"/>
        </w:rPr>
      </w:pPr>
      <w:r>
        <w:rPr>
          <w:rFonts w:ascii="Arial" w:cs="Arial" w:eastAsia="Arial" w:hAnsi="Arial"/>
          <w:sz w:val="14"/>
          <w:szCs w:val="14"/>
          <w:color w:val="auto"/>
        </w:rPr>
        <w:t>we determine that the economic situation is conducive to doing so. We may also issue debt securities or preferred stock, subject to our compliance with applicable requirements under the 1940 Act.</w:t>
      </w:r>
    </w:p>
    <w:p>
      <w:pPr>
        <w:spacing w:after="0" w:line="66" w:lineRule="exact"/>
        <w:rPr>
          <w:sz w:val="20"/>
          <w:szCs w:val="20"/>
          <w:color w:val="auto"/>
        </w:rPr>
      </w:pPr>
    </w:p>
    <w:p>
      <w:pPr>
        <w:ind w:left="660" w:hanging="328"/>
        <w:spacing w:after="0" w:line="253" w:lineRule="auto"/>
        <w:tabs>
          <w:tab w:leader="none" w:pos="660" w:val="left"/>
        </w:tabs>
        <w:numPr>
          <w:ilvl w:val="0"/>
          <w:numId w:val="38"/>
        </w:numPr>
        <w:rPr>
          <w:rFonts w:ascii="Arial" w:cs="Arial" w:eastAsia="Arial" w:hAnsi="Arial"/>
          <w:sz w:val="11"/>
          <w:szCs w:val="11"/>
          <w:color w:val="auto"/>
        </w:rPr>
      </w:pPr>
      <w:r>
        <w:rPr>
          <w:rFonts w:ascii="Arial" w:cs="Arial" w:eastAsia="Arial" w:hAnsi="Arial"/>
          <w:sz w:val="14"/>
          <w:szCs w:val="14"/>
          <w:color w:val="auto"/>
        </w:rPr>
        <w:t xml:space="preserve">Includes our overhead expenses, such as payments under the Administration Agreement for certain expenses incurred by the Adviser. See </w:t>
      </w:r>
      <w:r>
        <w:rPr>
          <w:rFonts w:ascii="Arial" w:cs="Arial" w:eastAsia="Arial" w:hAnsi="Arial"/>
          <w:sz w:val="14"/>
          <w:szCs w:val="14"/>
          <w:i w:val="1"/>
          <w:iCs w:val="1"/>
          <w:color w:val="auto"/>
        </w:rPr>
        <w:t>“Note 7-</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Related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Party Agreements and Transactions</w:t>
      </w:r>
      <w:r>
        <w:rPr>
          <w:rFonts w:ascii="Arial" w:cs="Arial" w:eastAsia="Arial" w:hAnsi="Arial"/>
          <w:sz w:val="14"/>
          <w:szCs w:val="14"/>
          <w:i w:val="1"/>
          <w:iCs w:val="1"/>
          <w:color w:val="auto"/>
        </w:rPr>
        <w:t xml:space="preserve">: Administration Agreement.” </w:t>
      </w:r>
      <w:r>
        <w:rPr>
          <w:rFonts w:ascii="Arial" w:cs="Arial" w:eastAsia="Arial" w:hAnsi="Arial"/>
          <w:sz w:val="14"/>
          <w:szCs w:val="14"/>
          <w:color w:val="auto"/>
        </w:rPr>
        <w:t>We based these expenses on estimated amounts for the current fiscal year.</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38"/>
        </w:numPr>
        <w:rPr>
          <w:rFonts w:ascii="Arial" w:cs="Arial" w:eastAsia="Arial" w:hAnsi="Arial"/>
          <w:sz w:val="11"/>
          <w:szCs w:val="11"/>
          <w:color w:val="auto"/>
        </w:rPr>
      </w:pPr>
      <w:r>
        <w:rPr>
          <w:rFonts w:ascii="Arial" w:cs="Arial" w:eastAsia="Arial" w:hAnsi="Arial"/>
          <w:sz w:val="14"/>
          <w:szCs w:val="14"/>
          <w:color w:val="auto"/>
        </w:rPr>
        <w:t>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exhibits are filed as part of this report or hereby incorporated by reference to exhibits previously filed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211" w:lineRule="exact"/>
        <w:rPr>
          <w:sz w:val="20"/>
          <w:szCs w:val="20"/>
          <w:color w:val="auto"/>
        </w:rPr>
      </w:pPr>
    </w:p>
    <w:p>
      <w:pPr>
        <w:spacing w:after="0"/>
        <w:tabs>
          <w:tab w:leader="none" w:pos="38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89">
        <w:r>
          <w:rPr>
            <w:rFonts w:ascii="Arial" w:cs="Arial" w:eastAsia="Arial" w:hAnsi="Arial"/>
            <w:sz w:val="16"/>
            <w:szCs w:val="16"/>
            <w:u w:val="single" w:color="auto"/>
            <w:color w:val="0000EE"/>
          </w:rPr>
          <w:t xml:space="preserve">Articles of Amendment and Restatement </w:t>
        </w:r>
      </w:hyperlink>
      <w:r>
        <w:rPr>
          <w:rFonts w:ascii="Arial" w:cs="Arial" w:eastAsia="Arial" w:hAnsi="Arial"/>
          <w:sz w:val="23"/>
          <w:szCs w:val="23"/>
          <w:u w:val="single" w:color="auto"/>
          <w:color w:val="0000EE"/>
          <w:vertAlign w:val="superscript"/>
        </w:rPr>
        <w:t>(1)</w:t>
      </w:r>
    </w:p>
    <w:p>
      <w:pPr>
        <w:spacing w:after="0" w:line="168" w:lineRule="exact"/>
        <w:rPr>
          <w:sz w:val="20"/>
          <w:szCs w:val="20"/>
          <w:color w:val="auto"/>
        </w:rPr>
      </w:pPr>
    </w:p>
    <w:p>
      <w:pPr>
        <w:spacing w:after="0"/>
        <w:tabs>
          <w:tab w:leader="none" w:pos="38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90">
        <w:r>
          <w:rPr>
            <w:rFonts w:ascii="Arial" w:cs="Arial" w:eastAsia="Arial" w:hAnsi="Arial"/>
            <w:sz w:val="16"/>
            <w:szCs w:val="16"/>
            <w:u w:val="single" w:color="auto"/>
            <w:color w:val="0000EE"/>
          </w:rPr>
          <w:t xml:space="preserve">Articles of Amendment </w:t>
        </w:r>
      </w:hyperlink>
      <w:r>
        <w:rPr>
          <w:rFonts w:ascii="Arial" w:cs="Arial" w:eastAsia="Arial" w:hAnsi="Arial"/>
          <w:sz w:val="23"/>
          <w:szCs w:val="23"/>
          <w:u w:val="single" w:color="auto"/>
          <w:color w:val="0000EE"/>
          <w:vertAlign w:val="superscript"/>
        </w:rPr>
        <w:t>(2)</w:t>
      </w:r>
    </w:p>
    <w:p>
      <w:pPr>
        <w:spacing w:after="0" w:line="168" w:lineRule="exact"/>
        <w:rPr>
          <w:sz w:val="20"/>
          <w:szCs w:val="20"/>
          <w:color w:val="auto"/>
        </w:rPr>
      </w:pPr>
    </w:p>
    <w:p>
      <w:pPr>
        <w:spacing w:after="0"/>
        <w:tabs>
          <w:tab w:leader="none" w:pos="380" w:val="left"/>
        </w:tabs>
        <w:rPr>
          <w:rFonts w:ascii="Arial" w:cs="Arial" w:eastAsia="Arial" w:hAnsi="Arial"/>
          <w:sz w:val="15"/>
          <w:szCs w:val="15"/>
          <w:u w:val="single" w:color="auto"/>
          <w:color w:val="0000EE"/>
        </w:rPr>
      </w:pPr>
      <w:r>
        <w:rPr>
          <w:rFonts w:ascii="Arial" w:cs="Arial" w:eastAsia="Arial" w:hAnsi="Arial"/>
          <w:sz w:val="18"/>
          <w:szCs w:val="18"/>
          <w:color w:val="auto"/>
        </w:rPr>
        <w:t>3.3</w:t>
      </w:r>
      <w:r>
        <w:rPr>
          <w:sz w:val="20"/>
          <w:szCs w:val="20"/>
          <w:color w:val="auto"/>
        </w:rPr>
        <w:tab/>
      </w:r>
      <w:hyperlink r:id="rId91">
        <w:r>
          <w:rPr>
            <w:rFonts w:ascii="Arial" w:cs="Arial" w:eastAsia="Arial" w:hAnsi="Arial"/>
            <w:sz w:val="15"/>
            <w:szCs w:val="15"/>
            <w:u w:val="single" w:color="auto"/>
            <w:color w:val="0000EE"/>
          </w:rPr>
          <w:t xml:space="preserve">Second Amended and Restated Bylaws </w:t>
        </w:r>
      </w:hyperlink>
      <w:r>
        <w:rPr>
          <w:rFonts w:ascii="Arial" w:cs="Arial" w:eastAsia="Arial" w:hAnsi="Arial"/>
          <w:sz w:val="21"/>
          <w:szCs w:val="21"/>
          <w:u w:val="single" w:color="auto"/>
          <w:color w:val="0000EE"/>
          <w:vertAlign w:val="superscript"/>
        </w:rPr>
        <w:t>(2)</w:t>
      </w:r>
    </w:p>
    <w:p>
      <w:pPr>
        <w:spacing w:after="0" w:line="191" w:lineRule="exact"/>
        <w:rPr>
          <w:sz w:val="20"/>
          <w:szCs w:val="20"/>
          <w:color w:val="auto"/>
        </w:rPr>
      </w:pPr>
    </w:p>
    <w:p>
      <w:pPr>
        <w:ind w:left="400" w:hanging="391"/>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 </w:t>
      </w:r>
      <w:hyperlink r:id="rId92">
        <w:r>
          <w:rPr>
            <w:rFonts w:ascii="Arial" w:cs="Arial" w:eastAsia="Arial" w:hAnsi="Arial"/>
            <w:sz w:val="18"/>
            <w:szCs w:val="18"/>
            <w:u w:val="single" w:color="auto"/>
            <w:color w:val="0000EE"/>
          </w:rPr>
          <w:t>Sixth Amendment to Credit Agreement, dated as of April 20, 2022, among Runway Growth Finance Corp., as borrower; the financial</w:t>
        </w:r>
      </w:hyperlink>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EE"/>
          </w:rPr>
          <w:t>institutions party thereto as lenders; KeyBank National Association, as administrative agent and lender; CIBC Bank USA, as</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documentation agent and lender; MUFG Union Bank, N.A. as co-documentation agent and lender; and U.S. Bank National</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 xml:space="preserve">Association, as paying agent </w:t>
        </w:r>
        <w:r>
          <w:rPr>
            <w:rFonts w:ascii="Arial" w:cs="Arial" w:eastAsia="Arial" w:hAnsi="Arial"/>
            <w:sz w:val="26"/>
            <w:szCs w:val="26"/>
            <w:u w:val="single" w:color="auto"/>
            <w:color w:val="0000EE"/>
            <w:vertAlign w:val="superscript"/>
          </w:rPr>
          <w:t>(3)</w:t>
        </w:r>
      </w:hyperlink>
    </w:p>
    <w:p>
      <w:pPr>
        <w:spacing w:after="0" w:line="53" w:lineRule="exact"/>
        <w:rPr>
          <w:rFonts w:ascii="Arial" w:cs="Arial" w:eastAsia="Arial" w:hAnsi="Arial"/>
          <w:sz w:val="18"/>
          <w:szCs w:val="18"/>
          <w:u w:val="single" w:color="auto"/>
          <w:color w:val="0000EE"/>
        </w:rPr>
      </w:pPr>
    </w:p>
    <w:p>
      <w:pPr>
        <w:spacing w:after="0"/>
        <w:rPr>
          <w:rFonts w:ascii="Arial" w:cs="Arial" w:eastAsia="Arial" w:hAnsi="Arial"/>
          <w:sz w:val="18"/>
          <w:szCs w:val="18"/>
          <w:color w:val="auto"/>
        </w:rPr>
      </w:pPr>
      <w:r>
        <w:rPr>
          <w:rFonts w:ascii="Arial" w:cs="Arial" w:eastAsia="Arial" w:hAnsi="Arial"/>
          <w:sz w:val="18"/>
          <w:szCs w:val="18"/>
          <w:color w:val="auto"/>
        </w:rPr>
        <w:t xml:space="preserve">10.3 </w:t>
      </w:r>
      <w:hyperlink r:id="rId93">
        <w:r>
          <w:rPr>
            <w:rFonts w:ascii="Arial" w:cs="Arial" w:eastAsia="Arial" w:hAnsi="Arial"/>
            <w:sz w:val="18"/>
            <w:szCs w:val="18"/>
            <w:u w:val="single" w:color="auto"/>
            <w:color w:val="0000EE"/>
          </w:rPr>
          <w:t>Amended and Restated Dividend Reinvestment Plan</w:t>
        </w:r>
        <w:r>
          <w:rPr>
            <w:rFonts w:ascii="Arial" w:cs="Arial" w:eastAsia="Arial" w:hAnsi="Arial"/>
            <w:sz w:val="18"/>
            <w:szCs w:val="18"/>
            <w:u w:val="single" w:color="auto"/>
            <w:color w:val="auto"/>
          </w:rPr>
          <w:t xml:space="preserve"> </w:t>
        </w:r>
      </w:hyperlink>
      <w:r>
        <w:rPr>
          <w:rFonts w:ascii="Arial" w:cs="Arial" w:eastAsia="Arial" w:hAnsi="Arial"/>
          <w:sz w:val="26"/>
          <w:szCs w:val="26"/>
          <w:u w:val="single" w:color="auto"/>
          <w:color w:val="0000EE"/>
          <w:vertAlign w:val="superscript"/>
        </w:rPr>
        <w:t>(4)</w:t>
      </w:r>
    </w:p>
    <w:p>
      <w:pPr>
        <w:spacing w:after="0" w:line="133" w:lineRule="exact"/>
        <w:rPr>
          <w:rFonts w:ascii="Arial" w:cs="Arial" w:eastAsia="Arial" w:hAnsi="Arial"/>
          <w:sz w:val="18"/>
          <w:szCs w:val="18"/>
          <w:u w:val="single" w:color="auto"/>
          <w:color w:val="0000EE"/>
        </w:rPr>
      </w:pPr>
    </w:p>
    <w:p>
      <w:pPr>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75">
        <w:r>
          <w:rPr>
            <w:rFonts w:ascii="Arial" w:cs="Arial" w:eastAsia="Arial" w:hAnsi="Arial"/>
            <w:sz w:val="18"/>
            <w:szCs w:val="18"/>
            <w:u w:val="single" w:color="auto"/>
            <w:color w:val="0000EE"/>
          </w:rPr>
          <w:t>Certification of Chief Executive Officer pursuant to Rule 13a-14 of the Securities Exchange Act of 1934, as amended*</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76">
        <w:r>
          <w:rPr>
            <w:rFonts w:ascii="Arial" w:cs="Arial" w:eastAsia="Arial" w:hAnsi="Arial"/>
            <w:sz w:val="18"/>
            <w:szCs w:val="18"/>
            <w:u w:val="single" w:color="auto"/>
            <w:color w:val="0000EE"/>
          </w:rPr>
          <w:t>Certification of Chief Financial Officer pursuant to Rule 13a-14 of the Securities Exchange Act of 1934, as amended*</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77">
        <w:r>
          <w:rPr>
            <w:rFonts w:ascii="Arial" w:cs="Arial" w:eastAsia="Arial" w:hAnsi="Arial"/>
            <w:sz w:val="18"/>
            <w:szCs w:val="18"/>
            <w:u w:val="single" w:color="auto"/>
            <w:color w:val="0000EE"/>
          </w:rPr>
          <w:t>Certification of Chief Executive Officer pursuant to Section 906 of the Sarbanes-Oxley Act of 2002*</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color w:val="auto"/>
        </w:rPr>
      </w:pPr>
      <w:r>
        <w:rPr>
          <w:rFonts w:ascii="Arial" w:cs="Arial" w:eastAsia="Arial" w:hAnsi="Arial"/>
          <w:sz w:val="18"/>
          <w:szCs w:val="18"/>
          <w:color w:val="auto"/>
        </w:rPr>
        <w:t xml:space="preserve">32.2 </w:t>
      </w:r>
      <w:hyperlink w:anchor="page78">
        <w:r>
          <w:rPr>
            <w:rFonts w:ascii="Arial" w:cs="Arial" w:eastAsia="Arial" w:hAnsi="Arial"/>
            <w:sz w:val="18"/>
            <w:szCs w:val="18"/>
            <w:u w:val="single" w:color="auto"/>
            <w:color w:val="0000EE"/>
          </w:rPr>
          <w:t>Certification of Chief Financial Officer pursuant to Section 906 of the Sarbanes-Oxley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83185</wp:posOffset>
            </wp:positionV>
            <wp:extent cx="15684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5" w:lineRule="exact"/>
        <w:rPr>
          <w:rFonts w:ascii="Arial" w:cs="Arial" w:eastAsia="Arial" w:hAnsi="Arial"/>
          <w:sz w:val="18"/>
          <w:szCs w:val="18"/>
          <w:u w:val="single" w:color="auto"/>
          <w:color w:val="0000EE"/>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u w:val="single" w:color="auto"/>
          <w:color w:val="0000EE"/>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December 19,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August 19, 2021.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April 20, 2022.</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October 27, 2021.</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75" w:lineRule="exact"/>
        <w:rPr>
          <w:rFonts w:ascii="Arial" w:cs="Arial" w:eastAsia="Arial" w:hAnsi="Arial"/>
          <w:sz w:val="18"/>
          <w:szCs w:val="18"/>
          <w:u w:val="single" w:color="auto"/>
          <w:color w:val="0000EE"/>
        </w:rPr>
      </w:pPr>
    </w:p>
    <w:p>
      <w:pPr>
        <w:jc w:val="center"/>
        <w:ind w:right="100"/>
        <w:spacing w:after="0"/>
        <w:rPr>
          <w:sz w:val="20"/>
          <w:szCs w:val="20"/>
          <w:color w:val="auto"/>
        </w:rPr>
      </w:pPr>
      <w:r>
        <w:rPr>
          <w:rFonts w:ascii="Arial" w:cs="Arial" w:eastAsia="Arial" w:hAnsi="Arial"/>
          <w:sz w:val="18"/>
          <w:szCs w:val="18"/>
          <w:color w:val="auto"/>
        </w:rPr>
        <w:t>71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020"/>
          </w:cols>
          <w:pgMar w:left="980" w:top="517" w:right="8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vMerge w:val="restart"/>
          </w:tcPr>
          <w:p>
            <w:pPr>
              <w:spacing w:after="0"/>
              <w:rPr>
                <w:sz w:val="20"/>
                <w:szCs w:val="20"/>
                <w:color w:val="auto"/>
              </w:rPr>
            </w:pPr>
            <w:r>
              <w:rPr>
                <w:rFonts w:ascii="Arial" w:cs="Arial" w:eastAsia="Arial" w:hAnsi="Arial"/>
                <w:sz w:val="18"/>
                <w:szCs w:val="18"/>
                <w:color w:val="auto"/>
              </w:rPr>
              <w:t>Date: May 5, 2022</w:t>
            </w:r>
          </w:p>
        </w:tc>
        <w:tc>
          <w:tcPr>
            <w:tcW w:w="6800" w:type="dxa"/>
            <w:vAlign w:val="bottom"/>
            <w:gridSpan w:val="2"/>
          </w:tcPr>
          <w:p>
            <w:pPr>
              <w:ind w:left="1960"/>
              <w:spacing w:after="0"/>
              <w:rPr>
                <w:sz w:val="20"/>
                <w:szCs w:val="20"/>
                <w:color w:val="auto"/>
              </w:rPr>
            </w:pPr>
            <w:r>
              <w:rPr>
                <w:rFonts w:ascii="Arial" w:cs="Arial" w:eastAsia="Arial" w:hAnsi="Arial"/>
                <w:sz w:val="18"/>
                <w:szCs w:val="18"/>
                <w:b w:val="1"/>
                <w:bCs w:val="1"/>
                <w:color w:val="auto"/>
              </w:rPr>
              <w:t>RUNWAY GROWTH FINANCE CORP.</w:t>
            </w:r>
          </w:p>
        </w:tc>
        <w:tc>
          <w:tcPr>
            <w:tcW w:w="0" w:type="dxa"/>
            <w:vAlign w:val="bottom"/>
          </w:tcPr>
          <w:p>
            <w:pPr>
              <w:spacing w:after="0"/>
              <w:rPr>
                <w:sz w:val="1"/>
                <w:szCs w:val="1"/>
                <w:color w:val="auto"/>
              </w:rPr>
            </w:pPr>
          </w:p>
        </w:tc>
      </w:tr>
      <w:tr>
        <w:trPr>
          <w:trHeight w:val="216"/>
        </w:trPr>
        <w:tc>
          <w:tcPr>
            <w:tcW w:w="3120" w:type="dxa"/>
            <w:vAlign w:val="bottom"/>
            <w:vMerge w:val="continue"/>
          </w:tcPr>
          <w:p>
            <w:pPr>
              <w:spacing w:after="0"/>
              <w:rPr>
                <w:sz w:val="18"/>
                <w:szCs w:val="18"/>
                <w:color w:val="auto"/>
              </w:rPr>
            </w:pPr>
          </w:p>
        </w:tc>
        <w:tc>
          <w:tcPr>
            <w:tcW w:w="6800" w:type="dxa"/>
            <w:vAlign w:val="bottom"/>
            <w:gridSpan w:val="2"/>
            <w:vMerge w:val="restart"/>
          </w:tcPr>
          <w:p>
            <w:pPr>
              <w:ind w:left="1960"/>
              <w:spacing w:after="0"/>
              <w:rPr>
                <w:sz w:val="20"/>
                <w:szCs w:val="20"/>
                <w:color w:val="auto"/>
              </w:rPr>
            </w:pPr>
            <w:r>
              <w:rPr>
                <w:rFonts w:ascii="Arial" w:cs="Arial" w:eastAsia="Arial" w:hAnsi="Arial"/>
                <w:sz w:val="18"/>
                <w:szCs w:val="18"/>
                <w:color w:val="auto"/>
              </w:rPr>
              <w:t>By: /s/ R. David Spreng</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6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 David Spreng</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2"/>
              </w:rPr>
              <w:t>President, Chief Executive Officer and Chairman of the Board</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 Directors</w:t>
            </w:r>
          </w:p>
        </w:tc>
        <w:tc>
          <w:tcPr>
            <w:tcW w:w="0" w:type="dxa"/>
            <w:vAlign w:val="bottom"/>
          </w:tcPr>
          <w:p>
            <w:pPr>
              <w:spacing w:after="0"/>
              <w:rPr>
                <w:sz w:val="1"/>
                <w:szCs w:val="1"/>
                <w:color w:val="auto"/>
              </w:rPr>
            </w:pP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Date: May 5, 2022</w:t>
            </w:r>
          </w:p>
        </w:tc>
        <w:tc>
          <w:tcPr>
            <w:tcW w:w="6800" w:type="dxa"/>
            <w:vAlign w:val="bottom"/>
            <w:gridSpan w:val="2"/>
          </w:tcPr>
          <w:p>
            <w:pPr>
              <w:ind w:left="1960"/>
              <w:spacing w:after="0"/>
              <w:rPr>
                <w:sz w:val="20"/>
                <w:szCs w:val="20"/>
                <w:color w:val="auto"/>
              </w:rPr>
            </w:pPr>
            <w:r>
              <w:rPr>
                <w:rFonts w:ascii="Arial" w:cs="Arial" w:eastAsia="Arial" w:hAnsi="Arial"/>
                <w:sz w:val="18"/>
                <w:szCs w:val="18"/>
                <w:color w:val="auto"/>
              </w:rPr>
              <w:t>By: /s/ Thomas B. Raterman</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B. Raterman</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864"/>
        </w:trPr>
        <w:tc>
          <w:tcPr>
            <w:tcW w:w="3120" w:type="dxa"/>
            <w:vAlign w:val="bottom"/>
          </w:tcPr>
          <w:p>
            <w:pPr>
              <w:spacing w:after="0"/>
              <w:rPr>
                <w:sz w:val="24"/>
                <w:szCs w:val="24"/>
                <w:color w:val="auto"/>
              </w:rPr>
            </w:pPr>
          </w:p>
        </w:tc>
        <w:tc>
          <w:tcPr>
            <w:tcW w:w="2240" w:type="dxa"/>
            <w:vAlign w:val="bottom"/>
          </w:tcPr>
          <w:p>
            <w:pPr>
              <w:jc w:val="right"/>
              <w:ind w:right="210"/>
              <w:spacing w:after="0"/>
              <w:rPr>
                <w:sz w:val="20"/>
                <w:szCs w:val="20"/>
                <w:color w:val="auto"/>
              </w:rPr>
            </w:pPr>
            <w:r>
              <w:rPr>
                <w:rFonts w:ascii="Arial" w:cs="Arial" w:eastAsia="Arial" w:hAnsi="Arial"/>
                <w:sz w:val="18"/>
                <w:szCs w:val="18"/>
                <w:color w:val="auto"/>
              </w:rPr>
              <w:t>72</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Chief Executive Officer of Runway Growth Finance Corp.</w:t>
      </w:r>
    </w:p>
    <w:p>
      <w:pPr>
        <w:spacing w:after="0" w:line="2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pursuant to Rule 13a-14(a) and 15d-14(a) under the Exchange Act,</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R. David Spreng, as Chief Executive Officer, certify that:</w:t>
      </w:r>
    </w:p>
    <w:p>
      <w:pPr>
        <w:spacing w:after="0" w:line="225" w:lineRule="exact"/>
        <w:rPr>
          <w:sz w:val="20"/>
          <w:szCs w:val="20"/>
          <w:color w:val="auto"/>
        </w:rPr>
      </w:pPr>
    </w:p>
    <w:p>
      <w:pPr>
        <w:ind w:left="700" w:hanging="368"/>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Runway Growth Finance Corp.;</w:t>
      </w:r>
    </w:p>
    <w:p>
      <w:pPr>
        <w:spacing w:after="0" w:line="225" w:lineRule="exact"/>
        <w:rPr>
          <w:rFonts w:ascii="Arial" w:cs="Arial" w:eastAsia="Arial" w:hAnsi="Arial"/>
          <w:sz w:val="18"/>
          <w:szCs w:val="18"/>
          <w:color w:val="auto"/>
        </w:rPr>
      </w:pPr>
    </w:p>
    <w:p>
      <w:pPr>
        <w:ind w:left="340" w:right="160" w:hanging="8"/>
        <w:spacing w:after="0" w:line="263"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8"/>
        <w:spacing w:after="0" w:line="263"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80" w:hanging="8"/>
        <w:spacing w:after="0" w:line="263" w:lineRule="auto"/>
        <w:tabs>
          <w:tab w:leader="none" w:pos="69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00" w:hanging="279"/>
        <w:spacing w:after="0" w:line="311" w:lineRule="auto"/>
        <w:tabs>
          <w:tab w:leader="none" w:pos="991" w:val="left"/>
        </w:tabs>
        <w:numPr>
          <w:ilvl w:val="2"/>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420" w:hanging="279"/>
        <w:spacing w:after="0" w:line="311" w:lineRule="auto"/>
        <w:tabs>
          <w:tab w:leader="none" w:pos="1001" w:val="left"/>
        </w:tabs>
        <w:numPr>
          <w:ilvl w:val="2"/>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hanging="279"/>
        <w:spacing w:after="0" w:line="263" w:lineRule="auto"/>
        <w:tabs>
          <w:tab w:leader="none" w:pos="991" w:val="left"/>
        </w:tabs>
        <w:numPr>
          <w:ilvl w:val="2"/>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hanging="279"/>
        <w:spacing w:after="0" w:line="311" w:lineRule="auto"/>
        <w:tabs>
          <w:tab w:leader="none" w:pos="1001" w:val="left"/>
        </w:tabs>
        <w:numPr>
          <w:ilvl w:val="2"/>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180" w:firstLine="37"/>
        <w:spacing w:after="0" w:line="263" w:lineRule="auto"/>
        <w:tabs>
          <w:tab w:leader="none" w:pos="69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279"/>
        <w:spacing w:after="0" w:line="263" w:lineRule="auto"/>
        <w:tabs>
          <w:tab w:leader="none" w:pos="981" w:val="left"/>
        </w:tabs>
        <w:numPr>
          <w:ilvl w:val="2"/>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580" w:hanging="279"/>
        <w:spacing w:after="0" w:line="277" w:lineRule="auto"/>
        <w:tabs>
          <w:tab w:leader="none" w:pos="991"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2028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 David Spreng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Certification of Chief Financial Officer of Runway Growth Finance Corp.</w:t>
      </w:r>
    </w:p>
    <w:p>
      <w:pPr>
        <w:spacing w:after="0" w:line="2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pursuant to Rule 13a-14(a) and 15d-14(a) under the Exchange Act,</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B. Raterman, as Financial Officer, certify that:</w:t>
      </w:r>
    </w:p>
    <w:p>
      <w:pPr>
        <w:spacing w:after="0" w:line="225" w:lineRule="exact"/>
        <w:rPr>
          <w:sz w:val="20"/>
          <w:szCs w:val="20"/>
          <w:color w:val="auto"/>
        </w:rPr>
      </w:pPr>
    </w:p>
    <w:p>
      <w:pPr>
        <w:ind w:left="700" w:hanging="323"/>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Runway Growth Finance Corp.;</w:t>
      </w:r>
    </w:p>
    <w:p>
      <w:pPr>
        <w:spacing w:after="0" w:line="225" w:lineRule="exact"/>
        <w:rPr>
          <w:rFonts w:ascii="Arial" w:cs="Arial" w:eastAsia="Arial" w:hAnsi="Arial"/>
          <w:sz w:val="18"/>
          <w:szCs w:val="18"/>
          <w:color w:val="auto"/>
        </w:rPr>
      </w:pPr>
    </w:p>
    <w:p>
      <w:pPr>
        <w:ind w:left="340" w:right="160" w:firstLine="37"/>
        <w:spacing w:after="0" w:line="263"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firstLine="37"/>
        <w:spacing w:after="0" w:line="263"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80" w:firstLine="37"/>
        <w:spacing w:after="0" w:line="263" w:lineRule="auto"/>
        <w:tabs>
          <w:tab w:leader="none" w:pos="69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100" w:hanging="279"/>
        <w:spacing w:after="0" w:line="311" w:lineRule="auto"/>
        <w:tabs>
          <w:tab w:leader="none" w:pos="991"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6"/>
          <w:szCs w:val="16"/>
          <w:color w:val="auto"/>
        </w:rPr>
      </w:pPr>
    </w:p>
    <w:p>
      <w:pPr>
        <w:ind w:left="980" w:right="420" w:hanging="279"/>
        <w:spacing w:after="0" w:line="311" w:lineRule="auto"/>
        <w:tabs>
          <w:tab w:leader="none" w:pos="1001"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6"/>
          <w:szCs w:val="16"/>
          <w:color w:val="auto"/>
        </w:rPr>
      </w:pPr>
    </w:p>
    <w:p>
      <w:pPr>
        <w:ind w:left="980" w:right="280" w:hanging="279"/>
        <w:spacing w:after="0" w:line="263" w:lineRule="auto"/>
        <w:tabs>
          <w:tab w:leader="none" w:pos="991"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100" w:hanging="279"/>
        <w:spacing w:after="0" w:line="311" w:lineRule="auto"/>
        <w:tabs>
          <w:tab w:leader="none" w:pos="1001"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6"/>
          <w:szCs w:val="16"/>
          <w:color w:val="auto"/>
        </w:rPr>
      </w:pPr>
    </w:p>
    <w:p>
      <w:pPr>
        <w:ind w:left="340" w:right="180" w:firstLine="37"/>
        <w:spacing w:after="0" w:line="263" w:lineRule="auto"/>
        <w:tabs>
          <w:tab w:leader="none" w:pos="69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279"/>
        <w:spacing w:after="0" w:line="263" w:lineRule="auto"/>
        <w:tabs>
          <w:tab w:leader="none" w:pos="981"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580" w:hanging="279"/>
        <w:spacing w:after="0" w:line="277" w:lineRule="auto"/>
        <w:tabs>
          <w:tab w:leader="none" w:pos="991"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0999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Thomas B. Raterman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 (18 U.S.C. 1350)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on Form 10-Q for the quarter ended March 31, 2022 (the “Report”) of Runway Growth Finance Corp. (the “Registrant”), as filed with the Securities and Exchange Commission on the date hereof, I, R. David Spreng, the Chief Executive Officer of the Registrant, hereby certify, to the best of my knowledge, that:</w:t>
      </w:r>
    </w:p>
    <w:p>
      <w:pPr>
        <w:spacing w:after="0" w:line="197" w:lineRule="exact"/>
        <w:rPr>
          <w:sz w:val="20"/>
          <w:szCs w:val="20"/>
          <w:color w:val="auto"/>
        </w:rPr>
      </w:pPr>
    </w:p>
    <w:p>
      <w:pPr>
        <w:ind w:left="980" w:right="520" w:hanging="279"/>
        <w:spacing w:after="0" w:line="277" w:lineRule="auto"/>
        <w:tabs>
          <w:tab w:leader="none" w:pos="10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980" w:right="560" w:hanging="279"/>
        <w:spacing w:after="0" w:line="277" w:lineRule="auto"/>
        <w:tabs>
          <w:tab w:leader="none" w:pos="10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R. David Spreng</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Date: May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 (18 U.S.C. 1350)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on Form 10-Q for the quarter ended March 31, 2022 (the “Report”) of Runway Growth Finance Corp. (the “Registrant”), as filed with the Securities and Exchange Commission on the date hereof, I, Thomas B. Raterman, the Chief Financial Officer of the Registrant, hereby certify, to the best of my knowledge, that:</w:t>
      </w:r>
    </w:p>
    <w:p>
      <w:pPr>
        <w:spacing w:after="0" w:line="184" w:lineRule="exact"/>
        <w:rPr>
          <w:sz w:val="20"/>
          <w:szCs w:val="20"/>
          <w:color w:val="auto"/>
        </w:rPr>
      </w:pPr>
    </w:p>
    <w:p>
      <w:pPr>
        <w:ind w:left="1040" w:right="440" w:hanging="339"/>
        <w:spacing w:after="0" w:line="277" w:lineRule="auto"/>
        <w:tabs>
          <w:tab w:leader="none" w:pos="108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040" w:right="520" w:hanging="339"/>
        <w:spacing w:after="0" w:line="277" w:lineRule="auto"/>
        <w:tabs>
          <w:tab w:leader="none" w:pos="10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8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14605</wp:posOffset>
            </wp:positionV>
            <wp:extent cx="28803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Thomas B. Raterman</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Date: May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3"/>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4"/>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
      <w:numFmt w:val="bullet"/>
      <w:start w:val="1"/>
    </w:lvl>
    <w:lvl w:ilvl="1">
      <w:lvlJc w:val="left"/>
      <w:lvlText w:val="●"/>
      <w:numFmt w:val="bullet"/>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decimal"/>
      <w:start w:val="1"/>
    </w:lvl>
    <w:lvl w:ilvl="1">
      <w:lvlJc w:val="left"/>
      <w:lvlText w:val="(%2)"/>
      <w:numFmt w:val="lowerLetter"/>
      <w:start w:val="2"/>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bullet"/>
      <w:start w:val="1"/>
    </w:lvl>
  </w:abstractNum>
  <w:abstractNum w:abstractNumId="22">
    <w:nsid w:val="3006C83E"/>
    <w:multiLevelType w:val="hybridMultilevel"/>
    <w:lvl w:ilvl="0">
      <w:lvlJc w:val="left"/>
      <w:lvlText w:val="2"/>
      <w:numFmt w:val="bullet"/>
      <w:start w:val="1"/>
    </w:lvl>
  </w:abstractNum>
  <w:abstractNum w:abstractNumId="23">
    <w:nsid w:val="614FD4A1"/>
    <w:multiLevelType w:val="hybridMultilevel"/>
    <w:lvl w:ilvl="0">
      <w:lvlJc w:val="left"/>
      <w:lvlText w:val="3"/>
      <w:numFmt w:val="bullet"/>
      <w:start w:val="1"/>
    </w:lvl>
  </w:abstractNum>
  <w:abstractNum w:abstractNumId="24">
    <w:nsid w:val="419AC241"/>
    <w:multiLevelType w:val="hybridMultilevel"/>
    <w:lvl w:ilvl="0">
      <w:lvlJc w:val="left"/>
      <w:lvlText w:val="4"/>
      <w:numFmt w:val="bullet"/>
      <w:start w:val="1"/>
    </w:lvl>
  </w:abstractNum>
  <w:abstractNum w:abstractNumId="25">
    <w:nsid w:val="5577F8E1"/>
    <w:multiLevelType w:val="hybridMultilevel"/>
    <w:lvl w:ilvl="0">
      <w:lvlJc w:val="left"/>
      <w:lvlText w:val="5"/>
      <w:numFmt w:val="bullet"/>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lowerRoman"/>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6"/>
    </w:lvl>
  </w:abstractNum>
  <w:abstractNum w:abstractNumId="37">
    <w:nsid w:val="153EA438"/>
    <w:multiLevelType w:val="hybridMultilevel"/>
    <w:lvl w:ilvl="0">
      <w:lvlJc w:val="left"/>
      <w:lvlText w:val="(%1)"/>
      <w:numFmt w:val="decimal"/>
      <w:start w:val="7"/>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89" Type="http://schemas.openxmlformats.org/officeDocument/2006/relationships/hyperlink" Target="https://www.sec.gov/Archives/edgar/data/1653384/000114420416140270/v454968_ex3-1.htm" TargetMode="External"/><Relationship Id="rId90" Type="http://schemas.openxmlformats.org/officeDocument/2006/relationships/hyperlink" Target="https://www.sec.gov/Archives/edgar/data/0001653384/000165338421000016/rgc-20210819ex31cb84ffa.htm" TargetMode="External"/><Relationship Id="rId91" Type="http://schemas.openxmlformats.org/officeDocument/2006/relationships/hyperlink" Target="https://www.sec.gov/Archives/edgar/data/0001653384/000165338421000016/rgc-20210819ex32804659c.htm" TargetMode="External"/><Relationship Id="rId92" Type="http://schemas.openxmlformats.org/officeDocument/2006/relationships/hyperlink" Target="https://www.sec.gov/Archives/edgar/data/0001653384/000110465922048941/tm2213243d1_ex10-1.htm" TargetMode="External"/><Relationship Id="rId93" Type="http://schemas.openxmlformats.org/officeDocument/2006/relationships/hyperlink" Target="https://www.sec.gov/Archives/edgar/data/0001653384/000165338421000025/rgc-20211027xex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2022-05-06T12:08:13Z</dcterms:created>
  <dcterms:modified xsi:type="dcterms:W3CDTF">2022-05-06T12:08:13Z</dcterms:modified>
</cp:coreProperties>
</file>